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jc w:val="center"/>
      </w:pPr>
      <w:r>
        <w:rPr>
          <w:rFonts w:ascii="Arial" w:cs="Arial" w:eastAsia="Arial" w:hAnsi="Arial"/>
          <w:b/>
          <w:bCs/>
          <w:color w:val="2E4057"/>
          <w:sz w:val="52"/>
          <w:szCs w:val="52"/>
        </w:rPr>
        <w:t xml:space="preserve">Mentor Engagement Application</w:t>
      </w:r>
    </w:p>
    <w:p>
      <w:pPr>
        <w:spacing w:after="80"/>
        <w:jc w:val="center"/>
      </w:pPr>
      <w:r>
        <w:rPr>
          <w:rFonts w:ascii="Arial" w:cs="Arial" w:eastAsia="Arial" w:hAnsi="Arial"/>
          <w:color w:val="3A5A7C"/>
          <w:sz w:val="28"/>
          <w:szCs w:val="28"/>
        </w:rPr>
        <w:t xml:space="preserve">Product Requirements Document — Level 1 (Strategic Vision)</w:t>
      </w:r>
    </w:p>
    <w:p>
      <w:pPr>
        <w:spacing w:after="600"/>
        <w:jc w:val="center"/>
      </w:pPr>
      <w:r>
        <w:rPr>
          <w:rFonts w:ascii="Arial" w:cs="Arial" w:eastAsia="Arial" w:hAnsi="Arial"/>
          <w:color w:val="666666"/>
          <w:sz w:val="24"/>
          <w:szCs w:val="24"/>
        </w:rPr>
        <w:t xml:space="preserve">Cleveland Business Mentors</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Draft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 Bower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Last Updated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03-31-26 12:00</w:t>
            </w:r>
          </w:p>
        </w:tc>
      </w:tr>
    </w:tbl>
    <w:p>
      <w:r>
        <w:br w:type="page"/>
      </w:r>
    </w:p>
    <w:p>
      <w:pPr>
        <w:pStyle w:val="Heading1"/>
        <w:spacing w:after="200" w:before="360"/>
      </w:pPr>
      <w:r>
        <w:rPr>
          <w:rFonts w:ascii="Arial" w:cs="Arial" w:eastAsia="Arial" w:hAnsi="Arial"/>
          <w:b/>
          <w:bCs/>
          <w:color w:val="2E4057"/>
          <w:sz w:val="32"/>
          <w:szCs w:val="32"/>
        </w:rPr>
        <w:t xml:space="preserve">1. Purpose</w:t>
      </w:r>
    </w:p>
    <w:p>
      <w:pPr>
        <w:spacing w:after="80" w:before="80" w:line="276"/>
      </w:pPr>
      <w:r>
        <w:rPr>
          <w:rFonts w:ascii="Arial" w:cs="Arial" w:eastAsia="Arial" w:hAnsi="Arial"/>
          <w:sz w:val="22"/>
          <w:szCs w:val="22"/>
        </w:rPr>
        <w:t xml:space="preserve">This document defines the strategic vision for the Mentor Engagement Application, a browser-based tool that provides volunteer mentors with flexible, read-optimized views of organizational data stored in the CRM system. The application addresses the fundamental gap between how a CRM organizes data (by individual entity type) and how mentors need to consume it (across multiple related entity types in a single unified view).</w:t>
      </w:r>
    </w:p>
    <w:p>
      <w:pPr>
        <w:pStyle w:val="Heading1"/>
        <w:spacing w:after="200" w:before="360"/>
      </w:pPr>
      <w:r>
        <w:rPr>
          <w:rFonts w:ascii="Arial" w:cs="Arial" w:eastAsia="Arial" w:hAnsi="Arial"/>
          <w:b/>
          <w:bCs/>
          <w:color w:val="2E4057"/>
          <w:sz w:val="32"/>
          <w:szCs w:val="32"/>
        </w:rPr>
        <w:t xml:space="preserve">2. Problem Statement</w:t>
      </w:r>
    </w:p>
    <w:p>
      <w:pPr>
        <w:spacing w:after="80" w:before="80" w:line="276"/>
      </w:pPr>
      <w:r>
        <w:rPr>
          <w:rFonts w:ascii="Arial" w:cs="Arial" w:eastAsia="Arial" w:hAnsi="Arial"/>
          <w:sz w:val="22"/>
          <w:szCs w:val="22"/>
        </w:rPr>
        <w:t xml:space="preserve">Volunteer mentors in the Cleveland Business Mentors program need timely access to information spread across multiple CRM entities — contacts, organizations, mentoring sessions, program enrollments, and related records. The CRM system stores this data in normalized, entity-specific tables, and its native interface limits each list view to a single entity type with a fixed column layout.</w:t>
      </w:r>
    </w:p>
    <w:p>
      <w:pPr>
        <w:spacing w:after="80" w:before="80" w:line="276"/>
      </w:pPr>
      <w:r>
        <w:rPr>
          <w:rFonts w:ascii="Arial" w:cs="Arial" w:eastAsia="Arial" w:hAnsi="Arial"/>
          <w:sz w:val="22"/>
          <w:szCs w:val="22"/>
        </w:rPr>
        <w:t xml:space="preserve">This creates several friction points for mentors. They must navigate between multiple screens to assemble the information they need for a single mentoring interaction. They cannot see cross-entity relationships in a single view. And the available list views cannot be customized per role or use case without administrator intervention at the CRM level.</w:t>
      </w:r>
    </w:p>
    <w:p>
      <w:pPr>
        <w:spacing w:after="80" w:before="80" w:line="276"/>
      </w:pPr>
      <w:r>
        <w:rPr>
          <w:rFonts w:ascii="Arial" w:cs="Arial" w:eastAsia="Arial" w:hAnsi="Arial"/>
          <w:sz w:val="22"/>
          <w:szCs w:val="22"/>
        </w:rPr>
        <w:t xml:space="preserve">The result is that mentors spend time navigating the CRM instead of preparing for and conducting mentoring sessions.</w:t>
      </w:r>
    </w:p>
    <w:p>
      <w:pPr>
        <w:pStyle w:val="Heading1"/>
        <w:spacing w:after="200" w:before="360"/>
      </w:pPr>
      <w:r>
        <w:rPr>
          <w:rFonts w:ascii="Arial" w:cs="Arial" w:eastAsia="Arial" w:hAnsi="Arial"/>
          <w:b/>
          <w:bCs/>
          <w:color w:val="2E4057"/>
          <w:sz w:val="32"/>
          <w:szCs w:val="32"/>
        </w:rPr>
        <w:t xml:space="preserve">3. Vision</w:t>
      </w:r>
    </w:p>
    <w:p>
      <w:pPr>
        <w:spacing w:after="80" w:before="80" w:line="276"/>
      </w:pPr>
      <w:r>
        <w:rPr>
          <w:rFonts w:ascii="Arial" w:cs="Arial" w:eastAsia="Arial" w:hAnsi="Arial"/>
          <w:sz w:val="22"/>
          <w:szCs w:val="22"/>
        </w:rPr>
        <w:t xml:space="preserve">The Mentor Engagement Application will be a lightweight, standalone web application that gives mentors a purpose-built read interface into CRM data. Administrators will define named views that combine fields from multiple CRM entities into single, flattened result sets — similar to database views or union queries. Mentors will open the application in a browser, select a view, and see exactly the information they need without navigating the CRM directly.</w:t>
      </w:r>
    </w:p>
    <w:p>
      <w:pPr>
        <w:spacing w:after="80" w:before="80" w:line="276"/>
      </w:pPr>
      <w:r>
        <w:rPr>
          <w:rFonts w:ascii="Arial" w:cs="Arial" w:eastAsia="Arial" w:hAnsi="Arial"/>
          <w:sz w:val="22"/>
          <w:szCs w:val="22"/>
        </w:rPr>
        <w:t xml:space="preserve">Data modifications (creating, updating, or deleting records) will be routed through the CRM’s API to ensure all business rules, workflows, and validation logic are respected. Read operations for custom views will query the database directly for performance, since stitching together multiple API calls client-side would be impractical for union-style queries.</w:t>
      </w:r>
    </w:p>
    <w:p>
      <w:pPr>
        <w:pStyle w:val="Heading1"/>
        <w:spacing w:after="200" w:before="360"/>
      </w:pPr>
      <w:r>
        <w:rPr>
          <w:rFonts w:ascii="Arial" w:cs="Arial" w:eastAsia="Arial" w:hAnsi="Arial"/>
          <w:b/>
          <w:bCs/>
          <w:color w:val="2E4057"/>
          <w:sz w:val="32"/>
          <w:szCs w:val="32"/>
        </w:rPr>
        <w:t xml:space="preserve">4. Target Users</w:t>
      </w:r>
    </w:p>
    <w:p>
      <w:pPr>
        <w:pStyle w:val="Heading2"/>
        <w:spacing w:after="120" w:before="240"/>
      </w:pPr>
      <w:r>
        <w:rPr>
          <w:rFonts w:ascii="Arial" w:cs="Arial" w:eastAsia="Arial" w:hAnsi="Arial"/>
          <w:b/>
          <w:bCs/>
          <w:color w:val="3A5A7C"/>
          <w:sz w:val="26"/>
          <w:szCs w:val="26"/>
        </w:rPr>
        <w:t xml:space="preserve">4.1 Primary: Volunteer Mentors</w:t>
      </w:r>
    </w:p>
    <w:p>
      <w:pPr>
        <w:spacing w:after="80" w:before="80" w:line="276"/>
      </w:pPr>
      <w:r>
        <w:rPr>
          <w:rFonts w:ascii="Arial" w:cs="Arial" w:eastAsia="Arial" w:hAnsi="Arial"/>
          <w:sz w:val="22"/>
          <w:szCs w:val="22"/>
        </w:rPr>
        <w:t xml:space="preserve">Mentors need quick, consolidated access to mentee information, session history, program status, and organizational context. They are not CRM power users and should not need to understand the underlying data model.</w:t>
      </w:r>
    </w:p>
    <w:p>
      <w:pPr>
        <w:pStyle w:val="Heading2"/>
        <w:spacing w:after="120" w:before="240"/>
      </w:pPr>
      <w:r>
        <w:rPr>
          <w:rFonts w:ascii="Arial" w:cs="Arial" w:eastAsia="Arial" w:hAnsi="Arial"/>
          <w:b/>
          <w:bCs/>
          <w:color w:val="3A5A7C"/>
          <w:sz w:val="26"/>
          <w:szCs w:val="26"/>
        </w:rPr>
        <w:t xml:space="preserve">4.2 Secondary: Program Administrators</w:t>
      </w:r>
    </w:p>
    <w:p>
      <w:pPr>
        <w:spacing w:after="80" w:before="80" w:line="276"/>
      </w:pPr>
      <w:r>
        <w:rPr>
          <w:rFonts w:ascii="Arial" w:cs="Arial" w:eastAsia="Arial" w:hAnsi="Arial"/>
          <w:sz w:val="22"/>
          <w:szCs w:val="22"/>
        </w:rPr>
        <w:t xml:space="preserve">Administrators define and manage the view configurations that determine what data mentors see and how it is organized. They need the ability to create, modify, and retire views without developer involvement.</w:t>
      </w:r>
    </w:p>
    <w:p>
      <w:pPr>
        <w:pStyle w:val="Heading1"/>
        <w:spacing w:after="200" w:before="360"/>
      </w:pPr>
      <w:r>
        <w:rPr>
          <w:rFonts w:ascii="Arial" w:cs="Arial" w:eastAsia="Arial" w:hAnsi="Arial"/>
          <w:b/>
          <w:bCs/>
          <w:color w:val="2E4057"/>
          <w:sz w:val="32"/>
          <w:szCs w:val="32"/>
        </w:rPr>
        <w:t xml:space="preserve">5. Strategic Goals</w:t>
      </w:r>
    </w:p>
    <w:p>
      <w:pPr>
        <w:pStyle w:val="ListParagraph"/>
        <w:numPr>
          <w:ilvl w:val="0"/>
          <w:numId w:val="2"/>
        </w:numPr>
        <w:spacing w:after="60" w:before="60" w:line="276"/>
      </w:pPr>
      <w:r>
        <w:rPr>
          <w:rFonts w:ascii="Arial" w:cs="Arial" w:eastAsia="Arial" w:hAnsi="Arial"/>
          <w:sz w:val="22"/>
          <w:szCs w:val="22"/>
        </w:rPr>
        <w:t xml:space="preserve">Reduce the time mentors spend locating and assembling information before and during mentoring sessions.</w:t>
      </w:r>
    </w:p>
    <w:p>
      <w:pPr>
        <w:pStyle w:val="ListParagraph"/>
        <w:numPr>
          <w:ilvl w:val="0"/>
          <w:numId w:val="2"/>
        </w:numPr>
        <w:spacing w:after="60" w:before="60" w:line="276"/>
      </w:pPr>
      <w:r>
        <w:rPr>
          <w:rFonts w:ascii="Arial" w:cs="Arial" w:eastAsia="Arial" w:hAnsi="Arial"/>
          <w:sz w:val="22"/>
          <w:szCs w:val="22"/>
        </w:rPr>
        <w:t xml:space="preserve">Provide a single-screen, consolidated view of data spanning multiple CRM entity types.</w:t>
      </w:r>
    </w:p>
    <w:p>
      <w:pPr>
        <w:pStyle w:val="ListParagraph"/>
        <w:numPr>
          <w:ilvl w:val="0"/>
          <w:numId w:val="2"/>
        </w:numPr>
        <w:spacing w:after="60" w:before="60" w:line="276"/>
      </w:pPr>
      <w:r>
        <w:rPr>
          <w:rFonts w:ascii="Arial" w:cs="Arial" w:eastAsia="Arial" w:hAnsi="Arial"/>
          <w:sz w:val="22"/>
          <w:szCs w:val="22"/>
        </w:rPr>
        <w:t xml:space="preserve">Enable administrators to define and manage custom views without code changes or CRM-level customization.</w:t>
      </w:r>
    </w:p>
    <w:p>
      <w:pPr>
        <w:pStyle w:val="ListParagraph"/>
        <w:numPr>
          <w:ilvl w:val="0"/>
          <w:numId w:val="2"/>
        </w:numPr>
        <w:spacing w:after="60" w:before="60" w:line="276"/>
      </w:pPr>
      <w:r>
        <w:rPr>
          <w:rFonts w:ascii="Arial" w:cs="Arial" w:eastAsia="Arial" w:hAnsi="Arial"/>
          <w:sz w:val="22"/>
          <w:szCs w:val="22"/>
        </w:rPr>
        <w:t xml:space="preserve">Maintain data integrity by routing all write operations through the CRM API.</w:t>
      </w:r>
    </w:p>
    <w:p>
      <w:pPr>
        <w:pStyle w:val="ListParagraph"/>
        <w:numPr>
          <w:ilvl w:val="0"/>
          <w:numId w:val="2"/>
        </w:numPr>
        <w:spacing w:after="60" w:before="60" w:line="276"/>
      </w:pPr>
      <w:r>
        <w:rPr>
          <w:rFonts w:ascii="Arial" w:cs="Arial" w:eastAsia="Arial" w:hAnsi="Arial"/>
          <w:sz w:val="22"/>
          <w:szCs w:val="22"/>
        </w:rPr>
        <w:t xml:space="preserve">Keep the application lightweight and independent of the CRM’s front-end framework so it can evolve separately.</w:t>
      </w:r>
    </w:p>
    <w:p>
      <w:pPr>
        <w:pStyle w:val="Heading1"/>
        <w:spacing w:after="200" w:before="360"/>
      </w:pPr>
      <w:r>
        <w:rPr>
          <w:rFonts w:ascii="Arial" w:cs="Arial" w:eastAsia="Arial" w:hAnsi="Arial"/>
          <w:b/>
          <w:bCs/>
          <w:color w:val="2E4057"/>
          <w:sz w:val="32"/>
          <w:szCs w:val="32"/>
        </w:rPr>
        <w:t xml:space="preserve">6. High-Level Architecture</w:t>
      </w:r>
    </w:p>
    <w:p>
      <w:pPr>
        <w:spacing w:after="80" w:before="80" w:line="276"/>
      </w:pPr>
      <w:r>
        <w:rPr>
          <w:rFonts w:ascii="Arial" w:cs="Arial" w:eastAsia="Arial" w:hAnsi="Arial"/>
          <w:sz w:val="22"/>
          <w:szCs w:val="22"/>
        </w:rPr>
        <w:t xml:space="preserve">The application consists of three tiers:</w:t>
      </w:r>
    </w:p>
    <w:p>
      <w:pPr>
        <w:pStyle w:val="Heading2"/>
        <w:spacing w:after="120" w:before="240"/>
      </w:pPr>
      <w:r>
        <w:rPr>
          <w:rFonts w:ascii="Arial" w:cs="Arial" w:eastAsia="Arial" w:hAnsi="Arial"/>
          <w:b/>
          <w:bCs/>
          <w:color w:val="3A5A7C"/>
          <w:sz w:val="26"/>
          <w:szCs w:val="26"/>
        </w:rPr>
        <w:t xml:space="preserve">6.1 Browser-Based Frontend</w:t>
      </w:r>
    </w:p>
    <w:p>
      <w:pPr>
        <w:spacing w:after="80" w:before="80" w:line="276"/>
      </w:pPr>
      <w:r>
        <w:rPr>
          <w:rFonts w:ascii="Arial" w:cs="Arial" w:eastAsia="Arial" w:hAnsi="Arial"/>
          <w:sz w:val="22"/>
          <w:szCs w:val="22"/>
        </w:rPr>
        <w:t xml:space="preserve">A modern JavaScript single-page application that renders admin-defined views, handles user interaction, and communicates with the backend. Mentors access it through a standard web browser with no installation required.</w:t>
      </w:r>
    </w:p>
    <w:p>
      <w:pPr>
        <w:pStyle w:val="Heading2"/>
        <w:spacing w:after="120" w:before="240"/>
      </w:pPr>
      <w:r>
        <w:rPr>
          <w:rFonts w:ascii="Arial" w:cs="Arial" w:eastAsia="Arial" w:hAnsi="Arial"/>
          <w:b/>
          <w:bCs/>
          <w:color w:val="3A5A7C"/>
          <w:sz w:val="26"/>
          <w:szCs w:val="26"/>
        </w:rPr>
        <w:t xml:space="preserve">6.2 Lightweight Backend Service</w:t>
      </w:r>
    </w:p>
    <w:p>
      <w:pPr>
        <w:spacing w:after="80" w:before="80" w:line="276"/>
      </w:pPr>
      <w:r>
        <w:rPr>
          <w:rFonts w:ascii="Arial" w:cs="Arial" w:eastAsia="Arial" w:hAnsi="Arial"/>
          <w:sz w:val="22"/>
          <w:szCs w:val="22"/>
        </w:rPr>
        <w:t xml:space="preserve">A thin API layer responsible for two functions: executing read queries against the CRM database to build union-style view results, and proxying write requests to the CRM’s REST API. The backend also serves view configuration data from its dedicated tables.</w:t>
      </w:r>
    </w:p>
    <w:p>
      <w:pPr>
        <w:pStyle w:val="Heading2"/>
        <w:spacing w:after="120" w:before="240"/>
      </w:pPr>
      <w:r>
        <w:rPr>
          <w:rFonts w:ascii="Arial" w:cs="Arial" w:eastAsia="Arial" w:hAnsi="Arial"/>
          <w:b/>
          <w:bCs/>
          <w:color w:val="3A5A7C"/>
          <w:sz w:val="26"/>
          <w:szCs w:val="26"/>
        </w:rPr>
        <w:t xml:space="preserve">6.3 Shared Database with Dedicated Tables</w:t>
      </w:r>
    </w:p>
    <w:p>
      <w:pPr>
        <w:spacing w:after="80" w:before="80" w:line="276"/>
      </w:pPr>
      <w:r>
        <w:rPr>
          <w:rFonts w:ascii="Arial" w:cs="Arial" w:eastAsia="Arial" w:hAnsi="Arial"/>
          <w:sz w:val="22"/>
          <w:szCs w:val="22"/>
        </w:rPr>
        <w:t xml:space="preserve">View definitions, column mappings, join/union logic, and filter configurations are stored in dedicated tables within the CRM’s database, using a distinct table prefix to avoid schema collisions. The application reads CRM entity data directly from the existing CRM tables for view queries.</w:t>
      </w:r>
    </w:p>
    <w:p>
      <w:pPr>
        <w:pStyle w:val="Heading1"/>
        <w:spacing w:after="200" w:before="360"/>
      </w:pPr>
      <w:r>
        <w:rPr>
          <w:rFonts w:ascii="Arial" w:cs="Arial" w:eastAsia="Arial" w:hAnsi="Arial"/>
          <w:b/>
          <w:bCs/>
          <w:color w:val="2E4057"/>
          <w:sz w:val="32"/>
          <w:szCs w:val="32"/>
        </w:rPr>
        <w:t xml:space="preserve">7. Key Capabilities</w:t>
      </w:r>
    </w:p>
    <w:p>
      <w:pPr>
        <w:pStyle w:val="Heading2"/>
        <w:spacing w:after="120" w:before="240"/>
      </w:pPr>
      <w:r>
        <w:rPr>
          <w:rFonts w:ascii="Arial" w:cs="Arial" w:eastAsia="Arial" w:hAnsi="Arial"/>
          <w:b/>
          <w:bCs/>
          <w:color w:val="3A5A7C"/>
          <w:sz w:val="26"/>
          <w:szCs w:val="26"/>
        </w:rPr>
        <w:t xml:space="preserve">7.1 Admin-Defined Custom Views</w:t>
      </w:r>
    </w:p>
    <w:p>
      <w:pPr>
        <w:spacing w:after="80" w:before="80" w:line="276"/>
      </w:pPr>
      <w:r>
        <w:rPr>
          <w:rFonts w:ascii="Arial" w:cs="Arial" w:eastAsia="Arial" w:hAnsi="Arial"/>
          <w:sz w:val="22"/>
          <w:szCs w:val="22"/>
        </w:rPr>
        <w:t xml:space="preserve">Administrators create named view configurations that specify which CRM entities to include, which fields to display, how entities are joined or unioned, default sort order, and any preset filters. Views are stored as configuration records, not as code.</w:t>
      </w:r>
    </w:p>
    <w:p>
      <w:pPr>
        <w:pStyle w:val="Heading2"/>
        <w:spacing w:after="120" w:before="240"/>
      </w:pPr>
      <w:r>
        <w:rPr>
          <w:rFonts w:ascii="Arial" w:cs="Arial" w:eastAsia="Arial" w:hAnsi="Arial"/>
          <w:b/>
          <w:bCs/>
          <w:color w:val="3A5A7C"/>
          <w:sz w:val="26"/>
          <w:szCs w:val="26"/>
        </w:rPr>
        <w:t xml:space="preserve">7.2 Cross-Entity Union Views</w:t>
      </w:r>
    </w:p>
    <w:p>
      <w:pPr>
        <w:spacing w:after="80" w:before="80" w:line="276"/>
      </w:pPr>
      <w:r>
        <w:rPr>
          <w:rFonts w:ascii="Arial" w:cs="Arial" w:eastAsia="Arial" w:hAnsi="Arial"/>
          <w:sz w:val="22"/>
          <w:szCs w:val="22"/>
        </w:rPr>
        <w:t xml:space="preserve">The core differentiator. A single view can pull fields from multiple entity types into a unified, flattened result set. For example, a mentor could see a single list combining contact details, organization information, session dates, and program enrollment status — all drawn from separate CRM entities.</w:t>
      </w:r>
    </w:p>
    <w:p>
      <w:pPr>
        <w:pStyle w:val="Heading2"/>
        <w:spacing w:after="120" w:before="240"/>
      </w:pPr>
      <w:r>
        <w:rPr>
          <w:rFonts w:ascii="Arial" w:cs="Arial" w:eastAsia="Arial" w:hAnsi="Arial"/>
          <w:b/>
          <w:bCs/>
          <w:color w:val="3A5A7C"/>
          <w:sz w:val="26"/>
          <w:szCs w:val="26"/>
        </w:rPr>
        <w:t xml:space="preserve">7.3 Read/Write Separation</w:t>
      </w:r>
    </w:p>
    <w:p>
      <w:pPr>
        <w:spacing w:after="80" w:before="80" w:line="276"/>
      </w:pPr>
      <w:r>
        <w:rPr>
          <w:rFonts w:ascii="Arial" w:cs="Arial" w:eastAsia="Arial" w:hAnsi="Arial"/>
          <w:sz w:val="22"/>
          <w:szCs w:val="22"/>
        </w:rPr>
        <w:t xml:space="preserve">Read operations for custom views execute directly against the database for performance and flexibility. All create, update, and delete operations are routed through the CRM’s REST API, ensuring that business rules, formula scripts, workflows, and access controls are enforced.</w:t>
      </w:r>
    </w:p>
    <w:p>
      <w:pPr>
        <w:pStyle w:val="Heading2"/>
        <w:spacing w:after="120" w:before="240"/>
      </w:pPr>
      <w:r>
        <w:rPr>
          <w:rFonts w:ascii="Arial" w:cs="Arial" w:eastAsia="Arial" w:hAnsi="Arial"/>
          <w:b/>
          <w:bCs/>
          <w:color w:val="3A5A7C"/>
          <w:sz w:val="26"/>
          <w:szCs w:val="26"/>
        </w:rPr>
        <w:t xml:space="preserve">7.4 CRM Authentication Integration</w:t>
      </w:r>
    </w:p>
    <w:p>
      <w:pPr>
        <w:spacing w:after="80" w:before="80" w:line="276"/>
      </w:pPr>
      <w:r>
        <w:rPr>
          <w:rFonts w:ascii="Arial" w:cs="Arial" w:eastAsia="Arial" w:hAnsi="Arial"/>
          <w:sz w:val="22"/>
          <w:szCs w:val="22"/>
        </w:rPr>
        <w:t xml:space="preserve">The application authenticates users against the CRM’s existing user system, so mentors use their existing credentials and administrators manage access through existing role and permission structures.</w:t>
      </w:r>
    </w:p>
    <w:p>
      <w:pPr>
        <w:pStyle w:val="Heading1"/>
        <w:spacing w:after="200" w:before="360"/>
      </w:pPr>
      <w:r>
        <w:rPr>
          <w:rFonts w:ascii="Arial" w:cs="Arial" w:eastAsia="Arial" w:hAnsi="Arial"/>
          <w:b/>
          <w:bCs/>
          <w:color w:val="2E4057"/>
          <w:sz w:val="32"/>
          <w:szCs w:val="32"/>
        </w:rPr>
        <w:t xml:space="preserve">8. Scope Boundaries</w:t>
      </w:r>
    </w:p>
    <w:p>
      <w:pPr>
        <w:pStyle w:val="Heading2"/>
        <w:spacing w:after="120" w:before="240"/>
      </w:pPr>
      <w:r>
        <w:rPr>
          <w:rFonts w:ascii="Arial" w:cs="Arial" w:eastAsia="Arial" w:hAnsi="Arial"/>
          <w:b/>
          <w:bCs/>
          <w:color w:val="3A5A7C"/>
          <w:sz w:val="26"/>
          <w:szCs w:val="26"/>
        </w:rPr>
        <w:t xml:space="preserve">8.1 In Scope</w:t>
      </w:r>
    </w:p>
    <w:p>
      <w:pPr>
        <w:pStyle w:val="ListParagraph"/>
        <w:numPr>
          <w:ilvl w:val="0"/>
          <w:numId w:val="2"/>
        </w:numPr>
        <w:spacing w:after="60" w:before="60" w:line="276"/>
      </w:pPr>
      <w:r>
        <w:rPr>
          <w:rFonts w:ascii="Arial" w:cs="Arial" w:eastAsia="Arial" w:hAnsi="Arial"/>
          <w:sz w:val="22"/>
          <w:szCs w:val="22"/>
        </w:rPr>
        <w:t xml:space="preserve">Browser-based read interface for mentors.</w:t>
      </w:r>
    </w:p>
    <w:p>
      <w:pPr>
        <w:pStyle w:val="ListParagraph"/>
        <w:numPr>
          <w:ilvl w:val="0"/>
          <w:numId w:val="2"/>
        </w:numPr>
        <w:spacing w:after="60" w:before="60" w:line="276"/>
      </w:pPr>
      <w:r>
        <w:rPr>
          <w:rFonts w:ascii="Arial" w:cs="Arial" w:eastAsia="Arial" w:hAnsi="Arial"/>
          <w:sz w:val="22"/>
          <w:szCs w:val="22"/>
        </w:rPr>
        <w:t xml:space="preserve">Admin-defined view configurations stored in dedicated database tables.</w:t>
      </w:r>
    </w:p>
    <w:p>
      <w:pPr>
        <w:pStyle w:val="ListParagraph"/>
        <w:numPr>
          <w:ilvl w:val="0"/>
          <w:numId w:val="2"/>
        </w:numPr>
        <w:spacing w:after="60" w:before="60" w:line="276"/>
      </w:pPr>
      <w:r>
        <w:rPr>
          <w:rFonts w:ascii="Arial" w:cs="Arial" w:eastAsia="Arial" w:hAnsi="Arial"/>
          <w:sz w:val="22"/>
          <w:szCs w:val="22"/>
        </w:rPr>
        <w:t xml:space="preserve">Cross-entity union/join queries executed at the database level.</w:t>
      </w:r>
    </w:p>
    <w:p>
      <w:pPr>
        <w:pStyle w:val="ListParagraph"/>
        <w:numPr>
          <w:ilvl w:val="0"/>
          <w:numId w:val="2"/>
        </w:numPr>
        <w:spacing w:after="60" w:before="60" w:line="276"/>
      </w:pPr>
      <w:r>
        <w:rPr>
          <w:rFonts w:ascii="Arial" w:cs="Arial" w:eastAsia="Arial" w:hAnsi="Arial"/>
          <w:sz w:val="22"/>
          <w:szCs w:val="22"/>
        </w:rPr>
        <w:t xml:space="preserve">Write-back to CRM via REST API.</w:t>
      </w:r>
    </w:p>
    <w:p>
      <w:pPr>
        <w:pStyle w:val="ListParagraph"/>
        <w:numPr>
          <w:ilvl w:val="0"/>
          <w:numId w:val="2"/>
        </w:numPr>
        <w:spacing w:after="60" w:before="60" w:line="276"/>
      </w:pPr>
      <w:r>
        <w:rPr>
          <w:rFonts w:ascii="Arial" w:cs="Arial" w:eastAsia="Arial" w:hAnsi="Arial"/>
          <w:sz w:val="22"/>
          <w:szCs w:val="22"/>
        </w:rPr>
        <w:t xml:space="preserve">Authentication tied to the CRM user system.</w:t>
      </w:r>
    </w:p>
    <w:p>
      <w:pPr>
        <w:pStyle w:val="Heading2"/>
        <w:spacing w:after="120" w:before="240"/>
      </w:pPr>
      <w:r>
        <w:rPr>
          <w:rFonts w:ascii="Arial" w:cs="Arial" w:eastAsia="Arial" w:hAnsi="Arial"/>
          <w:b/>
          <w:bCs/>
          <w:color w:val="3A5A7C"/>
          <w:sz w:val="26"/>
          <w:szCs w:val="26"/>
        </w:rPr>
        <w:t xml:space="preserve">8.2 Out of Scope (Initial Release)</w:t>
      </w:r>
    </w:p>
    <w:p>
      <w:pPr>
        <w:pStyle w:val="ListParagraph"/>
        <w:numPr>
          <w:ilvl w:val="0"/>
          <w:numId w:val="2"/>
        </w:numPr>
        <w:spacing w:after="60" w:before="60" w:line="276"/>
      </w:pPr>
      <w:r>
        <w:rPr>
          <w:rFonts w:ascii="Arial" w:cs="Arial" w:eastAsia="Arial" w:hAnsi="Arial"/>
          <w:sz w:val="22"/>
          <w:szCs w:val="22"/>
        </w:rPr>
        <w:t xml:space="preserve">End-user (mentor) self-service view creation or modification.</w:t>
      </w:r>
    </w:p>
    <w:p>
      <w:pPr>
        <w:pStyle w:val="ListParagraph"/>
        <w:numPr>
          <w:ilvl w:val="0"/>
          <w:numId w:val="2"/>
        </w:numPr>
        <w:spacing w:after="60" w:before="60" w:line="276"/>
      </w:pPr>
      <w:r>
        <w:rPr>
          <w:rFonts w:ascii="Arial" w:cs="Arial" w:eastAsia="Arial" w:hAnsi="Arial"/>
          <w:sz w:val="22"/>
          <w:szCs w:val="22"/>
        </w:rPr>
        <w:t xml:space="preserve">Visual query builder for administrators.</w:t>
      </w:r>
    </w:p>
    <w:p>
      <w:pPr>
        <w:pStyle w:val="ListParagraph"/>
        <w:numPr>
          <w:ilvl w:val="0"/>
          <w:numId w:val="2"/>
        </w:numPr>
        <w:spacing w:after="60" w:before="60" w:line="276"/>
      </w:pPr>
      <w:r>
        <w:rPr>
          <w:rFonts w:ascii="Arial" w:cs="Arial" w:eastAsia="Arial" w:hAnsi="Arial"/>
          <w:sz w:val="22"/>
          <w:szCs w:val="22"/>
        </w:rPr>
        <w:t xml:space="preserve">Offline or mobile-native functionality.</w:t>
      </w:r>
    </w:p>
    <w:p>
      <w:pPr>
        <w:pStyle w:val="ListParagraph"/>
        <w:numPr>
          <w:ilvl w:val="0"/>
          <w:numId w:val="2"/>
        </w:numPr>
        <w:spacing w:after="60" w:before="60" w:line="276"/>
      </w:pPr>
      <w:r>
        <w:rPr>
          <w:rFonts w:ascii="Arial" w:cs="Arial" w:eastAsia="Arial" w:hAnsi="Arial"/>
          <w:sz w:val="22"/>
          <w:szCs w:val="22"/>
        </w:rPr>
        <w:t xml:space="preserve">Reporting, charting, or dashboard features.</w:t>
      </w:r>
    </w:p>
    <w:p>
      <w:pPr>
        <w:pStyle w:val="ListParagraph"/>
        <w:numPr>
          <w:ilvl w:val="0"/>
          <w:numId w:val="2"/>
        </w:numPr>
        <w:spacing w:after="60" w:before="60" w:line="276"/>
      </w:pPr>
      <w:r>
        <w:rPr>
          <w:rFonts w:ascii="Arial" w:cs="Arial" w:eastAsia="Arial" w:hAnsi="Arial"/>
          <w:sz w:val="22"/>
          <w:szCs w:val="22"/>
        </w:rPr>
        <w:t xml:space="preserve">Direct database writes bypassing CRM business logic.</w:t>
      </w:r>
    </w:p>
    <w:p>
      <w:pPr>
        <w:pStyle w:val="Heading1"/>
        <w:spacing w:after="200" w:before="360"/>
      </w:pPr>
      <w:r>
        <w:rPr>
          <w:rFonts w:ascii="Arial" w:cs="Arial" w:eastAsia="Arial" w:hAnsi="Arial"/>
          <w:b/>
          <w:bCs/>
          <w:color w:val="2E4057"/>
          <w:sz w:val="32"/>
          <w:szCs w:val="32"/>
        </w:rPr>
        <w:t xml:space="preserve">9. Success Criteria</w:t>
      </w:r>
    </w:p>
    <w:p>
      <w:pPr>
        <w:pStyle w:val="ListParagraph"/>
        <w:numPr>
          <w:ilvl w:val="0"/>
          <w:numId w:val="2"/>
        </w:numPr>
        <w:spacing w:after="60" w:before="60" w:line="276"/>
      </w:pPr>
      <w:r>
        <w:rPr>
          <w:rFonts w:ascii="Arial" w:cs="Arial" w:eastAsia="Arial" w:hAnsi="Arial"/>
          <w:sz w:val="22"/>
          <w:szCs w:val="22"/>
        </w:rPr>
        <w:t xml:space="preserve">Mentors can access a consolidated, cross-entity view of their mentee data in a single screen without navigating the CRM.</w:t>
      </w:r>
    </w:p>
    <w:p>
      <w:pPr>
        <w:pStyle w:val="ListParagraph"/>
        <w:numPr>
          <w:ilvl w:val="0"/>
          <w:numId w:val="2"/>
        </w:numPr>
        <w:spacing w:after="60" w:before="60" w:line="276"/>
      </w:pPr>
      <w:r>
        <w:rPr>
          <w:rFonts w:ascii="Arial" w:cs="Arial" w:eastAsia="Arial" w:hAnsi="Arial"/>
          <w:sz w:val="22"/>
          <w:szCs w:val="22"/>
        </w:rPr>
        <w:t xml:space="preserve">Administrators can define a new view configuration and have it available to mentors without developer involvement.</w:t>
      </w:r>
    </w:p>
    <w:p>
      <w:pPr>
        <w:pStyle w:val="ListParagraph"/>
        <w:numPr>
          <w:ilvl w:val="0"/>
          <w:numId w:val="2"/>
        </w:numPr>
        <w:spacing w:after="60" w:before="60" w:line="276"/>
      </w:pPr>
      <w:r>
        <w:rPr>
          <w:rFonts w:ascii="Arial" w:cs="Arial" w:eastAsia="Arial" w:hAnsi="Arial"/>
          <w:sz w:val="22"/>
          <w:szCs w:val="22"/>
        </w:rPr>
        <w:t xml:space="preserve">All data written through the application triggers the same CRM business rules as data entered directly in the CRM.</w:t>
      </w:r>
    </w:p>
    <w:p>
      <w:pPr>
        <w:pStyle w:val="ListParagraph"/>
        <w:numPr>
          <w:ilvl w:val="0"/>
          <w:numId w:val="2"/>
        </w:numPr>
        <w:spacing w:after="60" w:before="60" w:line="276"/>
      </w:pPr>
      <w:r>
        <w:rPr>
          <w:rFonts w:ascii="Arial" w:cs="Arial" w:eastAsia="Arial" w:hAnsi="Arial"/>
          <w:sz w:val="22"/>
          <w:szCs w:val="22"/>
        </w:rPr>
        <w:t xml:space="preserve">The application performs acceptably for the expected user base (under 100 concurrent mentors).</w:t>
      </w:r>
    </w:p>
    <w:p>
      <w:pPr>
        <w:pStyle w:val="Heading1"/>
        <w:spacing w:after="200" w:before="360"/>
      </w:pPr>
      <w:r>
        <w:rPr>
          <w:rFonts w:ascii="Arial" w:cs="Arial" w:eastAsia="Arial" w:hAnsi="Arial"/>
          <w:b/>
          <w:bCs/>
          <w:color w:val="2E4057"/>
          <w:sz w:val="32"/>
          <w:szCs w:val="32"/>
        </w:rPr>
        <w:t xml:space="preserve">10. Risks and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CRM schema changes during upgrades could break direct DB queries.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Views may return incorrect data or fail after a CRM upgrade.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View definitions reference logical field names mapped through a configuration layer, not raw column names. Validate views after each CRM upgrade.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Direct database reads bypass CRM access control (ACL).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Mentors could potentially see data they should not have access 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Implement ACL-aware query filtering in the backend service, mirroring the CRM’s role-based permissions.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View configuration complexity could grow beyond admin capability.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Administrators may need developer help to define complex union views.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Start with simple, well-documented view templates. Evaluate a visual builder for a future release.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Maintaining a separate application increases operational overhead.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Additional deployment, monitoring, and maintenance burden.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Deploy alongside the CRM infrastructure. Keep the backend service minimal and stateless.</w:t>
            </w:r>
          </w:p>
        </w:tc>
      </w:tr>
    </w:tbl>
    <w:p>
      <w:pPr>
        <w:pStyle w:val="Heading1"/>
        <w:spacing w:after="200" w:before="360"/>
      </w:pPr>
      <w:r>
        <w:rPr>
          <w:rFonts w:ascii="Arial" w:cs="Arial" w:eastAsia="Arial" w:hAnsi="Arial"/>
          <w:b/>
          <w:bCs/>
          <w:color w:val="2E4057"/>
          <w:sz w:val="32"/>
          <w:szCs w:val="32"/>
        </w:rPr>
        <w:t xml:space="preserve">11. Next Steps</w:t>
      </w:r>
    </w:p>
    <w:p>
      <w:pPr>
        <w:pStyle w:val="ListParagraph"/>
        <w:numPr>
          <w:ilvl w:val="0"/>
          <w:numId w:val="3"/>
        </w:numPr>
        <w:spacing w:after="60" w:before="60" w:line="276"/>
      </w:pPr>
      <w:r>
        <w:rPr>
          <w:rFonts w:ascii="Arial" w:cs="Arial" w:eastAsia="Arial" w:hAnsi="Arial"/>
          <w:sz w:val="22"/>
          <w:szCs w:val="22"/>
        </w:rPr>
        <w:t xml:space="preserve">Review and approve this Level 1 PRD.</w:t>
      </w:r>
    </w:p>
    <w:p>
      <w:pPr>
        <w:pStyle w:val="ListParagraph"/>
        <w:numPr>
          <w:ilvl w:val="0"/>
          <w:numId w:val="3"/>
        </w:numPr>
        <w:spacing w:after="60" w:before="60" w:line="276"/>
      </w:pPr>
      <w:r>
        <w:rPr>
          <w:rFonts w:ascii="Arial" w:cs="Arial" w:eastAsia="Arial" w:hAnsi="Arial"/>
          <w:sz w:val="22"/>
          <w:szCs w:val="22"/>
        </w:rPr>
        <w:t xml:space="preserve">Develop a Level 2 PRD with detailed functional requirements, view configuration schema, and API specifications.</w:t>
      </w:r>
    </w:p>
    <w:p>
      <w:pPr>
        <w:pStyle w:val="ListParagraph"/>
        <w:numPr>
          <w:ilvl w:val="0"/>
          <w:numId w:val="3"/>
        </w:numPr>
        <w:spacing w:after="60" w:before="60" w:line="276"/>
      </w:pPr>
      <w:r>
        <w:rPr>
          <w:rFonts w:ascii="Arial" w:cs="Arial" w:eastAsia="Arial" w:hAnsi="Arial"/>
          <w:sz w:val="22"/>
          <w:szCs w:val="22"/>
        </w:rPr>
        <w:t xml:space="preserve">Define the initial set of mentor views based on CBM program workflows.</w:t>
      </w:r>
    </w:p>
    <w:p>
      <w:pPr>
        <w:pStyle w:val="ListParagraph"/>
        <w:numPr>
          <w:ilvl w:val="0"/>
          <w:numId w:val="3"/>
        </w:numPr>
        <w:spacing w:after="60" w:before="60" w:line="276"/>
      </w:pPr>
      <w:r>
        <w:rPr>
          <w:rFonts w:ascii="Arial" w:cs="Arial" w:eastAsia="Arial" w:hAnsi="Arial"/>
          <w:sz w:val="22"/>
          <w:szCs w:val="22"/>
        </w:rPr>
        <w:t xml:space="preserve">Select technology stack for frontend and backend components.</w:t>
      </w:r>
    </w:p>
    <w:p>
      <w:pPr>
        <w:pStyle w:val="ListParagraph"/>
        <w:numPr>
          <w:ilvl w:val="0"/>
          <w:numId w:val="3"/>
        </w:numPr>
        <w:spacing w:after="60" w:before="60" w:line="276"/>
      </w:pPr>
      <w:r>
        <w:rPr>
          <w:rFonts w:ascii="Arial" w:cs="Arial" w:eastAsia="Arial" w:hAnsi="Arial"/>
          <w:sz w:val="22"/>
          <w:szCs w:val="22"/>
        </w:rPr>
        <w:t xml:space="preserve">Build a proof-of-concept with one cross-entity union 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Confidential </w:t>
    </w:r>
    <w:r>
      <w:rPr>
        <w:rFonts w:ascii="Arial" w:cs="Arial" w:eastAsia="Arial" w:hAnsi="Arial"/>
        <w:color w:val="999999"/>
        <w:sz w:val="16"/>
        <w:szCs w:val="16"/>
      </w:rPr>
      <w:t xml:space="preserv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spacing w:after="200"/>
      <w:jc w:val="right"/>
    </w:pPr>
    <w:r>
      <w:rPr>
        <w:rFonts w:ascii="Arial" w:cs="Arial" w:eastAsia="Arial" w:hAnsi="Arial"/>
        <w:i/>
        <w:iCs/>
        <w:color w:val="666666"/>
        <w:sz w:val="18"/>
        <w:szCs w:val="18"/>
      </w:rPr>
      <w:t xml:space="preserve">Cleveland Business Mentors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A5A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2026-04-01T02:38:57.214Z</dcterms:created>
  <dcterms:modified xsi:type="dcterms:W3CDTF">2026-04-01T02:38:57.215Z</dcterms:modified>
</cp:coreProperties>
</file>

<file path=docProps/custom.xml><?xml version="1.0" encoding="utf-8"?>
<Properties xmlns="http://schemas.openxmlformats.org/officeDocument/2006/custom-properties" xmlns:vt="http://schemas.openxmlformats.org/officeDocument/2006/docPropsVTypes"/>
</file>