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1.12</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04-08-26 14:30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and ProcessField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 ProcessPersona does not include process_step_id; persona-to-process associations are tracked at the process level only.</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and ProcessField at the step level. ProcessPersona references are traced at the process level only since the table does not record step-level associations.</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1–8) and CRM Selection (Phase 9).</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10), CRM Configuration (Phase 11), and Verification (Phase 12).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9: Master PRD, Entity Definition (Business Object Discovery and Entity PRDs), Domain Overview, Cross-Domain Service Definition,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9),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2"/>
        <w:spacing w:after="160" w:before="280"/>
      </w:pPr>
      <w:r>
        <w:rPr>
          <w:rFonts w:ascii="Arial" w:cs="Arial" w:eastAsia="Arial" w:hAnsi="Arial"/>
          <w:b/>
          <w:bCs/>
          <w:color w:val="1F3864"/>
          <w:sz w:val="24"/>
          <w:szCs w:val="24"/>
        </w:rPr>
        <w:t xml:space="preserve">16.12 ChangeImpact.action_required column deferred to Step 15 (ISS-012)</w:t>
      </w:r>
    </w:p>
    <w:p>
      <w:pPr>
        <w:spacing w:after="160"/>
      </w:pPr>
      <w:r>
        <w:rPr>
          <w:rFonts w:ascii="Arial" w:cs="Arial" w:eastAsia="Arial" w:hAnsi="Arial"/>
          <w:color w:val="000000"/>
          <w:sz w:val="22"/>
          <w:szCs w:val="22"/>
        </w:rPr>
        <w:t xml:space="preserve">Section 12.11 specifies adding an action_required BOOLEAN NOT NULL DEFAULT FALSE column to the ChangeImpact table to support administrator review actions per Section 12.7.1 (flag for revision vs. mark as no action needed). The Step 9 schema is locked, so this column was not applied during Step 13 implementation. The Impact Analysis Engine functions correctly without it — review actions are stored in the existing requires_review and reviewed columns. The new column becomes necessary when Step 15 (User Interface) implements the review action flow. Step 15 will require a schema migration regardless, and the action_required column will be added at that time. Resolution: deferred to Step 15.</w:t>
      </w:r>
    </w:p>
    <w:p>
      <w:pPr>
        <w:pStyle w:val="Heading2"/>
        <w:spacing w:after="160" w:before="280"/>
      </w:pPr>
      <w:r>
        <w:rPr>
          <w:rFonts w:ascii="Arial" w:cs="Arial" w:eastAsia="Arial" w:hAnsi="Arial"/>
          <w:b/>
          <w:bCs/>
          <w:color w:val="1F3864"/>
          <w:sz w:val="24"/>
          <w:szCs w:val="24"/>
        </w:rPr>
        <w:t xml:space="preserve">16.13 Revision reason collection timing (ISS-013)</w:t>
      </w:r>
    </w:p>
    <w:p>
      <w:pPr>
        <w:spacing w:after="160"/>
      </w:pPr>
      <w:r>
        <w:rPr>
          <w:rFonts w:ascii="Arial" w:cs="Arial" w:eastAsia="Arial" w:hAnsi="Arial"/>
          <w:color w:val="000000"/>
          <w:sz w:val="22"/>
          <w:szCs w:val="22"/>
        </w:rPr>
        <w:t xml:space="preserve">Section 14.3.3 prose states that the application prompts the administrator for a revision reason at the “Reopen for Revision” action. However, WorkflowEngine.revise() (Section 9, implemented in Step 10) does not accept a reason parameter and does not store one. The revision reason is collected later by PromptGenerator.generate(revision_reason=…) at prompt-generation time, where it becomes part of the generated prompt’s session header. Step 15a’s implementation correctly delegates to the engine without collecting a reason at the revise step, matching the engine API. The prose in Section 14.3.3 should be corrected to state that the revision reason is collected at the next prompt-generation action, not at the revise action. The user experience is unchanged — the administrator still provides a reason before any AI session is generated — but the timing of the prompt happens slightly later in the flow than Section 14.3.3 currently describes. Resolution: prose correction, no code change required.</w:t>
      </w:r>
    </w:p>
    <w:p>
      <w:pPr>
        <w:pStyle w:val="Heading2"/>
        <w:spacing w:after="160" w:before="280"/>
      </w:pPr>
      <w:r>
        <w:rPr>
          <w:rFonts w:ascii="Arial" w:cs="Arial" w:eastAsia="Arial" w:hAnsi="Arial"/>
          <w:b/>
          <w:bCs/>
          <w:color w:val="1F3864"/>
          <w:sz w:val="24"/>
          <w:szCs w:val="24"/>
        </w:rPr>
        <w:t xml:space="preserve">16.14 Stale guide detection deferred (ISS-014)</w:t>
      </w:r>
    </w:p>
    <w:p>
      <w:pPr>
        <w:spacing w:after="160"/>
      </w:pPr>
      <w:r>
        <w:rPr>
          <w:rFonts w:ascii="Arial" w:cs="Arial" w:eastAsia="Arial" w:hAnsi="Arial"/>
          <w:color w:val="000000"/>
          <w:sz w:val="22"/>
          <w:szCs w:val="22"/>
        </w:rPr>
        <w:t xml:space="preserve">Section 14.4.2 specifies that the Session Orchestration view should display a warning before prompt generation if the prompt-optimized interview guide is stale (its source_version is behind the current source guide version per Section 10.7). The PromptGenerator implemented in Step 11 does not currently expose stale guide detection because the prompt-optimized interview guides themselves have not yet been authored — Step 11 returns a placeholder for missing guides and there is no version metadata to compare. When the guides are eventually written with source_version metadata, the PromptGenerator will need a method such as is_guide_stale(item_type) that compares the prompt-optimized guide’s source_version against the source guide’s current version. The Session Orchestration view (Step 15b) can then call this method and surface the warning per Section 14.4.2. For now, any errors returned by PromptGenerator for missing guides are displayed inline as generation errors. Resolution: add stale guide detection to PromptGenerator when interview guide content is authored.</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