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pPr>
      <w:r>
        <w:t xml:space="preserve">3.4 Phase 4: Domain Overview + Process Definition</w:t>
      </w:r>
    </w:p>
    <w:p>
      <w:pPr>
        <w:pStyle w:val="BodyText"/>
      </w:pPr>
      <w:r>
        <w:t xml:space="preserve">Phase 4 is a single phase containing two activities that, in practice, interleave: producing the Domain Overview document for each domain, and producing the Process Definition document for each process within that domain. They are grouped into one phase because they share the same client conversations and the same interview cadence — the implementer typically works through one domain at a time, drafting its overview and its processes together before moving to the next domain. The two activities are described separately below for clarity, but in execution they are not strictly sequential.</w:t>
      </w:r>
    </w:p>
    <w:p>
      <w:pPr>
        <w:pStyle w:val="BodyText"/>
      </w:pPr>
      <w:r>
        <w:t xml:space="preserve">The inputs to Phase 4 are the Master PRD, the reconciled Entity Inventory and Persona Inventory from Phase 3, and the Domain Discovery Report's notes on each domain. The outputs are one Domain Overview document per domain and one Process Definition document per process, all stored under PRDs/{domain_code}/.</w:t>
      </w:r>
    </w:p>
    <w:p>
      <w:pPr>
        <w:pStyle w:val="Heading3"/>
      </w:pPr>
      <w:r>
        <w:t xml:space="preserve">Domain Overview Activity</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Domain Overview 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spacing w:after="120"/>
      </w:pPr>
      <w:r>
        <w:rPr>
          <w:rFonts w:ascii="Arial" w:cs="Arial" w:eastAsia="Arial" w:hAnsi="Arial"/>
          <w:b w:val="false"/>
          <w:bCs w:val="false"/>
          <w:i w:val="false"/>
          <w:iCs w:val="false"/>
          <w:sz w:val="22"/>
          <w:szCs w:val="22"/>
        </w:rPr>
        <w:t xml:space="preserve">For domains with sub-domains, the Domain Overview Activity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3"/>
      </w:pPr>
      <w:r>
        <w:t xml:space="preserve">Process Definition Activity</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from the reconciled Entity Inventory produced in Phase 3 (Inventory Reconciliation) and may reference Cross-Domain Services as described in the Master PRD. Full Entity PRDs are produced later in Phase 5. The process document identifies which entities the process uses or affects, and captures process-specific details about how those entities are created, read, or updated during the process. If a process reveals a field or entity not captured in the reconciled Entity Inventory,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Process Definition 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