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21:30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v1.7</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spacing w:after="120"/>
      </w:pPr>
      <w:r>
        <w:rPr>
          <w:rFonts w:ascii="Arial" w:cs="Arial" w:eastAsia="Arial" w:hAnsi="Arial"/>
          <w:b w:val="false"/>
          <w:bCs w:val="false"/>
          <w:i w:val="false"/>
          <w:iCs w:val="false"/>
          <w:sz w:val="22"/>
          <w:szCs w:val="22"/>
        </w:rPr>
        <w:t xml:space="preserve">The methodology is mission-anchored, not technology-anchored. Requirements belong to the business, are captured in business terms, and are expressed independently of any specific CRM product. A domain is one of the big questions the mission forces the organization to answer — not a department, not a screen, not a feature of a product. The full definition and the validation test appear in Phase 2 as Rule 2.1.</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thirteen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Phases 1, 2, and 3 are performed once for the entire implementation. Phase 6 is performed once per Cross-Domain Service. Phases 4, 5, and 7 are performed once per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Persona Inventory (Word); Master PRD domain list updated in place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 + 1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4 and 7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pPr>
      <w:r>
        <w:t xml:space="preserve">3.2 Phase 2: Domain Discovery</w:t>
      </w:r>
    </w:p>
    <w:p>
      <w:pPr>
        <w:pStyle w:val="BodyText"/>
      </w:pPr>
      <w:r>
        <w:rPr>
          <w:b/>
          <w:bCs/>
        </w:rPr>
        <w:t xml:space="preserve">Purpose.</w:t>
      </w:r>
      <w:r>
        <w:t xml:space="preserve"> Domain Discovery is the first client-facing implementation phase. Working from the Master PRD's mission statement and scope, the implementer and the client jointly identify the organization's domains, capture candidate entities, and capture candidate personas — all in the same set of conversations. Doing these three things together is deliberate: domains, entities, and personas surface in the client's own language at the same time, and separating them into distinct phases creates artificial boundaries that lose context.</w:t>
      </w:r>
    </w:p>
    <w:p>
      <w:pPr>
        <w:pStyle w:val="BodyText"/>
      </w:pPr>
      <w:r>
        <w:rPr>
          <w:b/>
          <w:bCs/>
        </w:rPr>
        <w:t xml:space="preserve">Activity.</w:t>
      </w:r>
      <w:r>
        <w:t xml:space="preserve"> The implementer interviews stakeholders using the Domain Discovery interview guide. As stakeholders describe what the organization does, the implementer listens for three things simultaneously: areas of mission-critical work (candidate domains), nouns the organization tracks (candidate entities), and roles the organization recognizes (candidate personas). Candidates are captured verbatim from the client's language — reconciliation, deduplication, and ID assignment happen in Phase 3, not here.</w:t>
      </w:r>
    </w:p>
    <w:p>
      <w:pPr>
        <w:pStyle w:val="BodyText"/>
      </w:pPr>
      <w:r>
        <w:rPr>
          <w:b/>
          <w:bCs/>
        </w:rPr>
        <w:t xml:space="preserve">Output.</w:t>
      </w:r>
      <w:r>
        <w:t xml:space="preserve"> A single Word document, PRDs/Domain-Discovery-Report.docx, containing three sections: a Domain List with proposed domains, one-paragraph descriptions, and the mission tie-in for each; a Candidate Entity Inventory of nouns captured during discovery with source attribution and disambiguation notes; and a Candidate Persona Inventory of roles captured during discovery with source attribution and provisional backing notes. This document is a working artifact, not a durable inventory. It feeds Phase 3, where its contents are reconciled with the client and the durable Entity-Inventory.docx and Persona-Inventory.docx are produced.</w:t>
      </w:r>
    </w:p>
    <w:p>
      <w:pPr>
        <w:pStyle w:val="BodyText"/>
        <w:ind w:left="360"/>
      </w:pPr>
      <w:r>
        <w:rPr>
          <w:b/>
          <w:bCs/>
        </w:rPr>
        <w:t xml:space="preserve">Rule 2.1 — Domain Validation Test. </w:t>
      </w:r>
      <w:r>
        <w:t xml:space="preserve">If this area of work stopped tomorrow, would the mission be in trouble? If yes → domain. If no → probably a process or a cross-domain service.</w:t>
      </w:r>
    </w:p>
    <w:p>
      <w:pPr>
        <w:pStyle w:val="BodyText"/>
        <w:ind w:left="360"/>
      </w:pPr>
      <w:r>
        <w:rPr>
          <w:b/>
          <w:bCs/>
        </w:rPr>
        <w:t xml:space="preserve">Rule 2.2 — Persona Backing Rule. </w:t>
      </w:r>
      <w:r>
        <w:t xml:space="preserve">Every persona is either backed by an entity record in the system, or declared External (an outside role not tracked as data).</w:t>
      </w:r>
    </w:p>
    <w:p>
      <w:pPr>
        <w:pStyle w:val="BodyText"/>
      </w:pPr>
      <w:r>
        <w:rPr>
          <w:b/>
          <w:bCs/>
        </w:rPr>
        <w:t xml:space="preserve">Persona Inventory schema.</w:t>
      </w:r>
      <w:r>
        <w:t xml:space="preserve"> Both the candidate inventory captured here and the durable inventory produced in Phase 3 use the following schema:</w:t>
      </w:r>
    </w:p>
    <w:tbl>
      <w:tblPr>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200"/>
        <w:gridCol w:w="1200"/>
        <w:gridCol w:w="5960"/>
      </w:tblGrid>
      <w:tr>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Field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Required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Notes</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Persona Name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Human-readable name from the client's own language.</w:t>
            </w:r>
          </w:p>
        </w:tc>
      </w:tr>
      <w:tr>
        <w:tc>
          <w:tcPr>
            <w:tcW w:w="0" w:type="auto"/>
            <w:tcBorders>
              <w:top w:val="single" w:sz="4" w:color="AAAAAA"/>
              <w:left w:val="single" w:sz="4" w:color="AAAAAA"/>
              <w:bottom w:val="single" w:sz="4" w:color="AAAAAA"/>
              <w:right w:val="single" w:sz="4" w:color="AAAAAA"/>
            </w:tcBorders>
          </w:tcPr>
          <w:p>
            <w:pPr>
              <w:pStyle w:val="BodyText"/>
            </w:pPr>
            <w:r>
              <w:t xml:space="preserve">Persona ID</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Format PER-NNN. Assigned in Phase 3, implementation-wide scope (not domain-scoped).</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Backing</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Entity reference (e.g., Contact / contactType=mentor) or External for roles not tracked as data.</w:t>
            </w:r>
          </w:p>
        </w:tc>
      </w:tr>
      <w:tr>
        <w:tc>
          <w:tcPr>
            <w:tcW w:w="0" w:type="auto"/>
            <w:tcBorders>
              <w:top w:val="single" w:sz="4" w:color="AAAAAA"/>
              <w:left w:val="single" w:sz="4" w:color="AAAAAA"/>
              <w:bottom w:val="single" w:sz="4" w:color="AAAAAA"/>
              <w:right w:val="single" w:sz="4" w:color="AAAAAA"/>
            </w:tcBorders>
          </w:tcPr>
          <w:p>
            <w:pPr>
              <w:pStyle w:val="BodyText"/>
            </w:pPr>
            <w:r>
              <w:t xml:space="preserve">Description</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One to three sentences describing the role and its relationship to the mission.</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Source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Stakeholder name, document, or interview where the persona was first identified.</w:t>
            </w:r>
          </w:p>
        </w:tc>
      </w:tr>
      <w:tr>
        <w:tc>
          <w:tcPr>
            <w:tcW w:w="0" w:type="auto"/>
            <w:tcBorders>
              <w:top w:val="single" w:sz="4" w:color="AAAAAA"/>
              <w:left w:val="single" w:sz="4" w:color="AAAAAA"/>
              <w:bottom w:val="single" w:sz="4" w:color="AAAAAA"/>
              <w:right w:val="single" w:sz="4" w:color="AAAAAA"/>
            </w:tcBorders>
          </w:tcPr>
          <w:p>
            <w:pPr>
              <w:pStyle w:val="BodyText"/>
            </w:pPr>
            <w:r>
              <w:t xml:space="preserve">Notes</w:t>
            </w:r>
          </w:p>
        </w:tc>
        <w:tc>
          <w:tcPr>
            <w:tcW w:w="0" w:type="auto"/>
            <w:tcBorders>
              <w:top w:val="single" w:sz="4" w:color="AAAAAA"/>
              <w:left w:val="single" w:sz="4" w:color="AAAAAA"/>
              <w:bottom w:val="single" w:sz="4" w:color="AAAAAA"/>
              <w:right w:val="single" w:sz="4" w:color="AAAAAA"/>
            </w:tcBorders>
          </w:tcPr>
          <w:p>
            <w:pPr>
              <w:pStyle w:val="BodyText"/>
            </w:pPr>
            <w:r>
              <w:t xml:space="preserve">No</w:t>
            </w:r>
          </w:p>
        </w:tc>
        <w:tc>
          <w:tcPr>
            <w:tcW w:w="0" w:type="auto"/>
            <w:tcBorders>
              <w:top w:val="single" w:sz="4" w:color="AAAAAA"/>
              <w:left w:val="single" w:sz="4" w:color="AAAAAA"/>
              <w:bottom w:val="single" w:sz="4" w:color="AAAAAA"/>
              <w:right w:val="single" w:sz="4" w:color="AAAAAA"/>
            </w:tcBorders>
          </w:tcPr>
          <w:p>
            <w:pPr>
              <w:pStyle w:val="BodyText"/>
            </w:pPr>
            <w:r>
              <w:t xml:space="preserve">Disambiguation, aliases, merge history.</w:t>
            </w:r>
          </w:p>
        </w:tc>
      </w:tr>
    </w:tbl>
    <w:p>
      <w:pPr>
        <w:pStyle w:val="BodyText"/>
      </w:pPr>
      <w:r>
        <w:rPr>
          <w:b/>
          <w:bCs/>
        </w:rPr>
        <w:t xml:space="preserve">Conversation count.</w:t>
      </w:r>
      <w:r>
        <w:t xml:space="preserve"> Typically 1–3 stakeholder conversations depending on organization size. The phase ends when no new domains, entities, or personas are surfacing in additional interviews.</w:t>
      </w:r>
    </w:p>
    <w:p>
      <w:pPr>
        <w:pStyle w:val="Heading2"/>
      </w:pPr>
      <w:r>
        <w:t xml:space="preserve">3.3 Phase 3: Inventory Reconciliation</w:t>
      </w:r>
    </w:p>
    <w:p>
      <w:pPr>
        <w:pStyle w:val="BodyText"/>
      </w:pPr>
      <w:r>
        <w:rPr>
          <w:b/>
          <w:bCs/>
        </w:rPr>
        <w:t xml:space="preserve">Purpose.</w:t>
      </w:r>
      <w:r>
        <w:t xml:space="preserve"> Inventory Reconciliation converts the working artifacts from Phase 2 — the candidate domain list, candidate entity inventory, and candidate persona inventory — into durable, agreed-upon inventories that the rest of the implementation depends on. Reconciliation is where deduplication happens, where the client and implementer agree on canonical names, where IDs are assigned, and where every persona is explicitly tied to either an entity record or an External declaration.</w:t>
      </w:r>
    </w:p>
    <w:p>
      <w:pPr>
        <w:pStyle w:val="BodyText"/>
      </w:pPr>
      <w:r>
        <w:rPr>
          <w:b/>
          <w:bCs/>
        </w:rPr>
        <w:t xml:space="preserve">Activity.</w:t>
      </w:r>
      <w:r>
        <w:t xml:space="preserve"> A client-facing reconciliation session walks through each candidate item from the Domain Discovery Report. For each candidate domain, the client confirms whether it survives, merges with another, or is reclassified as a process or cross-domain service. For each candidate entity, the client confirms the canonical name, resolves duplicates and aliases, and approves the entity for the Entity Inventory. For each candidate persona, the client confirms the name, approves the backing (entity reference or External), and the implementer assigns the PER-NNN ID.</w:t>
      </w:r>
    </w:p>
    <w:p>
      <w:pPr>
        <w:pStyle w:val="BodyText"/>
        <w:ind w:left="360"/>
      </w:pPr>
      <w:r>
        <w:t xml:space="preserve">Inventory Reconciliation is normally a single client-facing session covering both inventories, because personas are defined in terms of entities. Split into two sessions only if (a) the candidate inventories together exceed roughly 40 items, or (b) stakeholder availability forces it.</w:t>
      </w:r>
    </w:p>
    <w:p>
      <w:pPr>
        <w:pStyle w:val="BodyText"/>
      </w:pPr>
      <w:r>
        <w:rPr>
          <w:b/>
          <w:bCs/>
        </w:rPr>
        <w:t xml:space="preserve">Outputs.</w:t>
      </w:r>
      <w:r>
        <w:t xml:space="preserve"> Three artifacts result from this phase: </w:t>
      </w:r>
      <w:r>
        <w:rPr>
          <w:b/>
          <w:bCs/>
        </w:rPr>
        <w:t xml:space="preserve">PRDs/Entity-Inventory.docx</w:t>
      </w:r>
      <w:r>
        <w:t xml:space="preserve">, the durable root-level Entity Inventory with one row per entity (canonical name, one-sentence description, source domain(s), notes); this is the source of truth for entity references in all subsequent process documents. </w:t>
      </w:r>
      <w:r>
        <w:rPr>
          <w:b/>
          <w:bCs/>
        </w:rPr>
        <w:t xml:space="preserve">PRDs/Persona-Inventory.docx</w:t>
      </w:r>
      <w:r>
        <w:t xml:space="preserve">, the durable root-level Persona Inventory using the schema defined in Phase 2 (Persona Name, Persona ID, Backing, Description, Source, Notes); IDs are assigned in this phase. </w:t>
      </w:r>
      <w:r>
        <w:rPr>
          <w:b/>
          <w:bCs/>
        </w:rPr>
        <w:t xml:space="preserve">Updated Master PRD</w:t>
      </w:r>
      <w:r>
        <w:t xml:space="preserve">, in which the finalized domain list is folded back into the Master PRD in place, replacing the candidate list.</w:t>
      </w:r>
    </w:p>
    <w:p>
      <w:pPr>
        <w:pStyle w:val="BodyText"/>
      </w:pPr>
      <w:r>
        <w:rPr>
          <w:b/>
          <w:bCs/>
        </w:rPr>
        <w:t xml:space="preserve">Conversation count.</w:t>
      </w:r>
      <w:r>
        <w:t xml:space="preserve"> Typically 1 session (combined entity + persona reconciliation). 2 sessions only if the threshold or scheduling exceptions in the rule above apply.</w:t>
      </w:r>
    </w:p>
    <w:p>
      <w:pPr>
        <w:pStyle w:val="Heading2"/>
      </w:pPr>
      <w:r>
        <w:t xml:space="preserve">3.4 Phase 4: Domain Overview + Process Definition</w:t>
      </w:r>
    </w:p>
    <w:p>
      <w:pPr>
        <w:pStyle w:val="BodyText"/>
      </w:pPr>
      <w:r>
        <w:t xml:space="preserve">Phase 4 is a single phase containing two activities that, in practice, interleave: producing the Domain Overview document for each domain, and producing the Process Definition document for each process within that domain. They are grouped into one phase because they share the same client conversations and the same interview cadence — the implementer typically works through one domain at a time, drafting its overview and its processes together before moving to the next domain. The two activities are described separately below for clarity, but in execution they are not strictly sequential.</w:t>
      </w:r>
    </w:p>
    <w:p>
      <w:pPr>
        <w:pStyle w:val="BodyText"/>
      </w:pPr>
      <w:r>
        <w:t xml:space="preserve">The inputs to Phase 4 are the Master PRD, the reconciled Entity Inventory and Persona Inventory from Phase 3, and the Domain Discovery Report's notes on each domain. The outputs are one Domain Overview document per domain and one Process Definition document per process, all stored under PRDs/{domain_code}/.</w:t>
      </w:r>
    </w:p>
    <w:p>
      <w:pPr>
        <w:pStyle w:val="Heading3"/>
      </w:pPr>
      <w:r>
        <w:t xml:space="preserve">Domain Overview Activity</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Domain Overview 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spacing w:after="120"/>
      </w:pPr>
      <w:r>
        <w:rPr>
          <w:rFonts w:ascii="Arial" w:cs="Arial" w:eastAsia="Arial" w:hAnsi="Arial"/>
          <w:b w:val="false"/>
          <w:bCs w:val="false"/>
          <w:i w:val="false"/>
          <w:iCs w:val="false"/>
          <w:sz w:val="22"/>
          <w:szCs w:val="22"/>
        </w:rPr>
        <w:t xml:space="preserve">For domains with sub-domains, the Domain Overview Activity produces multiple overview documents. The parent domain receives a Domain Overview that covers the domain’s overall purpose, the sub-domain structure and rationale, shared personas, cross-sub-domain relationships, and consolidated oversight and analytics requirements. Each sub-domain then receives its own Sub-Domain Overview following the standard Domain Overview structure — purpose, personas, process inventory with dependency ordering, and data reference. Sub-Domain Overview documents are the primary input for process definition conversations within that sub-domain, replacing the parent Domain Overview for that purpose.</w:t>
      </w:r>
    </w:p>
    <w:p>
      <w:pPr>
        <w:spacing w:after="120"/>
      </w:pPr>
      <w:r>
        <w:rPr>
          <w:rFonts w:ascii="Arial" w:cs="Arial" w:eastAsia="Arial" w:hAnsi="Arial"/>
          <w:b w:val="false"/>
          <w:bCs w:val="false"/>
          <w:i w:val="false"/>
          <w:iCs w:val="false"/>
          <w:sz w:val="22"/>
          <w:szCs w:val="22"/>
        </w:rPr>
        <w:t xml:space="preserve">Conversations: 1 per domain. For domains with sub-domains, 1 for the parent domain overview plus 1 per sub-domain overview.</w:t>
      </w:r>
    </w:p>
    <w:p>
      <w:pPr>
        <w:spacing w:after="120"/>
      </w:pPr>
      <w:r>
        <w:rPr>
          <w:rFonts w:ascii="Arial" w:cs="Arial" w:eastAsia="Arial" w:hAnsi="Arial"/>
          <w:b w:val="false"/>
          <w:bCs w:val="false"/>
          <w:i w:val="false"/>
          <w:iCs w:val="false"/>
          <w:sz w:val="22"/>
          <w:szCs w:val="22"/>
        </w:rPr>
        <w:t xml:space="preserve">Context passing for sub-domain overviews: the parent Domain Overview plus the Master PRD, Entity Inventory, and Entity PRDs for entities participating in that sub-domain.</w:t>
      </w:r>
    </w:p>
    <w:p>
      <w:pPr>
        <w:pStyle w:val="Heading3"/>
      </w:pPr>
      <w:r>
        <w:t xml:space="preserve">Process Definition Activity</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from the reconciled Entity Inventory produced in Phase 3 (Inventory Reconciliation) and may reference Cross-Domain Services as described in the Master PRD. Full Entity PRDs are produced later in Phase 5. The process document identifies which entities the process uses or affects, and captures process-specific details about how those entities are created, read, or updated during the process. If a process reveals a field or entity not captured in the reconciled Entity Inventory,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Process Definition 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For processes within a sub-domain, the primary input is the Sub-Domain Overview plus all previously completed process documents within that sub-domain. The parent Domain Overview is not uploaded into individual process conversations — its content relevant to the sub-domain has already been incorporated into the Sub-Domain Overview.</w:t>
      </w:r>
    </w:p>
    <w:p>
      <w:pPr>
        <w:spacing w:after="120"/>
      </w:pPr>
      <w:r>
        <w:rPr>
          <w:rFonts w:ascii="Arial" w:cs="Arial" w:eastAsia="Arial" w:hAnsi="Arial"/>
          <w:b w:val="false"/>
          <w:bCs w:val="false"/>
          <w:i w:val="false"/>
          <w:iCs w:val="false"/>
          <w:sz w:val="22"/>
          <w:szCs w:val="22"/>
        </w:rPr>
        <w:t xml:space="preserve">Within domains that use sub-domains, process ordering is determined within each sub-domain independently. Cross-sub-domain dependencies are identified in the parent Domain Overview but are expected to be rare given that sub-domains are designed to be autonomous.</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pPr>
      <w:r>
        <w:t xml:space="preserve">3.5 Phase 5: Entity PRDs</w:t>
      </w:r>
    </w:p>
    <w:p>
      <w:pPr>
        <w:pStyle w:val="BodyText"/>
      </w:pPr>
      <w:r>
        <w:rPr>
          <w:b/>
          <w:bCs/>
        </w:rPr>
        <w:t xml:space="preserve">Purpose.</w:t>
      </w:r>
      <w:r>
        <w:t xml:space="preserve"> Phase 5 produces the full Entity PRD for each entity in the reconciled Entity Inventory. An Entity PRD is the complete, authoritative definition of an entity: its full field list, field types, required/optional status, allowed values, relationships to other entities, and business rules. Entity PRDs are the source the YAML generation phase reads from when producing CRM-ready configuration.</w:t>
      </w:r>
    </w:p>
    <w:p>
      <w:pPr>
        <w:pStyle w:val="BodyText"/>
      </w:pPr>
      <w:r>
        <w:rPr>
          <w:b/>
          <w:bCs/>
        </w:rPr>
        <w:t xml:space="preserve">Why Phase 5 and not earlier.</w:t>
      </w:r>
      <w:r>
        <w:t xml:space="preserve"> Entities are first surfaced in Phase 2 (Domain Discovery) as nouns from the client's language, and reconciled in Phase 3 (Inventory Reconciliation) into a canonical Entity Inventory. But the full PRD for each entity — every field, every business rule, every relationship — cannot be written responsibly until the Phase 4 process documents that use those entities have been drafted. Process work is what reveals which fields an entity actually needs, which values an enum actually contains, and which relationships matter in practice. Writing Entity PRDs before process work means guessing; writing them after means recording.</w:t>
      </w:r>
    </w:p>
    <w:p>
      <w:pPr>
        <w:pStyle w:val="BodyText"/>
      </w:pPr>
      <w:r>
        <w:rPr>
          <w:b/>
          <w:bCs/>
        </w:rPr>
        <w:t xml:space="preserve">Activity.</w:t>
      </w:r>
      <w:r>
        <w:t xml:space="preserve"> For each entity in the reconciled Entity Inventory, the implementer conducts a focused conversation that walks through the entity's complete field list. The conversation references the Phase 4 process documents that use the entity to ground each field in a concrete process need. The output is a single Entity PRD document covering field name, type, required status, allowed values (for enums), default value, ID, and a description that leads with business purpose before technical detail.</w:t>
      </w:r>
    </w:p>
    <w:p>
      <w:pPr>
        <w:pStyle w:val="BodyText"/>
      </w:pPr>
      <w:r>
        <w:rPr>
          <w:b/>
          <w:bCs/>
        </w:rPr>
        <w:t xml:space="preserve">Input.</w:t>
      </w:r>
      <w:r>
        <w:t xml:space="preserve"> The reconciled Entity Inventory from Phase 3, plus all Phase 4 process documents that reference the entity.</w:t>
      </w:r>
    </w:p>
    <w:p>
      <w:pPr>
        <w:pStyle w:val="BodyText"/>
      </w:pPr>
      <w:r>
        <w:rPr>
          <w:b/>
          <w:bCs/>
        </w:rPr>
        <w:t xml:space="preserve">Output.</w:t>
      </w:r>
      <w:r>
        <w:t xml:space="preserve"> One Entity PRD document per entity, stored at PRDs/{domain_code}/{ENTITY-NAME}-PRD.docx (or under the appropriate cross-domain service folder for service entities).</w:t>
      </w:r>
    </w:p>
    <w:p>
      <w:pPr>
        <w:pStyle w:val="BodyText"/>
      </w:pPr>
      <w:r>
        <w:rPr>
          <w:b/>
          <w:bCs/>
        </w:rPr>
        <w:t xml:space="preserve">Conversation count.</w:t>
      </w:r>
      <w:r>
        <w:t xml:space="preserve"> Typically 1 per entity. Entities with very large field lists or complex business rules may require 2.</w:t>
      </w:r>
    </w:p>
    <w:p>
      <w:pPr>
        <w:pStyle w:val="BodyText"/>
        <w:ind w:left="360"/>
      </w:pPr>
      <w:r>
        <w:rPr>
          <w:b/>
          <w:bCs/>
        </w:rPr>
        <w:t xml:space="preserve">Rule 5.1 — Entity Definition Timing. </w:t>
      </w:r>
      <w:r>
        <w:t xml:space="preserve">Entities are identified and sketched during Phase 2 Domain Discovery to establish shared vocabulary, and reconciled in Phase 3. Full Entity PRDs — including complete field lists, relationships, and business rules — are produced only in Phase 5, after the Phase 4 process documents that use the entities have been drafted. Process documents may reference entity names and obvious fields from the reconciled Entity Inventory without waiting for the full PRD.</w:t>
      </w:r>
    </w:p>
    <w:p>
      <w:pPr>
        <w:pStyle w:val="Heading2"/>
        <w:spacing w:after="120" w:before="240"/>
      </w:pPr>
      <w:r>
        <w:rPr>
          <w:rFonts w:ascii="Arial" w:cs="Arial" w:eastAsia="Arial" w:hAnsi="Arial"/>
          <w:b/>
          <w:bCs/>
          <w:i w:val="false"/>
          <w:iCs w:val="false"/>
          <w:color w:val="1F3864"/>
          <w:sz w:val="28"/>
          <w:szCs w:val="28"/>
        </w:rPr>
        <w:t xml:space="preserve">3.6 Phase 6: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defined in Phase 2 (Entity Definition)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2 has been completed and when service process definition reveals entities not anticipated during the original Entity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3.7 Phase 7: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3.8 Phase 8: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7.</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3.9 Phase 9: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9,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3.10 Phase 10: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3.11 Phase 11: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3.12 Phase 12: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3.13 Phase 13: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Entity Inventory + Entity PRDs for entities participating in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during Entity Definition:</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an Entity Definition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