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F3864"/>
          <w:sz w:val="36"/>
          <w:szCs w:val="36"/>
        </w:rPr>
        <w:t xml:space="preserve">CRM Builder Automation</w:t>
      </w:r>
    </w:p>
    <w:p>
      <w:pPr>
        <w:spacing w:after="200"/>
        <w:jc w:val="center"/>
      </w:pPr>
      <w:r>
        <w:rPr>
          <w:rFonts w:ascii="Arial" w:cs="Arial" w:eastAsia="Arial" w:hAnsi="Arial"/>
          <w:color w:val="888888"/>
          <w:sz w:val="24"/>
          <w:szCs w:val="24"/>
        </w:rPr>
        <w:t xml:space="preserve">Product Requirements Document — Level 2 (Detailed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3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Version</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1.0</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Draft</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Author</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 Bower</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Last Updated</w:t>
            </w:r>
          </w:p>
        </w:tc>
        <w:tc>
          <w:tcPr>
            <w:tcW w:type="dxa" w:w="7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04-02-26 22:00</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L1 Reference</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crmbuilder-automation-l1-PRD.docx</w:t>
            </w:r>
          </w:p>
        </w:tc>
      </w:tr>
    </w:tbl>
    <w:p>
      <w:pPr>
        <w:spacing w:after="200"/>
      </w:pPr>
    </w:p>
    <w:p>
      <w:pPr>
        <w:pStyle w:val="Heading1"/>
        <w:spacing w:after="200" w:before="360"/>
      </w:pPr>
      <w:r>
        <w:rPr>
          <w:rFonts w:ascii="Arial" w:cs="Arial" w:eastAsia="Arial" w:hAnsi="Arial"/>
          <w:b/>
          <w:bCs/>
          <w:color w:val="1F3864"/>
          <w:sz w:val="28"/>
          <w:szCs w:val="28"/>
        </w:rPr>
        <w:t xml:space="preserve">1. Purpose</w:t>
      </w:r>
    </w:p>
    <w:p>
      <w:pPr>
        <w:spacing w:after="160"/>
      </w:pPr>
      <w:r>
        <w:rPr>
          <w:rFonts w:ascii="Arial" w:cs="Arial" w:eastAsia="Arial" w:hAnsi="Arial"/>
          <w:color w:val="000000"/>
          <w:sz w:val="22"/>
          <w:szCs w:val="22"/>
        </w:rPr>
        <w:t xml:space="preserve">This document provides the detailed design for CRM Builder Automation as described in the Level 1 PRD. It defines the database schema, workflow engine, prompt generator, import processor, impact analysis engine, document generator, and user interface required to implement the database-driven requirements management system.</w:t>
      </w:r>
    </w:p>
    <w:p>
      <w:pPr>
        <w:pStyle w:val="Heading1"/>
        <w:spacing w:after="200" w:before="360"/>
      </w:pPr>
      <w:r>
        <w:rPr>
          <w:rFonts w:ascii="Arial" w:cs="Arial" w:eastAsia="Arial" w:hAnsi="Arial"/>
          <w:b/>
          <w:bCs/>
          <w:color w:val="1F3864"/>
          <w:sz w:val="28"/>
          <w:szCs w:val="28"/>
        </w:rPr>
        <w:t xml:space="preserve">2. Database Architecture</w:t>
      </w:r>
    </w:p>
    <w:p>
      <w:pPr>
        <w:pStyle w:val="Heading2"/>
        <w:spacing w:after="160" w:before="280"/>
      </w:pPr>
      <w:r>
        <w:rPr>
          <w:rFonts w:ascii="Arial" w:cs="Arial" w:eastAsia="Arial" w:hAnsi="Arial"/>
          <w:b/>
          <w:bCs/>
          <w:color w:val="1F3864"/>
          <w:sz w:val="24"/>
          <w:szCs w:val="24"/>
        </w:rPr>
        <w:t xml:space="preserve">2.1 Two-Database Model</w:t>
      </w:r>
    </w:p>
    <w:p>
      <w:pPr>
        <w:spacing w:after="160"/>
      </w:pPr>
      <w:r>
        <w:rPr>
          <w:rFonts w:ascii="Arial" w:cs="Arial" w:eastAsia="Arial" w:hAnsi="Arial"/>
          <w:color w:val="000000"/>
          <w:sz w:val="22"/>
          <w:szCs w:val="22"/>
        </w:rPr>
        <w:t xml:space="preserve">CRM Builder Automation uses two levels of database. A master database stores the list of client implementations and the path to each client’s database file. Each client implementation has its own SQLite database containing the complete requirements model, workflow state, and audit trail for that client.</w:t>
      </w:r>
    </w:p>
    <w:p>
      <w:pPr>
        <w:spacing w:after="160"/>
      </w:pPr>
      <w:r>
        <w:rPr>
          <w:rFonts w:ascii="Arial" w:cs="Arial" w:eastAsia="Arial" w:hAnsi="Arial"/>
          <w:color w:val="000000"/>
          <w:sz w:val="22"/>
          <w:szCs w:val="22"/>
        </w:rPr>
        <w:t xml:space="preserve">This separation provides clean isolation between clients. A client’s database can be backed up, archived, or deleted independently. The same CRM Builder installation can manage multiple simultaneous client implementations without data intermingling.</w:t>
      </w:r>
    </w:p>
    <w:p>
      <w:pPr>
        <w:pStyle w:val="Heading2"/>
        <w:spacing w:after="160" w:before="280"/>
      </w:pPr>
      <w:r>
        <w:rPr>
          <w:rFonts w:ascii="Arial" w:cs="Arial" w:eastAsia="Arial" w:hAnsi="Arial"/>
          <w:b/>
          <w:bCs/>
          <w:color w:val="1F3864"/>
          <w:sz w:val="24"/>
          <w:szCs w:val="24"/>
        </w:rPr>
        <w:t xml:space="preserve">2.2 Master Database</w:t>
      </w:r>
    </w:p>
    <w:p>
      <w:pPr>
        <w:spacing w:after="160"/>
      </w:pPr>
      <w:r>
        <w:rPr>
          <w:rFonts w:ascii="Arial" w:cs="Arial" w:eastAsia="Arial" w:hAnsi="Arial"/>
          <w:color w:val="000000"/>
          <w:sz w:val="22"/>
          <w:szCs w:val="22"/>
        </w:rPr>
        <w:t xml:space="preserve">The master database contains a single table. It is stored in the CRM Builder application data directory.</w:t>
      </w:r>
    </w:p>
    <w:p>
      <w:pPr>
        <w:pStyle w:val="Heading2"/>
        <w:spacing w:after="160" w:before="280"/>
      </w:pPr>
      <w:r>
        <w:rPr>
          <w:rFonts w:ascii="Arial" w:cs="Arial" w:eastAsia="Arial" w:hAnsi="Arial"/>
          <w:b/>
          <w:bCs/>
          <w:color w:val="1F3864"/>
          <w:sz w:val="24"/>
          <w:szCs w:val="24"/>
        </w:rPr>
        <w:t xml:space="preserve">2.3 Client Database</w:t>
      </w:r>
    </w:p>
    <w:p>
      <w:pPr>
        <w:spacing w:after="160"/>
      </w:pPr>
      <w:r>
        <w:rPr>
          <w:rFonts w:ascii="Arial" w:cs="Arial" w:eastAsia="Arial" w:hAnsi="Arial"/>
          <w:color w:val="000000"/>
          <w:sz w:val="22"/>
          <w:szCs w:val="22"/>
        </w:rPr>
        <w:t xml:space="preserve">Each client database contains 20 tables organized into four layers: Requirements, Cross-Reference, Management, and Audit. The database file is stored at the path specified in the master database’s Client record.</w:t>
      </w:r>
    </w:p>
    <w:p>
      <w:pPr>
        <w:spacing w:after="160"/>
      </w:pPr>
      <w:r>
        <w:rPr>
          <w:rFonts w:ascii="Arial" w:cs="Arial" w:eastAsia="Arial" w:hAnsi="Arial"/>
          <w:color w:val="000000"/>
          <w:sz w:val="22"/>
          <w:szCs w:val="22"/>
        </w:rPr>
        <w:t xml:space="preserve">All tables follow common conventions. Every table has id (INTEGER PRIMARY KEY auto-increment), created_at, and updated_at timestamps. Tables that are created through AI sessions include a created_by_session_id foreign key linking to the AISession table. All foreign keys use integer IDs referencing the target table’s id column.</w:t>
      </w:r>
    </w:p>
    <w:p>
      <w:pPr>
        <w:pStyle w:val="Heading1"/>
        <w:spacing w:after="200" w:before="360"/>
      </w:pPr>
      <w:r>
        <w:rPr>
          <w:rFonts w:ascii="Arial" w:cs="Arial" w:eastAsia="Arial" w:hAnsi="Arial"/>
          <w:b/>
          <w:bCs/>
          <w:color w:val="1F3864"/>
          <w:sz w:val="28"/>
          <w:szCs w:val="28"/>
        </w:rPr>
        <w:t xml:space="preserve">3. Master Database Schema</w:t>
      </w:r>
    </w:p>
    <w:p>
      <w:pPr>
        <w:pStyle w:val="Heading2"/>
        <w:spacing w:after="160" w:before="280"/>
      </w:pPr>
      <w:r>
        <w:rPr>
          <w:rFonts w:ascii="Arial" w:cs="Arial" w:eastAsia="Arial" w:hAnsi="Arial"/>
          <w:b/>
          <w:bCs/>
          <w:color w:val="1F3864"/>
          <w:sz w:val="24"/>
          <w:szCs w:val="24"/>
        </w:rPr>
        <w:t xml:space="preserve">3.1 Client</w:t>
      </w:r>
    </w:p>
    <w:p>
      <w:pPr>
        <w:spacing w:after="160"/>
      </w:pPr>
      <w:r>
        <w:rPr>
          <w:rFonts w:ascii="Arial" w:cs="Arial" w:eastAsia="Arial" w:hAnsi="Arial"/>
          <w:color w:val="000000"/>
          <w:sz w:val="22"/>
          <w:szCs w:val="22"/>
        </w:rPr>
        <w:t xml:space="preserve">Tracks each client implementation managed by CRM Builder.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Organization name (e.g., “Cleveland Business Mentors”)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“CBM”)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the organization does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database_path</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Path to this client’s SQLite database file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1"/>
        <w:spacing w:after="200" w:before="360"/>
      </w:pPr>
      <w:r>
        <w:rPr>
          <w:rFonts w:ascii="Arial" w:cs="Arial" w:eastAsia="Arial" w:hAnsi="Arial"/>
          <w:b/>
          <w:bCs/>
          <w:color w:val="1F3864"/>
          <w:sz w:val="28"/>
          <w:szCs w:val="28"/>
        </w:rPr>
        <w:t xml:space="preserve">4. Client Database Schema — Requirements Layer</w:t>
      </w:r>
    </w:p>
    <w:p>
      <w:pPr>
        <w:pStyle w:val="Heading2"/>
        <w:spacing w:after="160" w:before="280"/>
      </w:pPr>
      <w:r>
        <w:rPr>
          <w:rFonts w:ascii="Arial" w:cs="Arial" w:eastAsia="Arial" w:hAnsi="Arial"/>
          <w:b/>
          <w:bCs/>
          <w:color w:val="1F3864"/>
          <w:sz w:val="24"/>
          <w:szCs w:val="24"/>
        </w:rPr>
        <w:t xml:space="preserve">4.1 Domain</w:t>
      </w:r>
    </w:p>
    <w:p>
      <w:pPr>
        <w:spacing w:after="160"/>
      </w:pPr>
      <w:r>
        <w:rPr>
          <w:rFonts w:ascii="Arial" w:cs="Arial" w:eastAsia="Arial" w:hAnsi="Arial"/>
          <w:color w:val="000000"/>
          <w:sz w:val="22"/>
          <w:szCs w:val="22"/>
        </w:rPr>
        <w:t xml:space="preserve">Business domains within the client’s organization. Each domain groups related business processes.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“Mentoring”)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“MN”)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this domain covers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preference ordering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4.2 Entity</w:t>
      </w:r>
    </w:p>
    <w:p>
      <w:pPr>
        <w:spacing w:after="160"/>
      </w:pPr>
      <w:r>
        <w:rPr>
          <w:rFonts w:ascii="Arial" w:cs="Arial" w:eastAsia="Arial" w:hAnsi="Arial"/>
          <w:color w:val="000000"/>
          <w:sz w:val="22"/>
          <w:szCs w:val="22"/>
        </w:rPr>
        <w:t xml:space="preserve">CRM entities representing the data objects tracked in the system. Entities belong to the client, not to a specific domain. Cross-domain usage is captured through the ProcessEntity cross-reference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“Contact”)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“CON”)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Base, Person, Company, or Event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is_native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True if extending a native CRM entity, false if custom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singular_label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singular (e.g., “Contact”)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plural_label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label plural (e.g., “Contacts”)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purpose of this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4.3 Field</w:t>
      </w:r>
    </w:p>
    <w:p>
      <w:pPr>
        <w:spacing w:after="160"/>
      </w:pPr>
      <w:r>
        <w:rPr>
          <w:rFonts w:ascii="Arial" w:cs="Arial" w:eastAsia="Arial" w:hAnsi="Arial"/>
          <w:color w:val="000000"/>
          <w:sz w:val="22"/>
          <w:szCs w:val="22"/>
        </w:rPr>
        <w:t xml:space="preserve">Individual data elements on an entity. Each field belongs to exactly one entity. Type-specific properties (max_length, min_value, max_value, is_sorted, display_as_label) are nullable and only relevant for their respective field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field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Field name in lowerCamelCase (e.g., “mentorStatus”)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(e.g., “Mentor Status”)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of 14 types: varchar, text, wysiwyg, bool, int, float, date, datetime, currency, url, email, phone, enum, multiEnum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is_required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field is required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default_value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Default value if any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read_only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field is read-only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audited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Whether changes are tracked in the CRM audit log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category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UI grouping used for layout tab assignment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max_length</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varchar fields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min_value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REAL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For int/float fields only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max_value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REAL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int/float fields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is_sorted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For enum/multiEnum — sort options alphabetically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display_as_label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enum only — display as colored badge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tooltip</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User-facing help text (deployed to CRM)</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Developer-facing documentation (never deployed)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ordering within the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4.4 FieldOption</w:t>
      </w:r>
    </w:p>
    <w:p>
      <w:pPr>
        <w:spacing w:after="160"/>
      </w:pPr>
      <w:r>
        <w:rPr>
          <w:rFonts w:ascii="Arial" w:cs="Arial" w:eastAsia="Arial" w:hAnsi="Arial"/>
          <w:color w:val="000000"/>
          <w:sz w:val="22"/>
          <w:szCs w:val="22"/>
        </w:rPr>
        <w:t xml:space="preserve">Allowed values for enum and multiEnum fields. Each option belongs to exactly one field.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field this option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option value (e.g., “Active”)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(translated option)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Plain-language explanation (maps to optionDescriptions in YAML)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style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Color style: null, default, primary, success, danger, warning, info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ordering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is_default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this is the default selection</w:t>
            </w:r>
          </w:p>
        </w:tc>
      </w:tr>
    </w:tbl>
    <w:p>
      <w:pPr>
        <w:pStyle w:val="Heading2"/>
        <w:spacing w:after="160" w:before="280"/>
      </w:pPr>
      <w:r>
        <w:rPr>
          <w:rFonts w:ascii="Arial" w:cs="Arial" w:eastAsia="Arial" w:hAnsi="Arial"/>
          <w:b/>
          <w:bCs/>
          <w:color w:val="1F3864"/>
          <w:sz w:val="24"/>
          <w:szCs w:val="24"/>
        </w:rPr>
        <w:t xml:space="preserve">4.5 Relationship</w:t>
      </w:r>
    </w:p>
    <w:p>
      <w:pPr>
        <w:spacing w:after="160"/>
      </w:pPr>
      <w:r>
        <w:rPr>
          <w:rFonts w:ascii="Arial" w:cs="Arial" w:eastAsia="Arial" w:hAnsi="Arial"/>
          <w:color w:val="000000"/>
          <w:sz w:val="22"/>
          <w:szCs w:val="22"/>
        </w:rPr>
        <w:t xml:space="preserve">Links between entities. Each relationship defines the connection type, link names, and labels for both sides.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Identifier for this relationship (e.g., “duesToMentor”)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rationale and PRD reference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Primary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entity_foreign_id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Foreign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link_type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oneToMany, manyToOne, or manyToMany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link</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Link name on the primary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link_foreign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Link name on the foreign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label on the primary entity’s detail view</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label_foreign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Panel label on the foreign entity’s detail view</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relation_name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Junction table name — required for manyToMany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audited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Track changes on primary side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audited_foreign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Track changes on foreign side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action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skip to document without deploying, null to deploy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4.6 Persona</w:t>
      </w:r>
    </w:p>
    <w:p>
      <w:pPr>
        <w:spacing w:after="160"/>
      </w:pPr>
      <w:r>
        <w:rPr>
          <w:rFonts w:ascii="Arial" w:cs="Arial" w:eastAsia="Arial" w:hAnsi="Arial"/>
          <w:color w:val="000000"/>
          <w:sz w:val="22"/>
          <w:szCs w:val="22"/>
        </w:rPr>
        <w:t xml:space="preserve">Roles or actor types that interact with the system. Personas can be linked to a specific entity and field value in the CRM data model (e.g., “Volunteer Mentor” maps to contactType = “Mentor” on the Contact 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“Volunteer Mentor”)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(e.g., “MENTOR”)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Who this person is and their role in the organization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entity this persona corresponds to (e.g., Contact)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persona_field_id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field that identifies this persona (e.g., contactType)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persona_field_value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field value (e.g., “Mentor”)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4.7 BusinessObject</w:t>
      </w:r>
    </w:p>
    <w:p>
      <w:pPr>
        <w:spacing w:after="160"/>
      </w:pPr>
      <w:r>
        <w:rPr>
          <w:rFonts w:ascii="Arial" w:cs="Arial" w:eastAsia="Arial" w:hAnsi="Arial"/>
          <w:color w:val="000000"/>
          <w:sz w:val="22"/>
          <w:szCs w:val="22"/>
        </w:rPr>
        <w:t xml:space="preserve">Discovered items from Business Object Discovery. Each represents something the organization works with that has not yet been classified. Once classified, the record links to the resulting entity, process, or persona.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Discovered name (e.g., “Prospect”, “Client Intake”)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this represents to the organization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unclassified, classified, excluded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Null until classified: entity, process, persona, field_value, lifecycle_state, relationship</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resolved_to_entity_id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resolved to an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resolved_to_process_id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resolved to a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resolved_to_persona_id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resolved to a persona</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resolution_detail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Explanation of the classification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4.8 Process</w:t>
      </w:r>
    </w:p>
    <w:p>
      <w:pPr>
        <w:spacing w:after="160"/>
      </w:pPr>
      <w:r>
        <w:rPr>
          <w:rFonts w:ascii="Arial" w:cs="Arial" w:eastAsia="Arial" w:hAnsi="Arial"/>
          <w:color w:val="000000"/>
          <w:sz w:val="22"/>
          <w:szCs w:val="22"/>
        </w:rPr>
        <w:t xml:space="preserve">Business processes within a domain. Each process belongs to exactly one domain and has a defined dependency order within that domain.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domain this process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name (e.g., “Client Intake”)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Identifier code (e.g., “MN-INTAKE”)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this process does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triggers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initiates this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completion_criteria</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marks this process as complete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Dependency order within the domain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4.9 ProcessStep</w:t>
      </w:r>
    </w:p>
    <w:p>
      <w:pPr>
        <w:spacing w:after="160"/>
      </w:pPr>
      <w:r>
        <w:rPr>
          <w:rFonts w:ascii="Arial" w:cs="Arial" w:eastAsia="Arial" w:hAnsi="Arial"/>
          <w:color w:val="000000"/>
          <w:sz w:val="22"/>
          <w:szCs w:val="22"/>
        </w:rPr>
        <w:t xml:space="preserve">Individual steps within a business process, representing the workflow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process this step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Step name (e.g., “Submit Intake Form”)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happens in this step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step_type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action, decision, system, notification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performer_persona_id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Who performs this step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Sequence within the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4.10 Requirement</w:t>
      </w:r>
    </w:p>
    <w:p>
      <w:pPr>
        <w:spacing w:after="160"/>
      </w:pPr>
      <w:r>
        <w:rPr>
          <w:rFonts w:ascii="Arial" w:cs="Arial" w:eastAsia="Arial" w:hAnsi="Arial"/>
          <w:color w:val="000000"/>
          <w:sz w:val="22"/>
          <w:szCs w:val="22"/>
        </w:rPr>
        <w:t xml:space="preserve">Individual requirements within a business process. Each requirement is independently identifiable and trackable.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“MN-ENGAGE-REQ-001”)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process this requirement belongs to</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requirement statement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priority</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must, should, may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proposed, approved, deferred, removed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1"/>
        <w:spacing w:after="200" w:before="360"/>
      </w:pPr>
      <w:r>
        <w:rPr>
          <w:rFonts w:ascii="Arial" w:cs="Arial" w:eastAsia="Arial" w:hAnsi="Arial"/>
          <w:b/>
          <w:bCs/>
          <w:color w:val="1F3864"/>
          <w:sz w:val="28"/>
          <w:szCs w:val="28"/>
        </w:rPr>
        <w:t xml:space="preserve">5. Client Database Schema — Cross-Reference Layer</w:t>
      </w:r>
    </w:p>
    <w:p>
      <w:pPr>
        <w:spacing w:after="160"/>
      </w:pPr>
      <w:r>
        <w:rPr>
          <w:rFonts w:ascii="Arial" w:cs="Arial" w:eastAsia="Arial" w:hAnsi="Arial"/>
          <w:color w:val="000000"/>
          <w:sz w:val="22"/>
          <w:szCs w:val="22"/>
        </w:rPr>
        <w:t xml:space="preserve">Cross-reference tables capture the many-to-many relationships between processes and the entities, fields, and personas they reference. These tables are the foundation of impact analysis: changing a field triggers a query across these tables to identify every process affected.</w:t>
      </w:r>
    </w:p>
    <w:p>
      <w:pPr>
        <w:pStyle w:val="Heading2"/>
        <w:spacing w:after="160" w:before="280"/>
      </w:pPr>
      <w:r>
        <w:rPr>
          <w:rFonts w:ascii="Arial" w:cs="Arial" w:eastAsia="Arial" w:hAnsi="Arial"/>
          <w:b/>
          <w:bCs/>
          <w:color w:val="1F3864"/>
          <w:sz w:val="24"/>
          <w:szCs w:val="24"/>
        </w:rPr>
        <w:t xml:space="preserve">5.1 ProcessEntity</w:t>
      </w:r>
    </w:p>
    <w:p>
      <w:pPr>
        <w:spacing w:after="160"/>
      </w:pPr>
      <w:r>
        <w:rPr>
          <w:rFonts w:ascii="Arial" w:cs="Arial" w:eastAsia="Arial" w:hAnsi="Arial"/>
          <w:color w:val="000000"/>
          <w:sz w:val="22"/>
          <w:szCs w:val="22"/>
        </w:rPr>
        <w:t xml:space="preserve">Maps which entities are involved in which processes. The optional process_step_id provides step-level granularity when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process_step_id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Optional: the specific step that references this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role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this entity participates: primary, referenced, created, updated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Explanation of the entity’s role in this process</w:t>
            </w:r>
          </w:p>
        </w:tc>
      </w:tr>
    </w:tbl>
    <w:p>
      <w:pPr>
        <w:pStyle w:val="Heading2"/>
        <w:spacing w:after="160" w:before="280"/>
      </w:pPr>
      <w:r>
        <w:rPr>
          <w:rFonts w:ascii="Arial" w:cs="Arial" w:eastAsia="Arial" w:hAnsi="Arial"/>
          <w:b/>
          <w:bCs/>
          <w:color w:val="1F3864"/>
          <w:sz w:val="24"/>
          <w:szCs w:val="24"/>
        </w:rPr>
        <w:t xml:space="preserve">5.2 ProcessField</w:t>
      </w:r>
    </w:p>
    <w:p>
      <w:pPr>
        <w:spacing w:after="160"/>
      </w:pPr>
      <w:r>
        <w:rPr>
          <w:rFonts w:ascii="Arial" w:cs="Arial" w:eastAsia="Arial" w:hAnsi="Arial"/>
          <w:color w:val="000000"/>
          <w:sz w:val="22"/>
          <w:szCs w:val="22"/>
        </w:rPr>
        <w:t xml:space="preserve">Maps which fields are used by which processes. The usage value describes how the field participates, enabling precise impact analysis. The optional process_step_id provides step-level granularity when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field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process_step_id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Optional: the specific step that uses this field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usage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collected, displayed, updated, evaluated, filtered, calculated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Explanation of how the field is used in this process</w:t>
            </w:r>
          </w:p>
        </w:tc>
      </w:tr>
    </w:tbl>
    <w:p>
      <w:pPr>
        <w:pStyle w:val="Heading2"/>
        <w:spacing w:after="160" w:before="280"/>
      </w:pPr>
      <w:r>
        <w:rPr>
          <w:rFonts w:ascii="Arial" w:cs="Arial" w:eastAsia="Arial" w:hAnsi="Arial"/>
          <w:b/>
          <w:bCs/>
          <w:color w:val="1F3864"/>
          <w:sz w:val="24"/>
          <w:szCs w:val="24"/>
        </w:rPr>
        <w:t xml:space="preserve">5.3 ProcessPersona</w:t>
      </w:r>
    </w:p>
    <w:p>
      <w:pPr>
        <w:spacing w:after="160"/>
      </w:pPr>
      <w:r>
        <w:rPr>
          <w:rFonts w:ascii="Arial" w:cs="Arial" w:eastAsia="Arial" w:hAnsi="Arial"/>
          <w:color w:val="000000"/>
          <w:sz w:val="22"/>
          <w:szCs w:val="22"/>
        </w:rPr>
        <w:t xml:space="preserve">Maps which personas participate in which processes and in what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persona</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role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How this persona participates: initiator, performer, approver, recipient, observer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Explanation of what this persona does in this process</w:t>
            </w:r>
          </w:p>
        </w:tc>
      </w:tr>
    </w:tbl>
    <w:p>
      <w:pPr>
        <w:pStyle w:val="Heading1"/>
        <w:spacing w:after="200" w:before="360"/>
      </w:pPr>
      <w:r>
        <w:rPr>
          <w:rFonts w:ascii="Arial" w:cs="Arial" w:eastAsia="Arial" w:hAnsi="Arial"/>
          <w:b/>
          <w:bCs/>
          <w:color w:val="1F3864"/>
          <w:sz w:val="28"/>
          <w:szCs w:val="28"/>
        </w:rPr>
        <w:t xml:space="preserve">6. Client Database Schema — Management Layer</w:t>
      </w:r>
    </w:p>
    <w:p>
      <w:pPr>
        <w:pStyle w:val="Heading2"/>
        <w:spacing w:after="160" w:before="280"/>
      </w:pPr>
      <w:r>
        <w:rPr>
          <w:rFonts w:ascii="Arial" w:cs="Arial" w:eastAsia="Arial" w:hAnsi="Arial"/>
          <w:b/>
          <w:bCs/>
          <w:color w:val="1F3864"/>
          <w:sz w:val="24"/>
          <w:szCs w:val="24"/>
        </w:rPr>
        <w:t xml:space="preserve">6.1 Decision</w:t>
      </w:r>
    </w:p>
    <w:p>
      <w:pPr>
        <w:spacing w:after="160"/>
      </w:pPr>
      <w:r>
        <w:rPr>
          <w:rFonts w:ascii="Arial" w:cs="Arial" w:eastAsia="Arial" w:hAnsi="Arial"/>
          <w:color w:val="000000"/>
          <w:sz w:val="22"/>
          <w:szCs w:val="22"/>
        </w:rPr>
        <w:t xml:space="preserve">Locked decisions with rationale. A decision can be scoped to any combination of domain, entity, process, field, requirement, or business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“MN-ENGAGE-DEC-001”)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title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summary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Full rationale for the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proposed, locked, superseded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domain-scoped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entity-scoped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process-scoped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field-scoped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requirement_id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requirement-scoped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business_object_id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business-object-scoped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superseded_by_id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superseded, points to the replacement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locked_at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decision was locked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locked_by_session_id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locked it</w:t>
            </w:r>
          </w:p>
        </w:tc>
      </w:tr>
    </w:tbl>
    <w:p>
      <w:pPr>
        <w:pStyle w:val="Heading2"/>
        <w:spacing w:after="160" w:before="280"/>
      </w:pPr>
      <w:r>
        <w:rPr>
          <w:rFonts w:ascii="Arial" w:cs="Arial" w:eastAsia="Arial" w:hAnsi="Arial"/>
          <w:b/>
          <w:bCs/>
          <w:color w:val="1F3864"/>
          <w:sz w:val="24"/>
          <w:szCs w:val="24"/>
        </w:rPr>
        <w:t xml:space="preserve">6.2 OpenIssue</w:t>
      </w:r>
    </w:p>
    <w:p>
      <w:pPr>
        <w:spacing w:after="160"/>
      </w:pPr>
      <w:r>
        <w:rPr>
          <w:rFonts w:ascii="Arial" w:cs="Arial" w:eastAsia="Arial" w:hAnsi="Arial"/>
          <w:color w:val="000000"/>
          <w:sz w:val="22"/>
          <w:szCs w:val="22"/>
        </w:rPr>
        <w:t xml:space="preserve">Unresolved questions surfaced during AI sessions. Each issue can be scoped to any combination of domain, entity, process, field, requirement, or business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“MN-ENGAGE-ISS-001”)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title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summary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Full description of the unresolved question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open, resolved, deferred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priority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high, medium, low</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domain-scoped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entity-scoped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process-scoped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field-scoped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requirement_id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requirement-scoped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business_object_id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business-object-scoped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it was resolved — populated when status changes from open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resolved_by_decision_id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resolution resulted in a formal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surfaced this issue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issue was resolved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resolved_by_session_id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resolved it</w:t>
            </w:r>
          </w:p>
        </w:tc>
      </w:tr>
    </w:tbl>
    <w:p>
      <w:pPr>
        <w:pStyle w:val="Heading2"/>
        <w:spacing w:after="160" w:before="280"/>
      </w:pPr>
      <w:r>
        <w:rPr>
          <w:rFonts w:ascii="Arial" w:cs="Arial" w:eastAsia="Arial" w:hAnsi="Arial"/>
          <w:b/>
          <w:bCs/>
          <w:color w:val="1F3864"/>
          <w:sz w:val="24"/>
          <w:szCs w:val="24"/>
        </w:rPr>
        <w:t xml:space="preserve">6.3 WorkItem</w:t>
      </w:r>
    </w:p>
    <w:p>
      <w:pPr>
        <w:spacing w:after="160"/>
      </w:pPr>
      <w:r>
        <w:rPr>
          <w:rFonts w:ascii="Arial" w:cs="Arial" w:eastAsia="Arial" w:hAnsi="Arial"/>
          <w:color w:val="000000"/>
          <w:sz w:val="22"/>
          <w:szCs w:val="22"/>
        </w:rPr>
        <w:t xml:space="preserve">Tracks the phase and status of every work item that goes through the workflow. A work item’s status is automatically calculated from its dependencies — it becomes “ready” only when all dependencies have status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master_prd, business_object_discovery, entity_prd, process_definition, domain_reconciliation, yaml_generation, stakeholder_review</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scoped to a domain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scoped to an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scoped to a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phase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Document Production Process phase this represents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not_started, ready, in_progress, complete, blocked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blocked_reason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Why this item is blocked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started_at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work began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completed_at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work was finished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2"/>
        <w:spacing w:after="160" w:before="280"/>
      </w:pPr>
      <w:r>
        <w:rPr>
          <w:rFonts w:ascii="Arial" w:cs="Arial" w:eastAsia="Arial" w:hAnsi="Arial"/>
          <w:b/>
          <w:bCs/>
          <w:color w:val="1F3864"/>
          <w:sz w:val="24"/>
          <w:szCs w:val="24"/>
        </w:rPr>
        <w:t xml:space="preserve">6.4 Dependency</w:t>
      </w:r>
    </w:p>
    <w:p>
      <w:pPr>
        <w:spacing w:after="160"/>
      </w:pPr>
      <w:r>
        <w:rPr>
          <w:rFonts w:ascii="Arial" w:cs="Arial" w:eastAsia="Arial" w:hAnsi="Arial"/>
          <w:color w:val="000000"/>
          <w:sz w:val="22"/>
          <w:szCs w:val="22"/>
        </w:rPr>
        <w:t xml:space="preserve">Declares that one work item must complete before another can start. The workflow engine queries this table to calculate which work items are ready.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work_item_id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work item that is waiting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depends_on_id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work item that must complete first</w:t>
            </w:r>
          </w:p>
        </w:tc>
      </w:tr>
    </w:tbl>
    <w:p>
      <w:pPr>
        <w:pStyle w:val="Heading1"/>
        <w:spacing w:after="200" w:before="360"/>
      </w:pPr>
      <w:r>
        <w:rPr>
          <w:rFonts w:ascii="Arial" w:cs="Arial" w:eastAsia="Arial" w:hAnsi="Arial"/>
          <w:b/>
          <w:bCs/>
          <w:color w:val="1F3864"/>
          <w:sz w:val="28"/>
          <w:szCs w:val="28"/>
        </w:rPr>
        <w:t xml:space="preserve">7. Client Database Schema — Audit Layer</w:t>
      </w:r>
    </w:p>
    <w:p>
      <w:pPr>
        <w:pStyle w:val="Heading2"/>
        <w:spacing w:after="160" w:before="280"/>
      </w:pPr>
      <w:r>
        <w:rPr>
          <w:rFonts w:ascii="Arial" w:cs="Arial" w:eastAsia="Arial" w:hAnsi="Arial"/>
          <w:b/>
          <w:bCs/>
          <w:color w:val="1F3864"/>
          <w:sz w:val="24"/>
          <w:szCs w:val="24"/>
        </w:rPr>
        <w:t xml:space="preserve">7.1 AISession</w:t>
      </w:r>
    </w:p>
    <w:p>
      <w:pPr>
        <w:spacing w:after="160"/>
      </w:pPr>
      <w:r>
        <w:rPr>
          <w:rFonts w:ascii="Arial" w:cs="Arial" w:eastAsia="Arial" w:hAnsi="Arial"/>
          <w:color w:val="000000"/>
          <w:sz w:val="22"/>
          <w:szCs w:val="22"/>
        </w:rPr>
        <w:t xml:space="preserve">A record of each AI conversation conducted as part of the requirements process. Stores the generated prompt, the raw AI output, and the structured data extracted for import.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work_item_id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work item this session was for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session_type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initial, revision, clarification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generated_prompt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full prompt text generated by the app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raw_output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raw AI response pasted back by the administrator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structured_output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parsed JSON/YAML block extracted from the raw output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import_status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pending, imported, partial, rejected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notes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Administrator’s notes about this session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started_at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session was initiated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completed_at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output was imported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2"/>
        <w:spacing w:after="160" w:before="280"/>
      </w:pPr>
      <w:r>
        <w:rPr>
          <w:rFonts w:ascii="Arial" w:cs="Arial" w:eastAsia="Arial" w:hAnsi="Arial"/>
          <w:b/>
          <w:bCs/>
          <w:color w:val="1F3864"/>
          <w:sz w:val="24"/>
          <w:szCs w:val="24"/>
        </w:rPr>
        <w:t xml:space="preserve">7.2 ChangeLog</w:t>
      </w:r>
    </w:p>
    <w:p>
      <w:pPr>
        <w:spacing w:after="160"/>
      </w:pPr>
      <w:r>
        <w:rPr>
          <w:rFonts w:ascii="Arial" w:cs="Arial" w:eastAsia="Arial" w:hAnsi="Arial"/>
          <w:color w:val="000000"/>
          <w:sz w:val="22"/>
          <w:szCs w:val="22"/>
        </w:rPr>
        <w:t xml:space="preserve">Every field-level modification to every record in the database. Provides the complete history of how any value reached its current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AI session caused this change — null for manual changes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table_name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table was modified (e.g., “field”, “entity”,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record_id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ID of the modified record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change_type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insert, update, delete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column changed — null for insert/delete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old_value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Previous value — null for insert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new_value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New value — null for delete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rationale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Why this change was made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changed_at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change occurred</w:t>
            </w:r>
          </w:p>
        </w:tc>
      </w:tr>
    </w:tbl>
    <w:p>
      <w:pPr>
        <w:pStyle w:val="Heading2"/>
        <w:spacing w:after="160" w:before="280"/>
      </w:pPr>
      <w:r>
        <w:rPr>
          <w:rFonts w:ascii="Arial" w:cs="Arial" w:eastAsia="Arial" w:hAnsi="Arial"/>
          <w:b/>
          <w:bCs/>
          <w:color w:val="1F3864"/>
          <w:sz w:val="24"/>
          <w:szCs w:val="24"/>
        </w:rPr>
        <w:t xml:space="preserve">7.3 ChangeImpact</w:t>
      </w:r>
    </w:p>
    <w:p>
      <w:pPr>
        <w:spacing w:after="160"/>
      </w:pPr>
      <w:r>
        <w:rPr>
          <w:rFonts w:ascii="Arial" w:cs="Arial" w:eastAsia="Arial" w:hAnsi="Arial"/>
          <w:color w:val="000000"/>
          <w:sz w:val="22"/>
          <w:szCs w:val="22"/>
        </w:rPr>
        <w:t xml:space="preserve">Records the impact analysis results for each change. When a change goes through impact analysis, every affected item is recorded here. The application tracks whether each affected item has been reviewed by the administrator.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change_log_id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change this impact was assessed for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affected_table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table contains the affected record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affected_record_id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ID of the affected record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impact_description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this record is affected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requires_review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TRUE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administrator needs to review this item</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reviewed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Whether the administrator has reviewed it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reviewed_at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it was reviewed</w:t>
            </w:r>
          </w:p>
        </w:tc>
      </w:tr>
    </w:tbl>
    <w:p>
      <w:pPr>
        <w:pStyle w:val="Heading1"/>
        <w:spacing w:after="200" w:before="360"/>
      </w:pPr>
      <w:r>
        <w:rPr>
          <w:rFonts w:ascii="Arial" w:cs="Arial" w:eastAsia="Arial" w:hAnsi="Arial"/>
          <w:b/>
          <w:bCs/>
          <w:color w:val="1F3864"/>
          <w:sz w:val="28"/>
          <w:szCs w:val="28"/>
        </w:rPr>
        <w:t xml:space="preserve">8. Client Database Schema — Layout Layer</w:t>
      </w:r>
    </w:p>
    <w:p>
      <w:pPr>
        <w:spacing w:after="160"/>
      </w:pPr>
      <w:r>
        <w:rPr>
          <w:rFonts w:ascii="Arial" w:cs="Arial" w:eastAsia="Arial" w:hAnsi="Arial"/>
          <w:color w:val="000000"/>
          <w:sz w:val="22"/>
          <w:szCs w:val="22"/>
        </w:rPr>
        <w:t xml:space="preserve">Layout tables define how fields are arranged in the CRM user interface. The layout model supports panels, tabs, explicit row placement, category-based auto-arrangement, and list view columns.</w:t>
      </w:r>
    </w:p>
    <w:p>
      <w:pPr>
        <w:pStyle w:val="Heading2"/>
        <w:spacing w:after="160" w:before="280"/>
      </w:pPr>
      <w:r>
        <w:rPr>
          <w:rFonts w:ascii="Arial" w:cs="Arial" w:eastAsia="Arial" w:hAnsi="Arial"/>
          <w:b/>
          <w:bCs/>
          <w:color w:val="1F3864"/>
          <w:sz w:val="24"/>
          <w:szCs w:val="24"/>
        </w:rPr>
        <w:t xml:space="preserve">8.1 LayoutPanel</w:t>
      </w:r>
    </w:p>
    <w:p>
      <w:pPr>
        <w:spacing w:after="160"/>
      </w:pPr>
      <w:r>
        <w:rPr>
          <w:rFonts w:ascii="Arial" w:cs="Arial" w:eastAsia="Arial" w:hAnsi="Arial"/>
          <w:color w:val="000000"/>
          <w:sz w:val="22"/>
          <w:szCs w:val="22"/>
        </w:rPr>
        <w:t xml:space="preserve">Panels within an entity’s detail view. Each panel uses either explicit rows or category-based tabs for field arrangement.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panel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header label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rationale for this grouping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tab_break</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Render as a tab</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tab_label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Short tab label — required if tab_break is true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style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accent color (same values as enum style)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hidden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Hidden by default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ordering within the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layout_mode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rows or tabs — determines which child table applies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dynamic_logic_attribute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Field name for visibility condition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dynamic_logic_value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Value to match for visibility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8.2 LayoutRow</w:t>
      </w:r>
    </w:p>
    <w:p>
      <w:pPr>
        <w:spacing w:after="160"/>
      </w:pPr>
      <w:r>
        <w:rPr>
          <w:rFonts w:ascii="Arial" w:cs="Arial" w:eastAsia="Arial" w:hAnsi="Arial"/>
          <w:color w:val="000000"/>
          <w:sz w:val="22"/>
          <w:szCs w:val="22"/>
        </w:rPr>
        <w:t xml:space="preserve">Explicit field placement within a panel. Each row contains up to two fields. Full-width fields span both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panel_id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panel this row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Row ordering within the panel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cell_1_field_id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First field — null for empty cell</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cell_2_field_id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Second field — null for empty cell or full-width</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is_full_width</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True if first field spans both columns</w:t>
            </w:r>
          </w:p>
        </w:tc>
      </w:tr>
    </w:tbl>
    <w:p>
      <w:pPr>
        <w:pStyle w:val="Heading2"/>
        <w:spacing w:after="160" w:before="280"/>
      </w:pPr>
      <w:r>
        <w:rPr>
          <w:rFonts w:ascii="Arial" w:cs="Arial" w:eastAsia="Arial" w:hAnsi="Arial"/>
          <w:b/>
          <w:bCs/>
          <w:color w:val="1F3864"/>
          <w:sz w:val="24"/>
          <w:szCs w:val="24"/>
        </w:rPr>
        <w:t xml:space="preserve">8.3 LayoutTab</w:t>
      </w:r>
    </w:p>
    <w:p>
      <w:pPr>
        <w:spacing w:after="160"/>
      </w:pPr>
      <w:r>
        <w:rPr>
          <w:rFonts w:ascii="Arial" w:cs="Arial" w:eastAsia="Arial" w:hAnsi="Arial"/>
          <w:color w:val="000000"/>
          <w:sz w:val="22"/>
          <w:szCs w:val="22"/>
        </w:rPr>
        <w:t xml:space="preserve">Category-based sub-tabs within a panel. Each tab references a field category value, and the tool automatically collects matching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panel_id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panel this tab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Tab label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category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Must match a field’s category value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Tab ordering within the panel</w:t>
            </w:r>
          </w:p>
        </w:tc>
      </w:tr>
    </w:tbl>
    <w:p>
      <w:pPr>
        <w:pStyle w:val="Heading2"/>
        <w:spacing w:after="160" w:before="280"/>
      </w:pPr>
      <w:r>
        <w:rPr>
          <w:rFonts w:ascii="Arial" w:cs="Arial" w:eastAsia="Arial" w:hAnsi="Arial"/>
          <w:b/>
          <w:bCs/>
          <w:color w:val="1F3864"/>
          <w:sz w:val="24"/>
          <w:szCs w:val="24"/>
        </w:rPr>
        <w:t xml:space="preserve">8.4 ListColumn</w:t>
      </w:r>
    </w:p>
    <w:p>
      <w:pPr>
        <w:spacing w:after="160"/>
      </w:pPr>
      <w:r>
        <w:rPr>
          <w:rFonts w:ascii="Arial" w:cs="Arial" w:eastAsia="Arial" w:hAnsi="Arial"/>
          <w:color w:val="000000"/>
          <w:sz w:val="22"/>
          <w:szCs w:val="22"/>
        </w:rPr>
        <w:t xml:space="preserve">Columns displayed in an entity’s list 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list view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field to display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width</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Column width as percentage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Column ordering</w:t>
            </w:r>
          </w:p>
        </w:tc>
      </w:tr>
    </w:tbl>
    <w:p>
      <w:pPr>
        <w:pStyle w:val="Heading1"/>
        <w:spacing w:after="200" w:before="360"/>
      </w:pPr>
      <w:r>
        <w:rPr>
          <w:rFonts w:ascii="Arial" w:cs="Arial" w:eastAsia="Arial" w:hAnsi="Arial"/>
          <w:b/>
          <w:bCs/>
          <w:color w:val="1F3864"/>
          <w:sz w:val="28"/>
          <w:szCs w:val="28"/>
        </w:rPr>
        <w:t xml:space="preserve">9. Workflow Engine</w:t>
      </w:r>
    </w:p>
    <w:p>
      <w:pPr>
        <w:spacing w:after="160"/>
      </w:pPr>
      <w:r>
        <w:rPr>
          <w:rFonts w:ascii="Arial" w:cs="Arial" w:eastAsia="Arial" w:hAnsi="Arial"/>
          <w:i/>
          <w:iCs/>
          <w:color w:val="888888"/>
          <w:sz w:val="22"/>
          <w:szCs w:val="22"/>
        </w:rPr>
        <w:t xml:space="preserve">This section will be defined in a subsequent revision. It will cover the logic for calculating work item status from dependencies, determining what work is available next, enforcing phase ordering, and handling status transitions.</w:t>
      </w:r>
    </w:p>
    <w:p>
      <w:pPr>
        <w:pStyle w:val="Heading1"/>
        <w:spacing w:after="200" w:before="360"/>
      </w:pPr>
      <w:r>
        <w:rPr>
          <w:rFonts w:ascii="Arial" w:cs="Arial" w:eastAsia="Arial" w:hAnsi="Arial"/>
          <w:b/>
          <w:bCs/>
          <w:color w:val="1F3864"/>
          <w:sz w:val="28"/>
          <w:szCs w:val="28"/>
        </w:rPr>
        <w:t xml:space="preserve">10. Prompt Generator</w:t>
      </w:r>
    </w:p>
    <w:p>
      <w:pPr>
        <w:spacing w:after="160"/>
      </w:pPr>
      <w:r>
        <w:rPr>
          <w:rFonts w:ascii="Arial" w:cs="Arial" w:eastAsia="Arial" w:hAnsi="Arial"/>
          <w:i/>
          <w:iCs/>
          <w:color w:val="888888"/>
          <w:sz w:val="22"/>
          <w:szCs w:val="22"/>
        </w:rPr>
        <w:t xml:space="preserve">This section will be defined in a subsequent revision. It will cover how the application reads the database to assemble a complete AI session prompt, including context selection, decision and issue inclusion, interview guide references, and the structured output format the AI must produce.</w:t>
      </w:r>
    </w:p>
    <w:p>
      <w:pPr>
        <w:pStyle w:val="Heading1"/>
        <w:spacing w:after="200" w:before="360"/>
      </w:pPr>
      <w:r>
        <w:rPr>
          <w:rFonts w:ascii="Arial" w:cs="Arial" w:eastAsia="Arial" w:hAnsi="Arial"/>
          <w:b/>
          <w:bCs/>
          <w:color w:val="1F3864"/>
          <w:sz w:val="28"/>
          <w:szCs w:val="28"/>
        </w:rPr>
        <w:t xml:space="preserve">11. Import Processor</w:t>
      </w:r>
    </w:p>
    <w:p>
      <w:pPr>
        <w:spacing w:after="160"/>
      </w:pPr>
      <w:r>
        <w:rPr>
          <w:rFonts w:ascii="Arial" w:cs="Arial" w:eastAsia="Arial" w:hAnsi="Arial"/>
          <w:i/>
          <w:iCs/>
          <w:color w:val="888888"/>
          <w:sz w:val="22"/>
          <w:szCs w:val="22"/>
        </w:rPr>
        <w:t xml:space="preserve">This section will be defined in a subsequent revision. It will cover parsing structured AI output, mapping to database records, the review and confirmation workflow, handling partial imports, and conflict detection during import.</w:t>
      </w:r>
    </w:p>
    <w:p>
      <w:pPr>
        <w:pStyle w:val="Heading1"/>
        <w:spacing w:after="200" w:before="360"/>
      </w:pPr>
      <w:r>
        <w:rPr>
          <w:rFonts w:ascii="Arial" w:cs="Arial" w:eastAsia="Arial" w:hAnsi="Arial"/>
          <w:b/>
          <w:bCs/>
          <w:color w:val="1F3864"/>
          <w:sz w:val="28"/>
          <w:szCs w:val="28"/>
        </w:rPr>
        <w:t xml:space="preserve">12. Impact Analysis Engine</w:t>
      </w:r>
    </w:p>
    <w:p>
      <w:pPr>
        <w:spacing w:after="160"/>
      </w:pPr>
      <w:r>
        <w:rPr>
          <w:rFonts w:ascii="Arial" w:cs="Arial" w:eastAsia="Arial" w:hAnsi="Arial"/>
          <w:i/>
          <w:iCs/>
          <w:color w:val="888888"/>
          <w:sz w:val="22"/>
          <w:szCs w:val="22"/>
        </w:rPr>
        <w:t xml:space="preserve">This section will be defined in a subsequent revision. It will cover dependency tracing, cross-reference queries, change propagation logic, the impact presentation format, and the review tracking workflow.</w:t>
      </w:r>
    </w:p>
    <w:p>
      <w:pPr>
        <w:pStyle w:val="Heading1"/>
        <w:spacing w:after="200" w:before="360"/>
      </w:pPr>
      <w:r>
        <w:rPr>
          <w:rFonts w:ascii="Arial" w:cs="Arial" w:eastAsia="Arial" w:hAnsi="Arial"/>
          <w:b/>
          <w:bCs/>
          <w:color w:val="1F3864"/>
          <w:sz w:val="28"/>
          <w:szCs w:val="28"/>
        </w:rPr>
        <w:t xml:space="preserve">13. Document Generator</w:t>
      </w:r>
    </w:p>
    <w:p>
      <w:pPr>
        <w:spacing w:after="160"/>
      </w:pPr>
      <w:r>
        <w:rPr>
          <w:rFonts w:ascii="Arial" w:cs="Arial" w:eastAsia="Arial" w:hAnsi="Arial"/>
          <w:i/>
          <w:iCs/>
          <w:color w:val="888888"/>
          <w:sz w:val="22"/>
          <w:szCs w:val="22"/>
        </w:rPr>
        <w:t xml:space="preserve">This section will be defined in a subsequent revision. It will cover generating Entity PRDs, Process Documents, Domain PRDs, the Master PRD, and YAML program files from the current database state. It will also define staleness detection and regeneration triggers.</w:t>
      </w:r>
    </w:p>
    <w:p>
      <w:pPr>
        <w:pStyle w:val="Heading1"/>
        <w:spacing w:after="200" w:before="360"/>
      </w:pPr>
      <w:r>
        <w:rPr>
          <w:rFonts w:ascii="Arial" w:cs="Arial" w:eastAsia="Arial" w:hAnsi="Arial"/>
          <w:b/>
          <w:bCs/>
          <w:color w:val="1F3864"/>
          <w:sz w:val="28"/>
          <w:szCs w:val="28"/>
        </w:rPr>
        <w:t xml:space="preserve">14. User Interface</w:t>
      </w:r>
    </w:p>
    <w:p>
      <w:pPr>
        <w:spacing w:after="160"/>
      </w:pPr>
      <w:r>
        <w:rPr>
          <w:rFonts w:ascii="Arial" w:cs="Arial" w:eastAsia="Arial" w:hAnsi="Arial"/>
          <w:i/>
          <w:iCs/>
          <w:color w:val="888888"/>
          <w:sz w:val="22"/>
          <w:szCs w:val="22"/>
        </w:rPr>
        <w:t xml:space="preserve">This section will be defined in a subsequent revision. It will cover the project dashboard, work item navigation, session orchestration screens, import review interface, impact analysis display, document generation controls, and integration with the existing CRM Builder deployment and configuration panels.</w:t>
      </w:r>
    </w:p>
    <w:p>
      <w:pPr>
        <w:pStyle w:val="Heading1"/>
        <w:spacing w:after="200" w:before="360"/>
      </w:pPr>
      <w:r>
        <w:rPr>
          <w:rFonts w:ascii="Arial" w:cs="Arial" w:eastAsia="Arial" w:hAnsi="Arial"/>
          <w:b/>
          <w:bCs/>
          <w:color w:val="1F3864"/>
          <w:sz w:val="28"/>
          <w:szCs w:val="28"/>
        </w:rPr>
        <w:t xml:space="preserve">15. Decisions Made</w:t>
      </w:r>
    </w:p>
    <w:p>
      <w:pPr>
        <w:pStyle w:val="Heading2"/>
        <w:spacing w:after="160" w:before="280"/>
      </w:pPr>
      <w:r>
        <w:rPr>
          <w:rFonts w:ascii="Arial" w:cs="Arial" w:eastAsia="Arial" w:hAnsi="Arial"/>
          <w:b/>
          <w:bCs/>
          <w:color w:val="1F3864"/>
          <w:sz w:val="24"/>
          <w:szCs w:val="24"/>
        </w:rPr>
        <w:t xml:space="preserve">15.1 Separate database per client (DEC-001)</w:t>
      </w:r>
    </w:p>
    <w:p>
      <w:pPr>
        <w:spacing w:after="160"/>
      </w:pPr>
      <w:r>
        <w:rPr>
          <w:rFonts w:ascii="Arial" w:cs="Arial" w:eastAsia="Arial" w:hAnsi="Arial"/>
          <w:color w:val="000000"/>
          <w:sz w:val="22"/>
          <w:szCs w:val="22"/>
        </w:rPr>
        <w:t xml:space="preserve">Each client implementation gets its own SQLite database file. A master database stores the client list and paths. This provides clean isolation for backup, archival, and deletion.</w:t>
      </w:r>
    </w:p>
    <w:p>
      <w:pPr>
        <w:pStyle w:val="Heading2"/>
        <w:spacing w:after="160" w:before="280"/>
      </w:pPr>
      <w:r>
        <w:rPr>
          <w:rFonts w:ascii="Arial" w:cs="Arial" w:eastAsia="Arial" w:hAnsi="Arial"/>
          <w:b/>
          <w:bCs/>
          <w:color w:val="1F3864"/>
          <w:sz w:val="24"/>
          <w:szCs w:val="24"/>
        </w:rPr>
        <w:t xml:space="preserve">15.2 AI sessions are external (DEC-002)</w:t>
      </w:r>
    </w:p>
    <w:p>
      <w:pPr>
        <w:spacing w:after="160"/>
      </w:pPr>
      <w:r>
        <w:rPr>
          <w:rFonts w:ascii="Arial" w:cs="Arial" w:eastAsia="Arial" w:hAnsi="Arial"/>
          <w:color w:val="000000"/>
          <w:sz w:val="22"/>
          <w:szCs w:val="22"/>
        </w:rPr>
        <w:t xml:space="preserve">AI conversations run in Claude.ai, not embedded in the application (Option B from the L1 PRD). The application generates prompts and imports structured results. This avoids building an inferior chat interface and leverages Claude.ai’s existing capabilities.</w:t>
      </w:r>
    </w:p>
    <w:p>
      <w:pPr>
        <w:pStyle w:val="Heading2"/>
        <w:spacing w:after="160" w:before="280"/>
      </w:pPr>
      <w:r>
        <w:rPr>
          <w:rFonts w:ascii="Arial" w:cs="Arial" w:eastAsia="Arial" w:hAnsi="Arial"/>
          <w:b/>
          <w:bCs/>
          <w:color w:val="1F3864"/>
          <w:sz w:val="24"/>
          <w:szCs w:val="24"/>
        </w:rPr>
        <w:t xml:space="preserve">15.3 Entity belongs to client, not domain (DEC-003)</w:t>
      </w:r>
    </w:p>
    <w:p>
      <w:pPr>
        <w:spacing w:after="160"/>
      </w:pPr>
      <w:r>
        <w:rPr>
          <w:rFonts w:ascii="Arial" w:cs="Arial" w:eastAsia="Arial" w:hAnsi="Arial"/>
          <w:color w:val="000000"/>
          <w:sz w:val="22"/>
          <w:szCs w:val="22"/>
        </w:rPr>
        <w:t xml:space="preserve">Entities are scoped to the client, not to any specific domain. Cross-domain usage is captured through the ProcessEntity cross-reference table. This supports entities like Contact that are used across multiple domains.</w:t>
      </w:r>
    </w:p>
    <w:p>
      <w:pPr>
        <w:pStyle w:val="Heading2"/>
        <w:spacing w:after="160" w:before="280"/>
      </w:pPr>
      <w:r>
        <w:rPr>
          <w:rFonts w:ascii="Arial" w:cs="Arial" w:eastAsia="Arial" w:hAnsi="Arial"/>
          <w:b/>
          <w:bCs/>
          <w:color w:val="1F3864"/>
          <w:sz w:val="24"/>
          <w:szCs w:val="24"/>
        </w:rPr>
        <w:t xml:space="preserve">15.4 BusinessObject as a staging table (DEC-004)</w:t>
      </w:r>
    </w:p>
    <w:p>
      <w:pPr>
        <w:spacing w:after="160"/>
      </w:pPr>
      <w:r>
        <w:rPr>
          <w:rFonts w:ascii="Arial" w:cs="Arial" w:eastAsia="Arial" w:hAnsi="Arial"/>
          <w:color w:val="000000"/>
          <w:sz w:val="22"/>
          <w:szCs w:val="22"/>
        </w:rPr>
        <w:t xml:space="preserve">BusinessObject captures everything discovered during Business Object Discovery as unclassified candidates. Each is classified as an entity, process, persona, field value, lifecycle state, relationship, or excluded. The resolution links to the resulting record in the appropriate table.</w:t>
      </w:r>
    </w:p>
    <w:p>
      <w:pPr>
        <w:pStyle w:val="Heading2"/>
        <w:spacing w:after="160" w:before="280"/>
      </w:pPr>
      <w:r>
        <w:rPr>
          <w:rFonts w:ascii="Arial" w:cs="Arial" w:eastAsia="Arial" w:hAnsi="Arial"/>
          <w:b/>
          <w:bCs/>
          <w:color w:val="1F3864"/>
          <w:sz w:val="24"/>
          <w:szCs w:val="24"/>
        </w:rPr>
        <w:t xml:space="preserve">15.5 All changes go through managed process (DEC-005)</w:t>
      </w:r>
    </w:p>
    <w:p>
      <w:pPr>
        <w:spacing w:after="160"/>
      </w:pPr>
      <w:r>
        <w:rPr>
          <w:rFonts w:ascii="Arial" w:cs="Arial" w:eastAsia="Arial" w:hAnsi="Arial"/>
          <w:color w:val="000000"/>
          <w:sz w:val="22"/>
          <w:szCs w:val="22"/>
        </w:rPr>
        <w:t xml:space="preserve">No direct edits to the database. Every modification goes through impact analysis, requires confirmation, and is recorded in the audit trail. This ensures no change propagates without the administrator understanding and approving its downstream effects.</w:t>
      </w:r>
    </w:p>
    <w:p>
      <w:pPr>
        <w:pStyle w:val="Heading2"/>
        <w:spacing w:after="160" w:before="280"/>
      </w:pPr>
      <w:r>
        <w:rPr>
          <w:rFonts w:ascii="Arial" w:cs="Arial" w:eastAsia="Arial" w:hAnsi="Arial"/>
          <w:b/>
          <w:bCs/>
          <w:color w:val="1F3864"/>
          <w:sz w:val="24"/>
          <w:szCs w:val="24"/>
        </w:rPr>
        <w:t xml:space="preserve">15.6 Cross-references support optional step-level granularity (DEC-006)</w:t>
      </w:r>
    </w:p>
    <w:p>
      <w:pPr>
        <w:spacing w:after="160"/>
      </w:pPr>
      <w:r>
        <w:rPr>
          <w:rFonts w:ascii="Arial" w:cs="Arial" w:eastAsia="Arial" w:hAnsi="Arial"/>
          <w:color w:val="000000"/>
          <w:sz w:val="22"/>
          <w:szCs w:val="22"/>
        </w:rPr>
        <w:t xml:space="preserve">ProcessField and ProcessEntity include a nullable process_step_id. When populated, impact analysis can identify the specific step affected. When null, the impact is reported at the process level.</w:t>
      </w:r>
    </w:p>
    <w:p>
      <w:pPr>
        <w:pStyle w:val="Heading2"/>
        <w:spacing w:after="160" w:before="280"/>
      </w:pPr>
      <w:r>
        <w:rPr>
          <w:rFonts w:ascii="Arial" w:cs="Arial" w:eastAsia="Arial" w:hAnsi="Arial"/>
          <w:b/>
          <w:bCs/>
          <w:color w:val="1F3864"/>
          <w:sz w:val="24"/>
          <w:szCs w:val="24"/>
        </w:rPr>
        <w:t xml:space="preserve">15.7 Domain sort_order is display preference only (DEC-007)</w:t>
      </w:r>
    </w:p>
    <w:p>
      <w:pPr>
        <w:spacing w:after="160"/>
      </w:pPr>
      <w:r>
        <w:rPr>
          <w:rFonts w:ascii="Arial" w:cs="Arial" w:eastAsia="Arial" w:hAnsi="Arial"/>
          <w:color w:val="000000"/>
          <w:sz w:val="22"/>
          <w:szCs w:val="22"/>
        </w:rPr>
        <w:t xml:space="preserve">Domains have no cross-domain dependencies. Dependency enforcement operates at the process and entity level. Domain sort_order controls display ordering only.</w:t>
      </w:r>
    </w:p>
    <w:p>
      <w:pPr>
        <w:pStyle w:val="Heading2"/>
        <w:spacing w:after="160" w:before="280"/>
      </w:pPr>
      <w:r>
        <w:rPr>
          <w:rFonts w:ascii="Arial" w:cs="Arial" w:eastAsia="Arial" w:hAnsi="Arial"/>
          <w:b/>
          <w:bCs/>
          <w:color w:val="1F3864"/>
          <w:sz w:val="24"/>
          <w:szCs w:val="24"/>
        </w:rPr>
        <w:t xml:space="preserve">15.8 Persona linked to CRM data model (DEC-008)</w:t>
      </w:r>
    </w:p>
    <w:p>
      <w:pPr>
        <w:spacing w:after="160"/>
      </w:pPr>
      <w:r>
        <w:rPr>
          <w:rFonts w:ascii="Arial" w:cs="Arial" w:eastAsia="Arial" w:hAnsi="Arial"/>
          <w:color w:val="000000"/>
          <w:sz w:val="22"/>
          <w:szCs w:val="22"/>
        </w:rPr>
        <w:t xml:space="preserve">Persona records can reference a specific entity, field, and field value in the CRM data model. This enables impact analysis to connect persona changes to CRM field changes.</w:t>
      </w:r>
    </w:p>
    <w:p>
      <w:pPr>
        <w:pStyle w:val="Heading1"/>
        <w:spacing w:after="200" w:before="360"/>
      </w:pPr>
      <w:r>
        <w:rPr>
          <w:rFonts w:ascii="Arial" w:cs="Arial" w:eastAsia="Arial" w:hAnsi="Arial"/>
          <w:b/>
          <w:bCs/>
          <w:color w:val="1F3864"/>
          <w:sz w:val="28"/>
          <w:szCs w:val="28"/>
        </w:rPr>
        <w:t xml:space="preserve">16. Open Issues</w:t>
      </w:r>
    </w:p>
    <w:p>
      <w:pPr>
        <w:pStyle w:val="Heading2"/>
        <w:spacing w:after="160" w:before="280"/>
      </w:pPr>
      <w:r>
        <w:rPr>
          <w:rFonts w:ascii="Arial" w:cs="Arial" w:eastAsia="Arial" w:hAnsi="Arial"/>
          <w:b/>
          <w:bCs/>
          <w:color w:val="1F3864"/>
          <w:sz w:val="24"/>
          <w:szCs w:val="24"/>
        </w:rPr>
        <w:t xml:space="preserve">16.1 CBM transition approach (ISS-001)</w:t>
      </w:r>
    </w:p>
    <w:p>
      <w:pPr>
        <w:spacing w:after="160"/>
      </w:pPr>
      <w:r>
        <w:rPr>
          <w:rFonts w:ascii="Arial" w:cs="Arial" w:eastAsia="Arial" w:hAnsi="Arial"/>
          <w:color w:val="000000"/>
          <w:sz w:val="22"/>
          <w:szCs w:val="22"/>
        </w:rPr>
        <w:t xml:space="preserve">The existing CBM implementation is partially complete under the old document-centric process. The approach for transitioning CBM to the database-driven process — whether to migrate existing data, restart from scratch, or use a hybrid approach — has not been decided.</w:t>
      </w:r>
    </w:p>
    <w:p>
      <w:pPr>
        <w:pStyle w:val="Heading2"/>
        <w:spacing w:after="160" w:before="280"/>
      </w:pPr>
      <w:r>
        <w:rPr>
          <w:rFonts w:ascii="Arial" w:cs="Arial" w:eastAsia="Arial" w:hAnsi="Arial"/>
          <w:b/>
          <w:bCs/>
          <w:color w:val="1F3864"/>
          <w:sz w:val="24"/>
          <w:szCs w:val="24"/>
        </w:rPr>
        <w:t xml:space="preserve">16.2 Structured output format (ISS-002)</w:t>
      </w:r>
    </w:p>
    <w:p>
      <w:pPr>
        <w:spacing w:after="160"/>
      </w:pPr>
      <w:r>
        <w:rPr>
          <w:rFonts w:ascii="Arial" w:cs="Arial" w:eastAsia="Arial" w:hAnsi="Arial"/>
          <w:color w:val="000000"/>
          <w:sz w:val="22"/>
          <w:szCs w:val="22"/>
        </w:rPr>
        <w:t xml:space="preserve">The specific format (JSON schema, YAML schema, or other) for the structured output block that AI sessions must produce has not been defined. This format must be parseable by the import processor and flexible enough to handle all work item types.</w:t>
      </w:r>
    </w:p>
    <w:p>
      <w:pPr>
        <w:pStyle w:val="Heading2"/>
        <w:spacing w:after="160" w:before="280"/>
      </w:pPr>
      <w:r>
        <w:rPr>
          <w:rFonts w:ascii="Arial" w:cs="Arial" w:eastAsia="Arial" w:hAnsi="Arial"/>
          <w:b/>
          <w:bCs/>
          <w:color w:val="1F3864"/>
          <w:sz w:val="24"/>
          <w:szCs w:val="24"/>
        </w:rPr>
        <w:t xml:space="preserve">16.3 Schema migration tooling (ISS-003)</w:t>
      </w:r>
    </w:p>
    <w:p>
      <w:pPr>
        <w:spacing w:after="160"/>
      </w:pPr>
      <w:r>
        <w:rPr>
          <w:rFonts w:ascii="Arial" w:cs="Arial" w:eastAsia="Arial" w:hAnsi="Arial"/>
          <w:color w:val="000000"/>
          <w:sz w:val="22"/>
          <w:szCs w:val="22"/>
        </w:rPr>
        <w:t xml:space="preserve">As the database schema evolves, existing client databases will need migration. The specific migration tooling and versioning approach has not been selected.</w:t>
      </w:r>
    </w:p>
    <w:p>
      <w:pPr>
        <w:pStyle w:val="Heading2"/>
        <w:spacing w:after="160" w:before="280"/>
      </w:pPr>
      <w:r>
        <w:rPr>
          <w:rFonts w:ascii="Arial" w:cs="Arial" w:eastAsia="Arial" w:hAnsi="Arial"/>
          <w:b/>
          <w:bCs/>
          <w:color w:val="1F3864"/>
          <w:sz w:val="24"/>
          <w:szCs w:val="24"/>
        </w:rPr>
        <w:t xml:space="preserve">16.4 Layout table completeness (ISS-004)</w:t>
      </w:r>
    </w:p>
    <w:p>
      <w:pPr>
        <w:spacing w:after="160"/>
      </w:pPr>
      <w:r>
        <w:rPr>
          <w:rFonts w:ascii="Arial" w:cs="Arial" w:eastAsia="Arial" w:hAnsi="Arial"/>
          <w:color w:val="000000"/>
          <w:sz w:val="22"/>
          <w:szCs w:val="22"/>
        </w:rPr>
        <w:t xml:space="preserve">The current layout tables capture the detail and list view structures defined in the YAML schema. Additional layout types (e.g., side panels, mass update views) may be needed as the YAML schema evolves.</w:t>
      </w:r>
    </w:p>
    <w:p>
      <w:pPr>
        <w:pStyle w:val="Heading1"/>
        <w:spacing w:after="200" w:before="360"/>
      </w:pPr>
      <w:r>
        <w:rPr>
          <w:rFonts w:ascii="Arial" w:cs="Arial" w:eastAsia="Arial" w:hAnsi="Arial"/>
          <w:b/>
          <w:bCs/>
          <w:color w:val="1F3864"/>
          <w:sz w:val="28"/>
          <w:szCs w:val="28"/>
        </w:rPr>
        <w:t xml:space="preserve">17. Next Steps</w:t>
      </w:r>
    </w:p>
    <w:p>
      <w:pPr>
        <w:pStyle w:val="ListParagraph"/>
        <w:numPr>
          <w:ilvl w:val="0"/>
          <w:numId w:val="2"/>
        </w:numPr>
        <w:spacing w:after="120"/>
      </w:pPr>
      <w:r>
        <w:rPr>
          <w:rFonts w:ascii="Arial" w:cs="Arial" w:eastAsia="Arial" w:hAnsi="Arial"/>
          <w:sz w:val="22"/>
          <w:szCs w:val="22"/>
        </w:rPr>
        <w:t xml:space="preserve">Review and approve the database schema (Sections 3–8).</w:t>
      </w:r>
    </w:p>
    <w:p>
      <w:pPr>
        <w:pStyle w:val="ListParagraph"/>
        <w:numPr>
          <w:ilvl w:val="0"/>
          <w:numId w:val="2"/>
        </w:numPr>
        <w:spacing w:after="120"/>
      </w:pPr>
      <w:r>
        <w:rPr>
          <w:rFonts w:ascii="Arial" w:cs="Arial" w:eastAsia="Arial" w:hAnsi="Arial"/>
          <w:sz w:val="22"/>
          <w:szCs w:val="22"/>
        </w:rPr>
        <w:t xml:space="preserve">Design the Workflow Engine (Section 9).</w:t>
      </w:r>
    </w:p>
    <w:p>
      <w:pPr>
        <w:pStyle w:val="ListParagraph"/>
        <w:numPr>
          <w:ilvl w:val="0"/>
          <w:numId w:val="2"/>
        </w:numPr>
        <w:spacing w:after="120"/>
      </w:pPr>
      <w:r>
        <w:rPr>
          <w:rFonts w:ascii="Arial" w:cs="Arial" w:eastAsia="Arial" w:hAnsi="Arial"/>
          <w:sz w:val="22"/>
          <w:szCs w:val="22"/>
        </w:rPr>
        <w:t xml:space="preserve">Design the Prompt Generator (Section 10).</w:t>
      </w:r>
    </w:p>
    <w:p>
      <w:pPr>
        <w:pStyle w:val="ListParagraph"/>
        <w:numPr>
          <w:ilvl w:val="0"/>
          <w:numId w:val="2"/>
        </w:numPr>
        <w:spacing w:after="120"/>
      </w:pPr>
      <w:r>
        <w:rPr>
          <w:rFonts w:ascii="Arial" w:cs="Arial" w:eastAsia="Arial" w:hAnsi="Arial"/>
          <w:sz w:val="22"/>
          <w:szCs w:val="22"/>
        </w:rPr>
        <w:t xml:space="preserve">Design the Import Processor (Section 11).</w:t>
      </w:r>
    </w:p>
    <w:p>
      <w:pPr>
        <w:pStyle w:val="ListParagraph"/>
        <w:numPr>
          <w:ilvl w:val="0"/>
          <w:numId w:val="2"/>
        </w:numPr>
        <w:spacing w:after="120"/>
      </w:pPr>
      <w:r>
        <w:rPr>
          <w:rFonts w:ascii="Arial" w:cs="Arial" w:eastAsia="Arial" w:hAnsi="Arial"/>
          <w:sz w:val="22"/>
          <w:szCs w:val="22"/>
        </w:rPr>
        <w:t xml:space="preserve">Design the Impact Analysis Engine (Section 12).</w:t>
      </w:r>
    </w:p>
    <w:p>
      <w:pPr>
        <w:pStyle w:val="ListParagraph"/>
        <w:numPr>
          <w:ilvl w:val="0"/>
          <w:numId w:val="2"/>
        </w:numPr>
        <w:spacing w:after="120"/>
      </w:pPr>
      <w:r>
        <w:rPr>
          <w:rFonts w:ascii="Arial" w:cs="Arial" w:eastAsia="Arial" w:hAnsi="Arial"/>
          <w:sz w:val="22"/>
          <w:szCs w:val="22"/>
        </w:rPr>
        <w:t xml:space="preserve">Design the Document Generator (Section 13).</w:t>
      </w:r>
    </w:p>
    <w:p>
      <w:pPr>
        <w:pStyle w:val="ListParagraph"/>
        <w:numPr>
          <w:ilvl w:val="0"/>
          <w:numId w:val="2"/>
        </w:numPr>
        <w:spacing w:after="120"/>
      </w:pPr>
      <w:r>
        <w:rPr>
          <w:rFonts w:ascii="Arial" w:cs="Arial" w:eastAsia="Arial" w:hAnsi="Arial"/>
          <w:sz w:val="22"/>
          <w:szCs w:val="22"/>
        </w:rPr>
        <w:t xml:space="preserve">Design the User Interface (Section 14).</w:t>
      </w:r>
    </w:p>
    <w:p>
      <w:pPr>
        <w:pStyle w:val="ListParagraph"/>
        <w:numPr>
          <w:ilvl w:val="0"/>
          <w:numId w:val="2"/>
        </w:numPr>
        <w:spacing w:after="120"/>
      </w:pPr>
      <w:r>
        <w:rPr>
          <w:rFonts w:ascii="Arial" w:cs="Arial" w:eastAsia="Arial" w:hAnsi="Arial"/>
          <w:sz w:val="22"/>
          <w:szCs w:val="22"/>
        </w:rPr>
        <w:t xml:space="preserve">Prototype the database schema with CBM data as proof of concept.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888888"/>
        <w:sz w:val="16"/>
        <w:szCs w:val="16"/>
      </w:rPr>
      <w:t xml:space="preserve">Product Requirements Document — Level 2 (Detailed Design)</w:t>
    </w:r>
    <w:r>
      <w:rPr>
        <w:rFonts w:ascii="Arial" w:cs="Arial" w:eastAsia="Arial" w:hAnsi="Arial"/>
        <w:color w:val="888888"/>
        <w:sz w:val="16"/>
        <w:szCs w:val="16"/>
      </w:rPr>
      <w:t xml:space="preserve">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Arial" w:cs="Arial" w:eastAsia="Arial" w:hAnsi="Arial"/>
        <w:color w:val="888888"/>
        <w:sz w:val="18"/>
        <w:szCs w:val="18"/>
      </w:rPr>
      <w:t xml:space="preserve">CRM Builder</w:t>
    </w:r>
    <w:r>
      <w:rPr>
        <w:rFonts w:ascii="Arial" w:cs="Arial" w:eastAsia="Arial" w:hAnsi="Arial"/>
        <w:color w:val="888888"/>
        <w:sz w:val="18"/>
        <w:szCs w:val="18"/>
      </w:rPr>
      <w:t xml:space="preserve">	CRM Builder Automation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60" w:before="280"/>
      <w:outlineLvl w:val="1"/>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2026-04-02T19:56:42.981Z</dcterms:created>
  <dcterms:modified xsi:type="dcterms:W3CDTF">2026-04-02T19:56:43.032Z</dcterms:modified>
</cp:coreProperties>
</file>

<file path=docProps/custom.xml><?xml version="1.0" encoding="utf-8"?>
<Properties xmlns="http://schemas.openxmlformats.org/officeDocument/2006/custom-properties" xmlns:vt="http://schemas.openxmlformats.org/officeDocument/2006/docPropsVTypes"/>
</file>