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Contact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 (Native — Person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 (CBM)</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1.3</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04-08-26 16:24</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v2.0, Entity Inventory v1.0, MN Domain PRD v1.0, MR Domain PRD v1.0 (legacy), CR Domain PRD v1.0 (legacy, summary), FU Domain PRD v1.0 (legacy, summary)</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Person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 Mentor Recruitment (MR), Client Recruiting (CR), Fundraising (FU)</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Discriminator Field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contactType (multiEnum)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Discriminator Values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Contact entity is the single repository for all individual people known to Cleveland Business Mentors. It is the most complex entity in the implementation, spanning all four business domains with type-specific fields controlled by dynamic logic visibility rules based on the contactType discriminator.</w:t>
      </w:r>
    </w:p>
    <w:p>
      <w:pPr>
        <w:spacing w:after="120"/>
      </w:pPr>
      <w:r>
        <w:rPr>
          <w:rFonts w:ascii="Arial" w:cs="Arial" w:eastAsia="Arial" w:hAnsi="Arial"/>
          <w:b w:val="false"/>
          <w:bCs w:val="false"/>
          <w:i w:val="false"/>
          <w:iCs w:val="false"/>
          <w:sz w:val="22"/>
          <w:szCs w:val="22"/>
        </w:rPr>
        <w:t xml:space="preserve">A single Contact can hold multiple types simultaneously. A volunteer mentor who also presents at workshops and serves on the board would have contactType values of Mentor, Presenter, and Administrator. Dynamic logic uses the "contactType has [value]" condition to show or hide type-specific fields, meaning a Contact with multiple types sees the union of all relevant fields.</w:t>
      </w:r>
    </w:p>
    <w:p>
      <w:pPr>
        <w:spacing w:after="120"/>
      </w:pPr>
      <w:r>
        <w:rPr>
          <w:rFonts w:ascii="Arial" w:cs="Arial" w:eastAsia="Arial" w:hAnsi="Arial"/>
          <w:b w:val="false"/>
          <w:bCs w:val="false"/>
          <w:i w:val="false"/>
          <w:iCs w:val="false"/>
          <w:sz w:val="22"/>
          <w:szCs w:val="22"/>
        </w:rPr>
        <w:t>Prospect is a lifecycle state, not a contactType value. A mentor prospect is a Contact with contactType = Mentor at Mentor Status = Prospect. A client prospect is a Contact with contactType = Client at prospectStatus reflecting their marketing-funnel state — client prospects exist as Contact records in the CRM from the moment they enter through any CR-MARKETING pathway (web inquiry, list import, single-record creation, or other inbound channel), well before any application is submitted. The prospectStatus field on Contact tracks the marketing-funnel state of the person; the clientStatus field on the linked Account (when present) tracks the client-relationship state of the company. See Section 3.5.</w:t>
      </w:r>
    </w:p>
    <w:p>
      <w:pPr>
        <w:spacing w:after="120"/>
      </w:pPr>
      <w:r>
        <w:rPr>
          <w:rFonts w:ascii="Arial" w:cs="Arial" w:eastAsia="Arial" w:hAnsi="Arial"/>
          <w:b/>
          <w:bCs/>
          <w:i w:val="false"/>
          <w:iCs w:val="false"/>
          <w:sz w:val="22"/>
          <w:szCs w:val="22"/>
        </w:rPr>
        <w:t>Domain coverage: The Mentoring (MN) domain has complete field-level detail from the reconciled Domain PRD v1.0 and five process documents. The Mentor Recruitment (MR) domain has complete field definitions from the reconciled MR Domain PRD v1.0. The Client Recruiting (CR) domain has marketing-related fields from the CR-MARKETING Sub-Domain Overview v1.0 (see Section 3.5); CR-EVENTS and CR-REACTIVATE remain to be covered. The Fundraising (FU) domain still has only summary-level data from the Master PRD. This Entity PRD will require further updates as the remaining CR and FU domain process documents are completed.</w:t>
      </w:r>
      <w:r>
        <w:rPr>
          <w:rFonts w:ascii="Arial" w:cs="Arial" w:eastAsia="Arial" w:hAnsi="Arial"/>
          <w:b w:val="false"/>
          <w:bCs w:val="false"/>
          <w:i w:val="false"/>
          <w:iCs w:val="false"/>
          <w:sz w:val="22"/>
          <w:szCs w:val="22"/>
        </w:rPr>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Contact entity because of its Person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First Name (MN-INTAKE-DAT-008)</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MN-INACTIVE, MN-CLOSE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Last Name (MN-INTAKE-DAT-009)</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MN-INACTIVE, MN-CLOSE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middleName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Middle Name (MN-INTAKE-DAT-010)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salutationName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Salutation (Mr., Mrs., Ms., Dr.)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referenced in PRDs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Professional Title (MR domain)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 shared across all types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(multi)</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(MN-INTAKE-DAT-012)</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MN-CLOSE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 (multi)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 (MN-INTAKE-DAT-013)</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addressStreet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street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addressCity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city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addressState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state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country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addressPostalCode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Zip Code (MN-INTAKE-DAT-014)</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General description/notes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referenced in PRDs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emailAddress: </w:t>
      </w:r>
      <w:r>
        <w:rPr>
          <w:rFonts w:ascii="Arial" w:cs="Arial" w:eastAsia="Arial" w:hAnsi="Arial"/>
          <w:b w:val="false"/>
          <w:bCs w:val="false"/>
          <w:i w:val="false"/>
          <w:iCs w:val="false"/>
          <w:sz w:val="22"/>
          <w:szCs w:val="22"/>
        </w:rPr>
        <w:t xml:space="preserve">The native emailAddress field supports multiple email addresses with a primary designation. For Client, Partner, Donor, Administrator, Presenter, and Member contacts, the native email field is sufficient. For Mentor contacts, two additional custom email fields (personalEmail, cbmEmailAddress) are defined in Section 3 to maintain an explicit distinction between personal and organizational email addresses. The native emailAddress field remains available on Mentor contacts but is not the primary mechanism for mentor email management.</w:t>
      </w:r>
    </w:p>
    <w:p>
      <w:pPr>
        <w:spacing w:after="120"/>
      </w:pPr>
      <w:r>
        <w:rPr>
          <w:rFonts w:ascii="Arial" w:cs="Arial" w:eastAsia="Arial" w:hAnsi="Arial"/>
          <w:b/>
          <w:bCs/>
          <w:i w:val="false"/>
          <w:iCs w:val="false"/>
          <w:sz w:val="22"/>
          <w:szCs w:val="22"/>
        </w:rPr>
        <w:t xml:space="preserve">Note on address: </w:t>
      </w:r>
      <w:r>
        <w:rPr>
          <w:rFonts w:ascii="Arial" w:cs="Arial" w:eastAsia="Arial" w:hAnsi="Arial"/>
          <w:b w:val="false"/>
          <w:bCs w:val="false"/>
          <w:i w:val="false"/>
          <w:iCs w:val="false"/>
          <w:sz w:val="22"/>
          <w:szCs w:val="22"/>
        </w:rPr>
        <w:t xml:space="preserve">The Client Intake process collects only zip code (MN-INTAKE-DAT-014), which maps to the native addressPostalCode field. The full address composite is available for any contact type where a complete address is needed. No custom address fields are required.</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scope: shared fields (visible for all contact types, no dynamic logic required), CBM internal fields (visible for organizational member types), and type-specific fields (controlled by dynamic logic visibility rules based on contactType).</w:t>
      </w:r>
    </w:p>
    <w:p>
      <w:pPr>
        <w:pStyle w:val="Heading2"/>
        <w:spacing w:after="120" w:before="240"/>
      </w:pPr>
      <w:r>
        <w:rPr>
          <w:rFonts w:ascii="Arial" w:cs="Arial" w:eastAsia="Arial" w:hAnsi="Arial"/>
          <w:b/>
          <w:bCs/>
          <w:i w:val="false"/>
          <w:iCs w:val="false"/>
          <w:color w:val="1F3864"/>
          <w:sz w:val="28"/>
          <w:szCs w:val="28"/>
        </w:rPr>
        <w:t xml:space="preserve">3.1 Shared Fields</w:t>
      </w:r>
    </w:p>
    <w:p>
      <w:pPr>
        <w:spacing w:after="120"/>
      </w:pPr>
      <w:r>
        <w:rPr>
          <w:rFonts w:ascii="Arial" w:cs="Arial" w:eastAsia="Arial" w:hAnsi="Arial"/>
          <w:b w:val="false"/>
          <w:bCs w:val="false"/>
          <w:i w:val="false"/>
          <w:iCs w:val="false"/>
          <w:sz w:val="22"/>
          <w:szCs w:val="22"/>
        </w:rPr>
        <w:t xml:space="preserve">The following custom fields apply to all contact types. No dynamic logic visibility rules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EI-2a</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for the Contact entity. Determines which type-specific fields and panels are visible. A Contact may hold any combination of values. Set based on how the Contact enters the system (e.g., Mentor at MR-APPLY submission, Client at MN-INTAKE submission).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All.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preferredName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the contact prefers to be called. Used in communications when provided. Originally defined for Client contacts; applicable to all contact types.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MR, 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linkedInProfile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LinkedIn profile URL. Provides professional background context. Defined in MN-INTAKE for Client contacts and in MR domain for Mentor contacts.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Partner Referral, Workshop or Event, Email Marketing, Social Media, Search Engine, CBM Website, News or Media, Personal Referral, Returning Client,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CR-MARKETING SDO</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t>How the contact learned about CBM. Recorded at point of first contact for any contact type. Supports referral channel and source attribution reporting. The 10-value enum list is finalized by the CR-MARKETING Sub-Domain Overview and rolls up to CR sub-domains for channel effectiveness reporting (Partner Referral → CR-PARTNER; Workshop or Event → CR-EVENTS; Email Marketing, Social Media, Search Engine, CBM Website, News or Media → CR-MARKETING; Returning Client → CR-REACTIVATE; Personal Referral and Other → organic/unattributed). Domains: MR,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termsAndConditionsAccepted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contact has accepted CBM’s terms and conditions. System-populated from application or portal form submission. Admin-only; read-only for contacts. Shared for portal readiness.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(currently), all (future).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readOnly, admin-only.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termsAndConditionsAcceptanceDateTime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terms and conditions acceptance. System-populated. Admin-only; read-only for contacts.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(currently), all (future).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readOnly, admin-only.</w:t>
            </w:r>
          </w:p>
        </w:tc>
      </w:tr>
    </w:tbl>
    <w:p>
      <w:pPr>
        <w:pStyle w:val="Heading2"/>
        <w:spacing w:after="120" w:before="240"/>
      </w:pPr>
      <w:r>
        <w:rPr>
          <w:rFonts w:ascii="Arial" w:cs="Arial" w:eastAsia="Arial" w:hAnsi="Arial"/>
          <w:b/>
          <w:bCs/>
          <w:i w:val="false"/>
          <w:iCs w:val="false"/>
          <w:color w:val="1F3864"/>
          <w:sz w:val="28"/>
          <w:szCs w:val="28"/>
        </w:rPr>
        <w:t xml:space="preserve">3.2 CBM Internal Fields</w:t>
      </w:r>
    </w:p>
    <w:p>
      <w:pPr>
        <w:spacing w:after="120"/>
      </w:pPr>
      <w:r>
        <w:rPr>
          <w:rFonts w:ascii="Arial" w:cs="Arial" w:eastAsia="Arial" w:hAnsi="Arial"/>
          <w:b w:val="false"/>
          <w:bCs w:val="false"/>
          <w:i w:val="false"/>
          <w:iCs w:val="false"/>
          <w:sz w:val="22"/>
          <w:szCs w:val="22"/>
        </w:rPr>
        <w:t xml:space="preserve">The following custom fields are visible when contactType has any CBM organizational member value: Mentor, Member, Administrator, or Presenter. Hidden for external relationship types: Client, Partner,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boardPosition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title or role on the CBM board (e.g., Board Chair, Treasurer, Secretary). A board member must be a CBM organizational member but may hold any internal contact type.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contactType has Mentor OR Member OR Administrator OR Presenter.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r>
        <w:br w:type="page"/>
      </w:r>
    </w:p>
    <w:p>
      <w:pPr>
        <w:pStyle w:val="Heading2"/>
        <w:spacing w:after="120" w:before="240"/>
      </w:pPr>
      <w:r>
        <w:rPr>
          <w:rFonts w:ascii="Arial" w:cs="Arial" w:eastAsia="Arial" w:hAnsi="Arial"/>
          <w:b/>
          <w:bCs/>
          <w:i w:val="false"/>
          <w:iCs w:val="false"/>
          <w:color w:val="1F3864"/>
          <w:sz w:val="28"/>
          <w:szCs w:val="28"/>
        </w:rPr>
        <w:t xml:space="preserve">3.3 Mentor-Specific Fields</w:t>
      </w:r>
    </w:p>
    <w:p>
      <w:pPr>
        <w:spacing w:after="120"/>
      </w:pPr>
      <w:r>
        <w:rPr>
          <w:rFonts w:ascii="Arial" w:cs="Arial" w:eastAsia="Arial" w:hAnsi="Arial"/>
          <w:b w:val="false"/>
          <w:bCs w:val="false"/>
          <w:i w:val="false"/>
          <w:iCs w:val="false"/>
          <w:sz w:val="22"/>
          <w:szCs w:val="22"/>
        </w:rPr>
        <w:t xml:space="preserve">The following custom fields are visible only when contactType has Mentor. All fields in this section use the dynamic logic visibility rule: contactType has Mentor.</w:t>
      </w:r>
    </w:p>
    <w:p>
      <w:pPr>
        <w:spacing w:after="120"/>
      </w:pPr>
      <w:r>
        <w:rPr>
          <w:rFonts w:ascii="Arial" w:cs="Arial" w:eastAsia="Arial" w:hAnsi="Arial"/>
          <w:b/>
          <w:bCs/>
          <w:i w:val="false"/>
          <w:iCs w:val="false"/>
          <w:color w:val="1F3864"/>
          <w:sz w:val="22"/>
          <w:szCs w:val="22"/>
        </w:rPr>
        <w:t xml:space="preserve">Lifecycle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Submitted, In Review, Provisional, Active, Paused, Inactive, Resigned, Departed, Declined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of the mentor’s relationship with CBM. Drives assignment eligibility, role-based access control, and inactivity monitoring. Only Active mentors are eligible for new assignments.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acceptingNewClients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is currently available for new client assignments. Relevant only when mentorStatus = Active. Mentor-editable. Set by Mentor Administrator at 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maximumClientCapacity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Maximum number of simultaneous active client engagements this mentor will accept. Set by Mentor Administrator at activation. Mentor-editable.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currentActiveClients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Engagements where this mentor is Assigned Mentor and Engagement Status is Active or Assigned.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availableCapacity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maximumClientCapacity minus currentActiveClients. Used during mentor nomination to verify capacity before assignment.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Contact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personalEmail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personal email address. Used for all onboarding communications prior to CBM email activation and as a permanent contact address independent of their CBM account.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cbmEmailAddress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assigned CBM organizational email address. Populated by Mentor Administrator during activation. Used for all ongoing mentoring communications after activation. Cleared on departure.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admin-populated.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currentEmployer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of the mentor’s current employer or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currentlyEmployed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was employed at the time of application. Point-in-time snapshot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yearsOfBusinessExperience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Total years of professional business experience. Used for mentor profile and matching.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Profile and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professionalBio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Free-form description of the mentor’s professional background and work experience. Used for mentor profiles and matching communications.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industrySectors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as Client Org Industry Sector (20 NAICS sectors)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Industry sectors where the mentor has experience. Primary matching criterion — compared against the client’s Industry Sector. Values must align with the Industry Sector field on Client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mentoringFocusAreas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Areas where the mentor can provide guidance. Primary matching criterion — compared against the client’s Mentoring Focus Areas on the Engagement record. Values must align with the Engagement-level Mentoring Focus Areas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skillsExpertiseTags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CON-ISS-004</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Finer-grained expertise tags beyond industry sector and focus areas. Supports advanced mentor-client matching.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fluentLanguages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Languages the mentor is fluent in. Used to match clients who prefer to work in a language other than English.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whyInterestedInMentoring</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stated motivation for joining CBM as a volunteer mentor.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Role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isPrimaryMentor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primary mentor assignments. Set by Mentor Administrator. Defaults to Yes on 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isCoMentor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co-mentor assignments.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isSubjectMatterExpert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subject matter expert assignments.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Onboarding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ethicsAgreementAccepted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has accepted the current CBM ethics agreement.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readOnly for mentors.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ethicsAgreementAcceptanceDateTime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of the mentor’s most recent ethics agreement acceptance.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backgroundCheckCompleted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a background check has been completed for this mentor.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hidden from mentor.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backgroundCheckDate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the background check was completed.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hidden from mentor.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felonyConvictionDisclosure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applicant disclosed a felony conviction. System-populated from the mentor application form. Protects the integrity of the review process.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admin-only, hidden from mentor after submission.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trainingCompleted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via learning management system integration when required training is completed. May also be manually set by the Mentor Administrator as a fallback when LMS integration is unavailable. Mentor can see their own status.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or manually set by Mentor Administrator.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trainingCompletionDate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required training was completed. System-populated via LMS integration or manually set by the Mentor Administrator as a fallback.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or manually set by Mentor Administrator.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Dues and 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Unpaid, Paid, Waived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current-year dues standing. Summary field maintained by the Mentor Administrator, independent of individual Dues entity records.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duesPaymentDate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of most recent dues payment. Not applicable when duesStatus = Waived.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duesRenewalDate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DUES-DEC-005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annual dues renewal date, derived from their activation anniversary. Used by the Mentor Administrator to determine when to create each year’s Dues record.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Added from Dues Entity PRD (DUES-DEC-005).</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applicationDeclineReason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Insufficient Experience, Incomplete Application, Failed Background Check, Conflict of Interest, Unresponsive, Candidate Withdrew,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MR-APPLY-DAT-024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Reason the mentor application was declined. Required when mentorStatus = Declined. Admin-only. Dynamic logic: visible only when mentorStatus = Declined. Used during both MR-APPLY (application decline) and MR-ONBOARD (onboarding decline). Reconciled to 7 values (MR-RECON-DEC-002): Unresponsive and Candidate Withdrew added by MR-ONBOARD.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 Declined.</w:t>
            </w:r>
          </w:p>
        </w:tc>
      </w:tr>
    </w:tbl>
    <w:p>
      <w:pPr>
        <w:spacing w:after="120"/>
      </w:pPr>
      <w:r>
        <w:rPr>
          <w:rFonts w:ascii="Arial" w:cs="Arial" w:eastAsia="Arial" w:hAnsi="Arial"/>
          <w:b/>
          <w:bCs/>
          <w:i w:val="false"/>
          <w:iCs w:val="false"/>
          <w:color w:val="1F3864"/>
          <w:sz w:val="22"/>
          <w:szCs w:val="22"/>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totalLifetimeSessions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all completed sessions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totalMentoringHours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Sum of all session hours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totalSessionsLast30Days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completed sessions in a rolling 30-day window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departureReason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Relocated, Career Change, Time Constraints, Personal,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MR-DEPART</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Reason the mentor exited CBM. Shown only when mentorStatus in [Resigned, Departed]. Set by Mentor Administrator at offboarding.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in [Resigned, Departed].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departureDate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MR-DEPART</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mentor formally departed. Shown only when mentorStatus in [Resigned, Departed].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in [Resigned, Departed].</w:t>
            </w:r>
          </w:p>
        </w:tc>
      </w:tr>
    </w:tbl>
    <w:p>
      <w:pPr>
        <w:pStyle w:val="Heading2"/>
        <w:spacing w:after="120" w:before="240"/>
      </w:pPr>
      <w:r>
        <w:rPr>
          <w:rFonts w:ascii="Arial" w:cs="Arial" w:eastAsia="Arial" w:hAnsi="Arial"/>
          <w:b/>
          <w:bCs/>
          <w:i w:val="false"/>
          <w:iCs w:val="false"/>
          <w:color w:val="1F3864"/>
          <w:sz w:val="28"/>
          <w:szCs w:val="28"/>
        </w:rPr>
        <w:t xml:space="preserve">3.4 Incomplete Domain Fields</w:t>
      </w:r>
    </w:p>
    <w:p>
      <w:pPr>
        <w:spacing w:after="120"/>
      </w:pPr>
      <w:r>
        <w:rPr>
          <w:rFonts w:ascii="Arial" w:cs="Arial" w:eastAsia="Arial" w:hAnsi="Arial"/>
          <w:b w:val="false"/>
          <w:bCs w:val="false"/>
          <w:i w:val="false"/>
          <w:iCs w:val="false"/>
          <w:sz w:val="22"/>
          <w:szCs w:val="22"/>
        </w:rPr>
        <w:t xml:space="preserve">The following contact types have no type-specific custom fields defined yet. Additional fields are expected when their respective domain process documents are completed.</w:t>
      </w:r>
    </w:p>
    <w:p>
      <w:pPr>
        <w:pStyle w:val="ListParagraph"/>
        <w:numPr>
          <w:ilvl w:val="0"/>
          <w:numId w:val="2"/>
        </w:numPr>
        <w:spacing w:after="60"/>
      </w:pPr>
      <w:r>
        <w:rPr>
          <w:rFonts w:ascii="Arial" w:cs="Arial" w:eastAsia="Arial" w:hAnsi="Arial"/>
          <w:b/>
          <w:bCs/>
          <w:i w:val="false"/>
          <w:iCs w:val="false"/>
          <w:sz w:val="22"/>
          <w:szCs w:val="22"/>
        </w:rPr>
        <w:t>Client — Marketing-related Client fields are defined in Section 3.5 (Marketing and Source Attribution) by the CR-MARKETING Sub-Domain Overview. Other Client-specific fields (engagement-related, intake-related) remain to be defined as the remaining CR sub-domain process documents are completed. CON-ISS-001 is CLOSED (resolved by the prospectStatus field in Section 3.5).</w:t>
      </w:r>
      <w:r>
        <w:rPr>
          <w:rFonts w:ascii="Arial" w:cs="Arial" w:eastAsia="Arial" w:hAnsi="Arial"/>
          <w:b w:val="false"/>
          <w:bCs w:val="false"/>
          <w:i w:val="false"/>
          <w:iCs w:val="false"/>
          <w:sz w:val="22"/>
          <w:szCs w:val="22"/>
        </w:rPr>
      </w:r>
    </w:p>
    <w:p>
      <w:pPr>
        <w:pStyle w:val="ListParagraph"/>
        <w:numPr>
          <w:ilvl w:val="0"/>
          <w:numId w:val="2"/>
        </w:numPr>
        <w:spacing w:after="60"/>
      </w:pPr>
      <w:r>
        <w:rPr>
          <w:rFonts w:ascii="Arial" w:cs="Arial" w:eastAsia="Arial" w:hAnsi="Arial"/>
          <w:b/>
          <w:bCs/>
          <w:i w:val="false"/>
          <w:iCs w:val="false"/>
          <w:sz w:val="22"/>
          <w:szCs w:val="22"/>
        </w:rPr>
        <w:t xml:space="preserve">Partner</w:t>
      </w:r>
      <w:r>
        <w:rPr>
          <w:rFonts w:ascii="Arial" w:cs="Arial" w:eastAsia="Arial" w:hAnsi="Arial"/>
          <w:b w:val="false"/>
          <w:bCs w:val="false"/>
          <w:i w:val="false"/>
          <w:iCs w:val="false"/>
          <w:sz w:val="22"/>
          <w:szCs w:val="22"/>
        </w:rPr>
        <w:t xml:space="preserve"> — No custom fields defined. CON-ISS-002 is closed: partner lifecycle is tracked at the Account level via partnerStatus, not at the Contact level. No Partner-specific lifecycle field is needed on Contact. Other Partner Contact fields may be added if identified during remaining CR domain process definition.</w:t>
      </w:r>
    </w:p>
    <w:p>
      <w:pPr>
        <w:pStyle w:val="ListParagraph"/>
        <w:numPr>
          <w:ilvl w:val="0"/>
          <w:numId w:val="2"/>
        </w:numPr>
        <w:spacing w:after="60"/>
      </w:pPr>
      <w:r>
        <w:rPr>
          <w:rFonts w:ascii="Arial" w:cs="Arial" w:eastAsia="Arial" w:hAnsi="Arial"/>
          <w:b/>
          <w:bCs/>
          <w:i w:val="false"/>
          <w:iCs w:val="false"/>
          <w:sz w:val="22"/>
          <w:szCs w:val="22"/>
        </w:rPr>
        <w:t xml:space="preserve">Donor</w:t>
      </w:r>
      <w:r>
        <w:rPr>
          <w:rFonts w:ascii="Arial" w:cs="Arial" w:eastAsia="Arial" w:hAnsi="Arial"/>
          <w:b w:val="false"/>
          <w:bCs w:val="false"/>
          <w:i w:val="false"/>
          <w:iCs w:val="false"/>
          <w:sz w:val="22"/>
          <w:szCs w:val="22"/>
        </w:rPr>
        <w:t xml:space="preserve"> — No custom fields defined. A Donor-specific lifecycle field is an open issue (CON-ISS-003). Donor Contact fields will be defined during FU domain process definition.</w:t>
      </w:r>
    </w:p>
    <w:p>
      <w:pPr>
        <w:pStyle w:val="ListParagraph"/>
        <w:numPr>
          <w:ilvl w:val="0"/>
          <w:numId w:val="2"/>
        </w:numPr>
        <w:spacing w:after="60"/>
      </w:pPr>
      <w:r>
        <w:rPr>
          <w:rFonts w:ascii="Arial" w:cs="Arial" w:eastAsia="Arial" w:hAnsi="Arial"/>
          <w:b/>
          <w:bCs/>
          <w:i w:val="false"/>
          <w:iCs w:val="false"/>
          <w:sz w:val="22"/>
          <w:szCs w:val="22"/>
        </w:rPr>
        <w:t xml:space="preserve">Administrator</w:t>
      </w:r>
      <w:r>
        <w:rPr>
          <w:rFonts w:ascii="Arial" w:cs="Arial" w:eastAsia="Arial" w:hAnsi="Arial"/>
          <w:b w:val="false"/>
          <w:bCs w:val="false"/>
          <w:i w:val="false"/>
          <w:iCs w:val="false"/>
          <w:sz w:val="22"/>
          <w:szCs w:val="22"/>
        </w:rPr>
        <w:t xml:space="preserve"> — No type-specific custom fields anticipated beyond shared and CBM internal fields.</w:t>
      </w:r>
    </w:p>
    <w:p>
      <w:pPr>
        <w:pStyle w:val="ListParagraph"/>
        <w:numPr>
          <w:ilvl w:val="0"/>
          <w:numId w:val="2"/>
        </w:numPr>
        <w:spacing w:after="60"/>
      </w:pPr>
      <w:r>
        <w:rPr>
          <w:rFonts w:ascii="Arial" w:cs="Arial" w:eastAsia="Arial" w:hAnsi="Arial"/>
          <w:b/>
          <w:bCs/>
          <w:i w:val="false"/>
          <w:iCs w:val="false"/>
          <w:sz w:val="22"/>
          <w:szCs w:val="22"/>
        </w:rPr>
        <w:t xml:space="preserve">Presenter</w:t>
      </w:r>
      <w:r>
        <w:rPr>
          <w:rFonts w:ascii="Arial" w:cs="Arial" w:eastAsia="Arial" w:hAnsi="Arial"/>
          <w:b w:val="false"/>
          <w:bCs w:val="false"/>
          <w:i w:val="false"/>
          <w:iCs w:val="false"/>
          <w:sz w:val="22"/>
          <w:szCs w:val="22"/>
        </w:rPr>
        <w:t xml:space="preserve"> — No custom fields defined. Presenter-specific fields (if any) will be defined during CR domain process definition.</w:t>
      </w:r>
    </w:p>
    <w:p>
      <w:pPr>
        <w:pStyle w:val="ListParagraph"/>
        <w:numPr>
          <w:ilvl w:val="0"/>
          <w:numId w:val="2"/>
        </w:numPr>
        <w:spacing w:after="60"/>
      </w:pPr>
      <w:r>
        <w:rPr>
          <w:rFonts w:ascii="Arial" w:cs="Arial" w:eastAsia="Arial" w:hAnsi="Arial"/>
          <w:b/>
          <w:bCs/>
          <w:i w:val="false"/>
          <w:iCs w:val="false"/>
          <w:sz w:val="22"/>
          <w:szCs w:val="22"/>
        </w:rPr>
        <w:t xml:space="preserve">Member</w:t>
      </w:r>
      <w:r>
        <w:rPr>
          <w:rFonts w:ascii="Arial" w:cs="Arial" w:eastAsia="Arial" w:hAnsi="Arial"/>
          <w:b w:val="false"/>
          <w:bCs w:val="false"/>
          <w:i w:val="false"/>
          <w:iCs w:val="false"/>
          <w:sz w:val="22"/>
          <w:szCs w:val="22"/>
        </w:rPr>
        <w:t xml:space="preserve"> — No custom fields defined. Member-specific fields (if any) will be defined during CR domain process definition.</w:t>
      </w:r>
    </w:p>
    <w:p>
      <w:r>
        <w:br w:type="page"/>
      </w:r>
    </w:p>
    <w:p>
      <w:pPr>
        <w:pStyle w:val="Heading2"/>
      </w:pPr>
      <w:r>
        <w:t xml:space="preserve">3.5 Marketing and Source Attribution</w:t>
      </w:r>
    </w:p>
    <w:p>
      <w:r>
        <w:t xml:space="preserve">The following fields support marketing operations, prospect contact lifecycle management, opt-out compliance, and application source attribution. They are defined by the CR-MARKETING Sub-Domain Overview (v1.0) and apply across contact types where relevant. The opt-out and engagement roll-up fields apply to any Contact who may be a marketing recipient (any contactType). The prospectStatus and sourceAttributionDetails fields are scoped to Client contacts but live on the Contact entity to support the marketing-funnel lifecycle that precedes Account creation for prospects without company information. Detailed visibility rules will be specified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prospectStatus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TBD — see CR-MARKETING-ISS-003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Marketing-funnel state of an individual person. Tracks how the prospect is engaging with CBM marketing communications. Closes CON-ISS-001 with reframed scope: the original issue called for a client lifecycle field on Contact, but the correct answer is a marketing-funnel field on Contact paired with a client-relationship field (clientStatus) on Account. Stops being actively managed after the contact applies (terminal state: Converted, when the prospect is converted to an applicant via MN-INTAKE). Straw-man values pending CBM leadership: New Prospect, Engaged, Unresponsive, Converted, Opted Out. Domains: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sourceAttributionDetails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Supplementary unstructured detail beyond the structured howDidYouHearAboutCbm enum. Holds UTM parameters and referrer URLs when technical signals are available; the specific partner name when Partner Referral is selected; the specific event name when Workshop or Event is selected; staff notes from application review; and audit-trail entries when staff override prior values during MN-INTAKE review. Used for human review and attribution enrichment, not for structured reporting. Domains: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emailOptOut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Email marketing opt-out flag. Set by the inbound sync from the external marketing platform on unsubscribe events (the platform records unsubscribes from email-client-native unsubscribe headers, in-message links, and direct user actions, then pushes them to the CRM near-real-time). Once set, the email channel is suppressed for this Contact in all future syncs to the marketing platform. CAN-SPAM compliance signal. Domains: CR (all sub-domains with email outreach).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smsOptOut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false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SMS marketing opt-out flag. Separate from emailOptOut because the legal compliance regimes are different (TCPA for SMS, CAN-SPAM for email) and a contact may legitimately opt out of one channel but not the other. Set by the inbound sync from the external marketing platform on SMS unsubscribe events. Once set, the SMS channel is suppressed for this Contact in all future syncs. TCPA compliance signal. Domains: CR (all sub-domains with SMS outreach).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lastMarketingEngagement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Roll-up: timestamp of the most recent send, open, or click event for this Contact across all Campaigns. Workflow-updated from Campaign Engagement records. Used for prospect-level views, segmentation (e.g., "contacts not engaged in last 90 days"), and CR-REACTIVATE handoff signaling. Domains: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totalCampaignsSent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Roll-up: total count of Campaigns this Contact has been sent. Workflow-updated from Campaign Engagement records. Used for prospect-level engagement summaries and audience saturation analysis. Domains: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totalOpens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Roll-up: total count of email opens by this Contact across all Campaigns. Workflow-updated from Campaign Engagement records. Email-only metric (SMS has no "open" event). Used for engagement scoring and segmentation. Domains: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rPr>
              <w:t xml:space="preserve">totalClicks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 xml:space="preserve">CR-MARKETING SDO</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i/>
              </w:rPr>
              <w:t xml:space="preserve">Roll-up: total count of link clicks by this Contact across all Campaigns. Workflow-updated from Campaign Engagement records. The strongest engagement signal in the roll-up set — a click indicates active interest beyond merely opening. Domains: CR.</w:t>
            </w:r>
          </w:p>
        </w:tc>
      </w:tr>
    </w:tbl>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Contact entity, compiled from all domains.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 Account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relationship</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 CR, FU</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Mentor → Engagement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MN-MATCH-DAT-019</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Additional Mentors →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MN-ENGAGE-DAT-015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Engagement Contacts → Engagement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MN-MATCH-DAT-021</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Engagement Contact →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MN-INTAKE-DAT-020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Attendees → Session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MN-ENGAGE-DAT-034</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 Attendees → Session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 Dues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Requesting Mentor → SME Request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SME Request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 entity</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SME → SME Request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SME Request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 entity</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Primary Contact: </w:t>
      </w:r>
      <w:r>
        <w:rPr>
          <w:rFonts w:ascii="Arial" w:cs="Arial" w:eastAsia="Arial" w:hAnsi="Arial"/>
          <w:b w:val="false"/>
          <w:bCs w:val="false"/>
          <w:i w:val="false"/>
          <w:iCs w:val="false"/>
          <w:sz w:val="22"/>
          <w:szCs w:val="22"/>
        </w:rPr>
        <w:t xml:space="preserve">The “Primary Contact” designation (MN-INTAKE-DAT-016) is implemented as a bool on the Contact-to-Account relationship, not as a field on the Contact entity. This allows a single Contact to be the primary contact for one Account but not for another. The relationship-level implementation is defined in the Account Entity PRD.</w:t>
      </w:r>
    </w:p>
    <w:p>
      <w:pPr>
        <w:spacing w:after="120"/>
      </w:pPr>
      <w:r>
        <w:rPr>
          <w:rFonts w:ascii="Arial" w:cs="Arial" w:eastAsia="Arial" w:hAnsi="Arial"/>
          <w:b/>
          <w:bCs/>
          <w:i w:val="false"/>
          <w:iCs w:val="false"/>
          <w:sz w:val="22"/>
          <w:szCs w:val="22"/>
        </w:rPr>
        <w:t xml:space="preserve">Anticipated future relationships: </w:t>
      </w:r>
      <w:r>
        <w:rPr>
          <w:rFonts w:ascii="Arial" w:cs="Arial" w:eastAsia="Arial" w:hAnsi="Arial"/>
          <w:b w:val="false"/>
          <w:bCs w:val="false"/>
          <w:i w:val="false"/>
          <w:iCs w:val="false"/>
          <w:sz w:val="22"/>
          <w:szCs w:val="22"/>
        </w:rPr>
        <w:t xml:space="preserve">Contact → Event Registration (CR domain), Contact → Event as Presenter (CR domain), Contact → Contribution as Donor (FU domain), Contact → Fundraising Campaign (FU domain). These will be defined when their respective domain process documents are completed.</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Dynamic logic visibility rules control which fields and panels are visible based on the contactType discriminator. Because contactType is a multiEnum, rules use the "has" operator — a Contact with contactType = [Mentor, Presenter] would see both Mentor-specific and Presenter-specific fields.</w:t>
      </w:r>
    </w:p>
    <w:p>
      <w:pPr>
        <w:pStyle w:val="Heading2"/>
        <w:spacing w:after="120" w:before="240"/>
      </w:pPr>
      <w:r>
        <w:rPr>
          <w:rFonts w:ascii="Arial" w:cs="Arial" w:eastAsia="Arial" w:hAnsi="Arial"/>
          <w:b/>
          <w:bCs/>
          <w:i w:val="false"/>
          <w:iCs w:val="false"/>
          <w:color w:val="1F3864"/>
          <w:sz w:val="28"/>
          <w:szCs w:val="28"/>
        </w:rPr>
        <w:t xml:space="preserve">5.1 CBM Internal Types</w:t>
      </w:r>
    </w:p>
    <w:p>
      <w:pPr>
        <w:spacing w:after="120"/>
      </w:pPr>
      <w:r>
        <w:rPr>
          <w:rFonts w:ascii="Arial" w:cs="Arial" w:eastAsia="Arial" w:hAnsi="Arial"/>
          <w:b/>
          <w:bCs/>
          <w:i w:val="false"/>
          <w:iCs w:val="false"/>
          <w:sz w:val="22"/>
          <w:szCs w:val="22"/>
        </w:rPr>
        <w:t xml:space="preserve">Condition: </w:t>
      </w:r>
      <w:r>
        <w:rPr>
          <w:rFonts w:ascii="Arial" w:cs="Arial" w:eastAsia="Arial" w:hAnsi="Arial"/>
          <w:b w:val="false"/>
          <w:bCs w:val="false"/>
          <w:i w:val="false"/>
          <w:iCs w:val="false"/>
          <w:sz w:val="22"/>
          <w:szCs w:val="22"/>
        </w:rPr>
        <w:t xml:space="preserve">contactType has Mentor OR contactType has Member OR contactType has Administrator OR contactType has Presenter</w:t>
      </w:r>
    </w:p>
    <w:p>
      <w:pPr>
        <w:spacing w:after="120"/>
      </w:pPr>
      <w:r>
        <w:rPr>
          <w:rFonts w:ascii="Arial" w:cs="Arial" w:eastAsia="Arial" w:hAnsi="Arial"/>
          <w:b/>
          <w:bCs/>
          <w:i w:val="false"/>
          <w:iCs w:val="false"/>
          <w:sz w:val="22"/>
          <w:szCs w:val="22"/>
        </w:rPr>
        <w:t xml:space="preserve">Show: </w:t>
      </w:r>
      <w:r>
        <w:rPr>
          <w:rFonts w:ascii="Arial" w:cs="Arial" w:eastAsia="Arial" w:hAnsi="Arial"/>
          <w:b w:val="false"/>
          <w:bCs w:val="false"/>
          <w:i w:val="false"/>
          <w:iCs w:val="false"/>
          <w:sz w:val="22"/>
          <w:szCs w:val="22"/>
        </w:rPr>
        <w:t xml:space="preserve">boardPosition</w:t>
      </w:r>
    </w:p>
    <w:p>
      <w:pPr>
        <w:pStyle w:val="Heading2"/>
        <w:spacing w:after="120" w:before="240"/>
      </w:pPr>
      <w:r>
        <w:rPr>
          <w:rFonts w:ascii="Arial" w:cs="Arial" w:eastAsia="Arial" w:hAnsi="Arial"/>
          <w:b/>
          <w:bCs/>
          <w:i w:val="false"/>
          <w:iCs w:val="false"/>
          <w:color w:val="1F3864"/>
          <w:sz w:val="28"/>
          <w:szCs w:val="28"/>
        </w:rPr>
        <w:t xml:space="preserve">5.2 Mentor (contactType has Mentor)</w:t>
      </w:r>
    </w:p>
    <w:p>
      <w:pPr>
        <w:spacing w:after="120"/>
      </w:pPr>
      <w:r>
        <w:rPr>
          <w:rFonts w:ascii="Arial" w:cs="Arial" w:eastAsia="Arial" w:hAnsi="Arial"/>
          <w:b/>
          <w:bCs/>
          <w:i w:val="false"/>
          <w:iCs w:val="false"/>
          <w:sz w:val="22"/>
          <w:szCs w:val="22"/>
        </w:rPr>
        <w:t xml:space="preserve">Condition: </w:t>
      </w:r>
      <w:r>
        <w:rPr>
          <w:rFonts w:ascii="Arial" w:cs="Arial" w:eastAsia="Arial" w:hAnsi="Arial"/>
          <w:b w:val="false"/>
          <w:bCs w:val="false"/>
          <w:i w:val="false"/>
          <w:iCs w:val="false"/>
          <w:sz w:val="22"/>
          <w:szCs w:val="22"/>
        </w:rPr>
        <w:t xml:space="preserve">contactType has Mentor</w:t>
      </w:r>
    </w:p>
    <w:p>
      <w:pPr>
        <w:spacing w:after="120"/>
      </w:pPr>
      <w:r>
        <w:rPr>
          <w:rFonts w:ascii="Arial" w:cs="Arial" w:eastAsia="Arial" w:hAnsi="Arial"/>
          <w:b/>
          <w:bCs/>
          <w:i w:val="false"/>
          <w:iCs w:val="false"/>
          <w:sz w:val="22"/>
          <w:szCs w:val="22"/>
        </w:rPr>
        <w:t xml:space="preserve">Show all fields in Section 3.3: </w:t>
      </w:r>
      <w:r>
        <w:rPr>
          <w:rFonts w:ascii="Arial" w:cs="Arial" w:eastAsia="Arial" w:hAnsi="Arial"/>
          <w:b w:val="false"/>
          <w:bCs w:val="false"/>
          <w:i w:val="false"/>
          <w:iCs w:val="false"/>
          <w:sz w:val="22"/>
          <w:szCs w:val="22"/>
        </w:rPr>
        <w:t xml:space="preserve">mentorStatus, acceptingNewClients, maximumClientCapacity, currentActiveClients, availableCapacity, personalEmail, cbmEmailAddress, currentEmployer, currentlyEmployed, yearsOfBusinessExperience, professionalBio, industrySectors, mentoringFocusAreas, skillsExpertiseTags, fluentLanguages, whyInterestedInMentoring, isPrimaryMentor, isCoMentor, isSubjectMatterExpert, ethicsAgreementAccepted, ethicsAgreementAcceptanceDateTime, backgroundCheckCompleted, backgroundCheckDate, felonyConvictionDisclosure, trainingCompleted, trainingCompletionDate, duesStatus, duesPaymentDate, duesRenewalDate, applicationDeclineReason, totalLifetimeSessions, totalMentoringHours, totalSessionsLast30Days, departureReason, departureDate</w:t>
      </w:r>
    </w:p>
    <w:p>
      <w:pPr>
        <w:pStyle w:val="Heading2"/>
        <w:spacing w:after="120" w:before="240"/>
      </w:pPr>
      <w:r>
        <w:rPr>
          <w:rFonts w:ascii="Arial" w:cs="Arial" w:eastAsia="Arial" w:hAnsi="Arial"/>
          <w:b/>
          <w:bCs/>
          <w:i w:val="false"/>
          <w:iCs w:val="false"/>
          <w:color w:val="1F3864"/>
          <w:sz w:val="28"/>
          <w:szCs w:val="28"/>
        </w:rPr>
        <w:t xml:space="preserve">5.3 Additional Mentor Conditional Rules</w:t>
      </w:r>
    </w:p>
    <w:p>
      <w:pPr>
        <w:spacing w:after="120"/>
      </w:pPr>
      <w:r>
        <w:rPr>
          <w:rFonts w:ascii="Arial" w:cs="Arial" w:eastAsia="Arial" w:hAnsi="Arial"/>
          <w:b w:val="false"/>
          <w:bCs w:val="false"/>
          <w:i w:val="false"/>
          <w:iCs w:val="false"/>
          <w:sz w:val="22"/>
          <w:szCs w:val="22"/>
        </w:rPr>
        <w:t xml:space="preserve">Within the Mentor-specific fields, the following fields have secondary visibility conditions:</w:t>
      </w:r>
    </w:p>
    <w:p>
      <w:pPr>
        <w:pStyle w:val="ListParagraph"/>
        <w:numPr>
          <w:ilvl w:val="0"/>
          <w:numId w:val="2"/>
        </w:numPr>
        <w:spacing w:after="60"/>
      </w:pPr>
      <w:r>
        <w:rPr>
          <w:rFonts w:ascii="Arial" w:cs="Arial" w:eastAsia="Arial" w:hAnsi="Arial"/>
          <w:b/>
          <w:bCs/>
          <w:i w:val="false"/>
          <w:iCs w:val="false"/>
          <w:sz w:val="22"/>
          <w:szCs w:val="22"/>
        </w:rPr>
        <w:t xml:space="preserve">applicationDeclineReason</w:t>
      </w:r>
      <w:r>
        <w:rPr>
          <w:rFonts w:ascii="Arial" w:cs="Arial" w:eastAsia="Arial" w:hAnsi="Arial"/>
          <w:b w:val="false"/>
          <w:bCs w:val="false"/>
          <w:i w:val="false"/>
          <w:iCs w:val="false"/>
          <w:sz w:val="22"/>
          <w:szCs w:val="22"/>
        </w:rPr>
        <w:t xml:space="preserve"> — visible only when mentorStatus = Declined</w:t>
      </w:r>
    </w:p>
    <w:p>
      <w:pPr>
        <w:numPr>
          <w:ilvl w:val="0"/>
          <w:numId w:val="2"/>
        </w:numPr>
        <w:spacing w:after="60"/>
      </w:pPr>
      <w:r>
        <w:rPr>
          <w:rFonts w:ascii="Arial" w:cs="Arial" w:eastAsia="Arial" w:hAnsi="Arial"/>
          <w:b/>
          <w:bCs/>
          <w:i w:val="false"/>
          <w:iCs w:val="false"/>
          <w:sz w:val="22"/>
          <w:szCs w:val="22"/>
        </w:rPr>
        <w:t xml:space="preserve">departureReason, departureDate</w:t>
      </w:r>
      <w:r>
        <w:rPr>
          <w:rFonts w:ascii="Arial" w:cs="Arial" w:eastAsia="Arial" w:hAnsi="Arial"/>
          <w:b w:val="false"/>
          <w:bCs w:val="false"/>
          <w:i w:val="false"/>
          <w:iCs w:val="false"/>
          <w:sz w:val="22"/>
          <w:szCs w:val="22"/>
        </w:rPr>
        <w:t xml:space="preserve"> — visible only when mentorStatus in [Resigned, Departed]</w:t>
      </w:r>
    </w:p>
    <w:p>
      <w:pPr>
        <w:pStyle w:val="Heading2"/>
        <w:spacing w:after="120" w:before="240"/>
      </w:pPr>
      <w:r>
        <w:rPr>
          <w:rFonts w:ascii="Arial" w:cs="Arial" w:eastAsia="Arial" w:hAnsi="Arial"/>
          <w:b/>
          <w:bCs/>
          <w:i w:val="false"/>
          <w:iCs w:val="false"/>
          <w:color w:val="1F3864"/>
          <w:sz w:val="28"/>
          <w:szCs w:val="28"/>
        </w:rPr>
        <w:t xml:space="preserve">5.4 Client (contactType has Client)</w:t>
      </w:r>
    </w:p>
    <w:p>
      <w:pPr>
        <w:spacing w:after="120"/>
      </w:pPr>
      <w:r>
        <w:rPr>
          <w:rFonts w:ascii="Arial" w:cs="Arial" w:eastAsia="Arial" w:hAnsi="Arial"/>
          <w:b w:val="false"/>
          <w:bCs w:val="false"/>
          <w:i w:val="false"/>
          <w:iCs w:val="false"/>
          <w:sz w:val="22"/>
          <w:szCs w:val="22"/>
        </w:rPr>
        <w:t xml:space="preserve">No Client-specific custom fields are defined yet. When the Client lifecycle field is defined (CON-ISS-001), it will require a visibility rule: contactType has Client.</w:t>
      </w:r>
    </w:p>
    <w:p>
      <w:pPr>
        <w:pStyle w:val="Heading2"/>
        <w:spacing w:after="120" w:before="240"/>
      </w:pPr>
      <w:r>
        <w:rPr>
          <w:rFonts w:ascii="Arial" w:cs="Arial" w:eastAsia="Arial" w:hAnsi="Arial"/>
          <w:b/>
          <w:bCs/>
          <w:i w:val="false"/>
          <w:iCs w:val="false"/>
          <w:color w:val="1F3864"/>
          <w:sz w:val="28"/>
          <w:szCs w:val="28"/>
        </w:rPr>
        <w:t xml:space="preserve">5.5 Partner (contactType has Partner)</w:t>
      </w:r>
    </w:p>
    <w:p>
      <w:pPr>
        <w:spacing w:after="120"/>
      </w:pPr>
      <w:r>
        <w:rPr>
          <w:rFonts w:ascii="Arial" w:cs="Arial" w:eastAsia="Arial" w:hAnsi="Arial"/>
          <w:b w:val="false"/>
          <w:bCs w:val="false"/>
          <w:i w:val="false"/>
          <w:iCs w:val="false"/>
          <w:sz w:val="22"/>
          <w:szCs w:val="22"/>
        </w:rPr>
        <w:t xml:space="preserve">No Partner-specific custom fields are defined. CON-ISS-002 is closed: partner lifecycle is tracked at the Account level via partnerStatus, so no Partner lifecycle field on Contact is needed. If other Partner-specific fields are identified during remaining CR domain process definition, dynamic logic visibility rules (contactType has Partner) will be added at that time.</w:t>
      </w:r>
    </w:p>
    <w:p>
      <w:pPr>
        <w:pStyle w:val="Heading2"/>
        <w:spacing w:after="120" w:before="240"/>
      </w:pPr>
      <w:r>
        <w:rPr>
          <w:rFonts w:ascii="Arial" w:cs="Arial" w:eastAsia="Arial" w:hAnsi="Arial"/>
          <w:b/>
          <w:bCs/>
          <w:i w:val="false"/>
          <w:iCs w:val="false"/>
          <w:color w:val="1F3864"/>
          <w:sz w:val="28"/>
          <w:szCs w:val="28"/>
        </w:rPr>
        <w:t xml:space="preserve">5.6 Donor (contactType has Donor)</w:t>
      </w:r>
    </w:p>
    <w:p>
      <w:pPr>
        <w:spacing w:after="120"/>
      </w:pPr>
      <w:r>
        <w:rPr>
          <w:rFonts w:ascii="Arial" w:cs="Arial" w:eastAsia="Arial" w:hAnsi="Arial"/>
          <w:b w:val="false"/>
          <w:bCs w:val="false"/>
          <w:i w:val="false"/>
          <w:iCs w:val="false"/>
          <w:sz w:val="22"/>
          <w:szCs w:val="22"/>
        </w:rPr>
        <w:t xml:space="preserve">No Donor-specific custom fields are defined yet. When the Donor lifecycle field is defined (CON-ISS-003), it will require a visibility rule: contactType has Donor.</w:t>
      </w:r>
    </w:p>
    <w:p>
      <w:pPr>
        <w:pStyle w:val="Heading2"/>
        <w:spacing w:after="120" w:before="240"/>
      </w:pPr>
      <w:r>
        <w:rPr>
          <w:rFonts w:ascii="Arial" w:cs="Arial" w:eastAsia="Arial" w:hAnsi="Arial"/>
          <w:b/>
          <w:bCs/>
          <w:i w:val="false"/>
          <w:iCs w:val="false"/>
          <w:color w:val="1F3864"/>
          <w:sz w:val="28"/>
          <w:szCs w:val="28"/>
        </w:rPr>
        <w:t xml:space="preserve">5.7 Administrator, Presenter, Member</w:t>
      </w:r>
    </w:p>
    <w:p>
      <w:pPr>
        <w:spacing w:after="120"/>
      </w:pPr>
      <w:r>
        <w:rPr>
          <w:rFonts w:ascii="Arial" w:cs="Arial" w:eastAsia="Arial" w:hAnsi="Arial"/>
          <w:b w:val="false"/>
          <w:bCs w:val="false"/>
          <w:i w:val="false"/>
          <w:iCs w:val="false"/>
          <w:sz w:val="22"/>
          <w:szCs w:val="22"/>
        </w:rPr>
        <w:t xml:space="preserve">No type-specific custom fields are defined for these types beyond the CBM internal fields in Section 5.1. Dynamic logic rules will be added if type-specific fields are defined during CR domain process work.</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panel/tab grouping is a recommendation for the Contact detail view. Final layout is determined during YAML generation. Dynamic logic hides entire panels when the relevant contactType is not present.</w:t>
      </w:r>
    </w:p>
    <w:p>
      <w:pPr>
        <w:spacing w:after="120"/>
      </w:pPr>
      <w:r>
        <w:rPr>
          <w:rFonts w:ascii="Arial" w:cs="Arial" w:eastAsia="Arial" w:hAnsi="Arial"/>
          <w:b/>
          <w:bCs/>
          <w:i w:val="false"/>
          <w:iCs w:val="false"/>
          <w:color w:val="1F3864"/>
          <w:sz w:val="22"/>
          <w:szCs w:val="22"/>
        </w:rPr>
        <w:t xml:space="preserve">Overview Panel (always visible)</w:t>
      </w:r>
    </w:p>
    <w:p>
      <w:pPr>
        <w:spacing w:after="120"/>
      </w:pPr>
      <w:r>
        <w:rPr>
          <w:rFonts w:ascii="Arial" w:cs="Arial" w:eastAsia="Arial" w:hAnsi="Arial"/>
          <w:b w:val="false"/>
          <w:bCs w:val="false"/>
          <w:i w:val="false"/>
          <w:iCs w:val="false"/>
          <w:sz w:val="22"/>
          <w:szCs w:val="22"/>
        </w:rPr>
        <w:t xml:space="preserve">Native identity fields: salutationName, firstName, middleName, lastName, title. Custom shared fields: contactType, preferredName, linkedInProfile, howDidYouHearAboutCbm. Native contact fields: emailAddress, phoneNumber, address composite.</w:t>
      </w:r>
    </w:p>
    <w:p>
      <w:pPr>
        <w:spacing w:after="120"/>
      </w:pPr>
      <w:r>
        <w:rPr>
          <w:rFonts w:ascii="Arial" w:cs="Arial" w:eastAsia="Arial" w:hAnsi="Arial"/>
          <w:b/>
          <w:bCs/>
          <w:i w:val="false"/>
          <w:iCs w:val="false"/>
          <w:color w:val="1F3864"/>
          <w:sz w:val="22"/>
          <w:szCs w:val="22"/>
        </w:rPr>
        <w:t xml:space="preserve">Mentor Profile Panel (contactType has Mentor)</w:t>
      </w:r>
    </w:p>
    <w:p>
      <w:pPr>
        <w:spacing w:after="120"/>
      </w:pPr>
      <w:r>
        <w:rPr>
          <w:rFonts w:ascii="Arial" w:cs="Arial" w:eastAsia="Arial" w:hAnsi="Arial"/>
          <w:b w:val="false"/>
          <w:bCs w:val="false"/>
          <w:i w:val="false"/>
          <w:iCs w:val="false"/>
          <w:sz w:val="22"/>
          <w:szCs w:val="22"/>
        </w:rPr>
        <w:t xml:space="preserve">personalEmail, cbmEmailAddress, currentEmployer, currentlyEmployed, yearsOfBusinessExperience, professionalBio.</w:t>
      </w:r>
    </w:p>
    <w:p>
      <w:pPr>
        <w:spacing w:after="120"/>
      </w:pPr>
      <w:r>
        <w:rPr>
          <w:rFonts w:ascii="Arial" w:cs="Arial" w:eastAsia="Arial" w:hAnsi="Arial"/>
          <w:b/>
          <w:bCs/>
          <w:i w:val="false"/>
          <w:iCs w:val="false"/>
          <w:color w:val="1F3864"/>
          <w:sz w:val="22"/>
          <w:szCs w:val="22"/>
        </w:rPr>
        <w:t xml:space="preserve">Mentor Matching Panel (contactType has Mentor)</w:t>
      </w:r>
    </w:p>
    <w:p>
      <w:pPr>
        <w:spacing w:after="120"/>
      </w:pPr>
      <w:r>
        <w:rPr>
          <w:rFonts w:ascii="Arial" w:cs="Arial" w:eastAsia="Arial" w:hAnsi="Arial"/>
          <w:b w:val="false"/>
          <w:bCs w:val="false"/>
          <w:i w:val="false"/>
          <w:iCs w:val="false"/>
          <w:sz w:val="22"/>
          <w:szCs w:val="22"/>
        </w:rPr>
        <w:t xml:space="preserve">industrySectors, mentoringFocusAreas, skillsExpertiseTags, fluentLanguages.</w:t>
      </w:r>
    </w:p>
    <w:p>
      <w:pPr>
        <w:spacing w:after="120"/>
      </w:pPr>
      <w:r>
        <w:rPr>
          <w:rFonts w:ascii="Arial" w:cs="Arial" w:eastAsia="Arial" w:hAnsi="Arial"/>
          <w:b/>
          <w:bCs/>
          <w:i w:val="false"/>
          <w:iCs w:val="false"/>
          <w:color w:val="1F3864"/>
          <w:sz w:val="22"/>
          <w:szCs w:val="22"/>
        </w:rPr>
        <w:t xml:space="preserve">Mentor Status Panel (contactType has Mentor)</w:t>
      </w:r>
    </w:p>
    <w:p>
      <w:pPr>
        <w:spacing w:after="120"/>
      </w:pPr>
      <w:r>
        <w:rPr>
          <w:rFonts w:ascii="Arial" w:cs="Arial" w:eastAsia="Arial" w:hAnsi="Arial"/>
          <w:b w:val="false"/>
          <w:bCs w:val="false"/>
          <w:i w:val="false"/>
          <w:iCs w:val="false"/>
          <w:sz w:val="22"/>
          <w:szCs w:val="22"/>
        </w:rPr>
        <w:t xml:space="preserve">mentorStatus, acceptingNewClients, maximumClientCapacity, currentActiveClients, availableCapacity, isPrimaryMentor, isCoMentor, isSubjectMatterExpert.</w:t>
      </w:r>
    </w:p>
    <w:p>
      <w:pPr>
        <w:spacing w:after="120"/>
      </w:pPr>
      <w:r>
        <w:rPr>
          <w:rFonts w:ascii="Arial" w:cs="Arial" w:eastAsia="Arial" w:hAnsi="Arial"/>
          <w:b/>
          <w:bCs/>
          <w:i w:val="false"/>
          <w:iCs w:val="false"/>
          <w:color w:val="1F3864"/>
          <w:sz w:val="22"/>
          <w:szCs w:val="22"/>
        </w:rPr>
        <w:t xml:space="preserve">Mentor Onboarding Panel (contactType has Mentor)</w:t>
      </w:r>
    </w:p>
    <w:p>
      <w:pPr>
        <w:spacing w:after="120"/>
      </w:pPr>
      <w:r>
        <w:rPr>
          <w:rFonts w:ascii="Arial" w:cs="Arial" w:eastAsia="Arial" w:hAnsi="Arial"/>
          <w:b w:val="false"/>
          <w:bCs w:val="false"/>
          <w:i w:val="false"/>
          <w:iCs w:val="false"/>
          <w:sz w:val="22"/>
          <w:szCs w:val="22"/>
        </w:rPr>
        <w:t xml:space="preserve">ethicsAgreementAccepted, ethicsAgreementAcceptanceDateTime, backgroundCheckCompleted, backgroundCheckDate, felonyConvictionDisclosure, trainingCompleted, trainingCompletionDate, termsAndConditionsAccepted, termsAndConditionsAcceptanceDateTime, whyInterestedInMentoring.</w:t>
      </w:r>
    </w:p>
    <w:p>
      <w:pPr>
        <w:spacing w:after="120"/>
      </w:pPr>
      <w:r>
        <w:rPr>
          <w:rFonts w:ascii="Arial" w:cs="Arial" w:eastAsia="Arial" w:hAnsi="Arial"/>
          <w:b/>
          <w:bCs/>
          <w:i w:val="false"/>
          <w:iCs w:val="false"/>
          <w:color w:val="1F3864"/>
          <w:sz w:val="22"/>
          <w:szCs w:val="22"/>
        </w:rPr>
        <w:t xml:space="preserve">Mentor Dues Panel (contactType has Mentor)</w:t>
      </w:r>
    </w:p>
    <w:p>
      <w:pPr>
        <w:spacing w:after="120"/>
      </w:pPr>
      <w:r>
        <w:rPr>
          <w:rFonts w:ascii="Arial" w:cs="Arial" w:eastAsia="Arial" w:hAnsi="Arial"/>
          <w:b w:val="false"/>
          <w:bCs w:val="false"/>
          <w:i w:val="false"/>
          <w:iCs w:val="false"/>
          <w:sz w:val="22"/>
          <w:szCs w:val="22"/>
        </w:rPr>
        <w:t xml:space="preserve">duesStatus, duesPaymentDate, duesRenewalDate.</w:t>
      </w:r>
    </w:p>
    <w:p>
      <w:pPr>
        <w:spacing w:after="120"/>
      </w:pPr>
      <w:r>
        <w:rPr>
          <w:rFonts w:ascii="Arial" w:cs="Arial" w:eastAsia="Arial" w:hAnsi="Arial"/>
          <w:b/>
          <w:bCs/>
          <w:i w:val="false"/>
          <w:iCs w:val="false"/>
          <w:color w:val="1F3864"/>
          <w:sz w:val="22"/>
          <w:szCs w:val="22"/>
        </w:rPr>
        <w:t xml:space="preserve">Mentor Departure Panel (mentorStatus in [Resigned, Departed])</w:t>
      </w:r>
    </w:p>
    <w:p>
      <w:pPr>
        <w:spacing w:after="120"/>
      </w:pPr>
      <w:r>
        <w:rPr>
          <w:rFonts w:ascii="Arial" w:cs="Arial" w:eastAsia="Arial" w:hAnsi="Arial"/>
          <w:b w:val="false"/>
          <w:bCs w:val="false"/>
          <w:i w:val="false"/>
          <w:iCs w:val="false"/>
          <w:sz w:val="22"/>
          <w:szCs w:val="22"/>
        </w:rPr>
        <w:t xml:space="preserve">departureReason, departureDate.</w:t>
      </w:r>
    </w:p>
    <w:p>
      <w:pPr>
        <w:spacing w:after="120"/>
      </w:pPr>
      <w:r>
        <w:rPr>
          <w:rFonts w:ascii="Arial" w:cs="Arial" w:eastAsia="Arial" w:hAnsi="Arial"/>
          <w:b/>
          <w:bCs/>
          <w:i w:val="false"/>
          <w:iCs w:val="false"/>
          <w:color w:val="1F3864"/>
          <w:sz w:val="22"/>
          <w:szCs w:val="22"/>
        </w:rPr>
        <w:t xml:space="preserve">CBM Membership Panel (CBM internal types)</w:t>
      </w:r>
    </w:p>
    <w:p>
      <w:pPr>
        <w:spacing w:after="120"/>
      </w:pPr>
      <w:r>
        <w:rPr>
          <w:rFonts w:ascii="Arial" w:cs="Arial" w:eastAsia="Arial" w:hAnsi="Arial"/>
          <w:b w:val="false"/>
          <w:bCs w:val="false"/>
          <w:i w:val="false"/>
          <w:iCs w:val="false"/>
          <w:sz w:val="22"/>
          <w:szCs w:val="22"/>
        </w:rPr>
        <w:t xml:space="preserve">boardPosition.</w:t>
      </w:r>
    </w:p>
    <w:p>
      <w:r>
        <w:rPr>
          <w:b/>
        </w:rPr>
        <w:t xml:space="preserve">Marketing and Source Attribution Panel (always visible)</w:t>
      </w:r>
    </w:p>
    <w:p>
      <w:r>
        <w:t xml:space="preserve">prospectStatus, sourceAttributionDetails, emailOptOut, smsOptOut, lastMarketingEngagement, totalCampaignsSent, totalOpens, totalClicks. (prospectStatus and sourceAttributionDetails may be conditionally hidden for non-Client contact types via dynamic logic during YAML generation.)</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Calculated fields: </w:t>
      </w:r>
      <w:r>
        <w:rPr>
          <w:rFonts w:ascii="Arial" w:cs="Arial" w:eastAsia="Arial" w:hAnsi="Arial"/>
          <w:b w:val="false"/>
          <w:bCs w:val="false"/>
          <w:i w:val="false"/>
          <w:iCs w:val="false"/>
          <w:sz w:val="22"/>
          <w:szCs w:val="22"/>
        </w:rPr>
        <w:t xml:space="preserve">currentActiveClients is the count of Engagements where this Contact is the Assigned Mentor and Engagement Status is Active or Assigned. availableCapacity is maximumClientCapacity minus currentActiveClients. Both are system-calculated and read-only.</w:t>
      </w:r>
    </w:p>
    <w:p>
      <w:pPr>
        <w:spacing w:after="120"/>
      </w:pPr>
      <w:r>
        <w:rPr>
          <w:rFonts w:ascii="Arial" w:cs="Arial" w:eastAsia="Arial" w:hAnsi="Arial"/>
          <w:b/>
          <w:bCs/>
          <w:i w:val="false"/>
          <w:iCs w:val="false"/>
          <w:sz w:val="22"/>
          <w:szCs w:val="22"/>
        </w:rPr>
        <w:t xml:space="preserve">2. Field-level access control: </w:t>
      </w:r>
      <w:r>
        <w:rPr>
          <w:rFonts w:ascii="Arial" w:cs="Arial" w:eastAsia="Arial" w:hAnsi="Arial"/>
          <w:b w:val="false"/>
          <w:bCs w:val="false"/>
          <w:i w:val="false"/>
          <w:iCs w:val="false"/>
          <w:sz w:val="22"/>
          <w:szCs w:val="22"/>
        </w:rPr>
        <w:t xml:space="preserve">backgroundCheckCompleted, backgroundCheckDate, and felonyConvictionDisclosure are restricted to Mentor Administrator access only and hidden from the mentor’s own record view. duesStatus, duesPaymentDate, duesRenewalDate, departureReason, and departureDate are admin-only. ethicsAgreementAccepted is read-only for mentors.</w:t>
      </w:r>
    </w:p>
    <w:p>
      <w:pPr>
        <w:spacing w:after="120"/>
      </w:pPr>
      <w:r>
        <w:rPr>
          <w:rFonts w:ascii="Arial" w:cs="Arial" w:eastAsia="Arial" w:hAnsi="Arial"/>
          <w:b/>
          <w:bCs/>
          <w:i w:val="false"/>
          <w:iCs w:val="false"/>
          <w:sz w:val="22"/>
          <w:szCs w:val="22"/>
        </w:rPr>
        <w:t xml:space="preserve">3. System-populated fields: </w:t>
      </w:r>
      <w:r>
        <w:rPr>
          <w:rFonts w:ascii="Arial" w:cs="Arial" w:eastAsia="Arial" w:hAnsi="Arial"/>
          <w:b w:val="false"/>
          <w:bCs w:val="false"/>
          <w:i w:val="false"/>
          <w:iCs w:val="false"/>
          <w:sz w:val="22"/>
          <w:szCs w:val="22"/>
        </w:rPr>
        <w:t xml:space="preserve">termsAndConditionsAccepted and termsAndConditionsAcceptanceDateTime are populated from form submissions. trainingCompleted and trainingCompletionDate are populated via LMS integration but may also be manually set by the Mentor Administrator as a fallback. felonyConvictionDisclosure is populated from the application form. termsAndConditionsAccepted, termsAndConditionsAcceptanceDateTime, and felonyConvictionDisclosure should not be manually editable by end users.</w:t>
      </w:r>
    </w:p>
    <w:p>
      <w:pPr>
        <w:spacing w:after="120"/>
      </w:pPr>
      <w:r>
        <w:rPr>
          <w:rFonts w:ascii="Arial" w:cs="Arial" w:eastAsia="Arial" w:hAnsi="Arial"/>
          <w:b/>
          <w:bCs/>
          <w:i w:val="false"/>
          <w:iCs w:val="false"/>
          <w:sz w:val="22"/>
          <w:szCs w:val="22"/>
        </w:rPr>
        <w:t xml:space="preserve">4. Audited fields: </w:t>
      </w:r>
      <w:r>
        <w:rPr>
          <w:rFonts w:ascii="Arial" w:cs="Arial" w:eastAsia="Arial" w:hAnsi="Arial"/>
          <w:b w:val="false"/>
          <w:bCs w:val="false"/>
          <w:i w:val="false"/>
          <w:iCs w:val="false"/>
          <w:sz w:val="22"/>
          <w:szCs w:val="22"/>
        </w:rPr>
        <w:t xml:space="preserve">mentorStatus should be audited to maintain a complete transition history for compliance and reporting.</w:t>
      </w:r>
    </w:p>
    <w:p>
      <w:pPr>
        <w:spacing w:after="120"/>
      </w:pPr>
      <w:r>
        <w:rPr>
          <w:rFonts w:ascii="Arial" w:cs="Arial" w:eastAsia="Arial" w:hAnsi="Arial"/>
          <w:b/>
          <w:bCs/>
          <w:i w:val="false"/>
          <w:iCs w:val="false"/>
          <w:sz w:val="22"/>
          <w:szCs w:val="22"/>
        </w:rPr>
        <w:t xml:space="preserve">5. Multi-type contacts: </w:t>
      </w:r>
      <w:r>
        <w:rPr>
          <w:rFonts w:ascii="Arial" w:cs="Arial" w:eastAsia="Arial" w:hAnsi="Arial"/>
          <w:b w:val="false"/>
          <w:bCs w:val="false"/>
          <w:i w:val="false"/>
          <w:iCs w:val="false"/>
          <w:sz w:val="22"/>
          <w:szCs w:val="22"/>
        </w:rPr>
        <w:t xml:space="preserve">Because contactType is multiEnum, a Contact with multiple types sees the union of all type-specific fields. The layout should group fields by type panel so the UI remains organized when multiple types are active.</w:t>
      </w:r>
    </w:p>
    <w:p>
      <w:pPr>
        <w:spacing w:after="120"/>
      </w:pPr>
      <w:r>
        <w:rPr>
          <w:rFonts w:ascii="Arial" w:cs="Arial" w:eastAsia="Arial" w:hAnsi="Arial"/>
          <w:b/>
          <w:bCs/>
          <w:i w:val="false"/>
          <w:iCs w:val="false"/>
          <w:sz w:val="22"/>
          <w:szCs w:val="22"/>
        </w:rPr>
        <w:t xml:space="preserve">6. Native email handling: </w:t>
      </w:r>
      <w:r>
        <w:rPr>
          <w:rFonts w:ascii="Arial" w:cs="Arial" w:eastAsia="Arial" w:hAnsi="Arial"/>
          <w:b w:val="false"/>
          <w:bCs w:val="false"/>
          <w:i w:val="false"/>
          <w:iCs w:val="false"/>
          <w:sz w:val="22"/>
          <w:szCs w:val="22"/>
        </w:rPr>
        <w:t xml:space="preserve">Mentor contacts use personalEmail and cbmEmailAddress as separate custom fields rather than the native multi-email capability. The native emailAddress field remains available but is not the primary mechanism for Mentor email management. For all other contact types, the native emailAddress field is the primary email field.</w:t>
      </w:r>
    </w:p>
    <w:p>
      <w:pPr>
        <w:spacing w:after="120"/>
      </w:pPr>
      <w:r>
        <w:rPr>
          <w:rFonts w:ascii="Arial" w:cs="Arial" w:eastAsia="Arial" w:hAnsi="Arial"/>
          <w:b/>
          <w:bCs/>
          <w:i w:val="false"/>
          <w:iCs w:val="false"/>
          <w:sz w:val="22"/>
          <w:szCs w:val="22"/>
        </w:rPr>
        <w:t xml:space="preserve">7. Product name restriction: </w:t>
      </w:r>
      <w:r>
        <w:rPr>
          <w:rFonts w:ascii="Arial" w:cs="Arial" w:eastAsia="Arial" w:hAnsi="Arial"/>
          <w:b w:val="false"/>
          <w:bCs w:val="false"/>
          <w:i w:val="false"/>
          <w:iCs w:val="false"/>
          <w:sz w:val="22"/>
          <w:szCs w:val="22"/>
        </w:rPr>
        <w:t xml:space="preserve">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t>CLOSED (v1.3): Resolved by the prospectStatus field added in Section 3.5 by the CR-MARKETING Sub-Domain Overview. The original issue called for a client lifecycle field on Contact analogous to mentorStatus, but the correct answer is a marketing-funnel field (prospectStatus) on Contact paired with a client-relationship field (clientStatus) on Account. The two fields measure different things: prospectStatus tracks the marketing-funnel state of a person; clientStatus tracks the client-relationship state of a company. The split correctly handles the multi-contact-per-engagement case and the Account-less prospect case (pre-startup contacts with no company yet).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CLOSED (v1.2): Partner lifecycle is tracked at the Account level via partnerStatus, not at the Contact level. No Partner-specific lifecycle field is needed on Contact. Resolved during CR-PARTNER Sub-Domain Overview session and applied per CR-PARTNER-MANAGE updates.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Donor lifecycle field not yet defined. The Master PRD describes donor/sponsor pipeline stages (Prospect, Contacted, In Discussion, Committed, Active, Lapsed, Closed). The lifecycle stages and field definition will be established during FU domain process definition. Carried forward from EI-ISS-006.</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Contact entity. The MR, CR, and FU domains have only summary-level data. This Entity PRD will require updates when those domain process documents are completed. Additional type-specific custom fields, relationships, and dynamic logic rules are expected. Carried forward from EI-ISS-008.</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complete list of allowed values not defined. Must align between the Engagement-level field and the Mentor Contact field. Carried forward from MN-INTAKE-ISS-001.</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Skills and Expertise Tags: values not yet defined by CBM leadership. Carried forward from MR-ISS-001.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Fluent Languages: values not yet defined by CBM leadership. Carried forward from MR-ISS-002.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CLOSED (v1.3): Resolved by the CR-MARKETING Sub-Domain Overview. The howDidYouHearAboutCbm enum has 10 values: Partner Referral, Workshop or Event, Email Marketing, Social Media, Search Engine, CBM Website, News or Media, Personal Referral, Returning Client, Other. Values map to CR sub-domains for channel effectiveness rollup reporting.</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Contact is a bool on the Contact-to-Account relationship, not a field on the Contact entity. A single Contact can be the primary contact for one Account but not for another. Implementation details defined in the Account Entity PRD.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title field treated as shared across all contact types. No dynamic logic visibility required. Maps to Professional Title from the MR domain.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preferredName and linkedInProfile are shared fields, not type-specific. Applicable to all contact types.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email addresses implemented as two separate custom fields (personalEmail, cbmEmailAddress) rather than using the native multi-email capability. The distinction matters operationally for onboarding vs. mentoring communications and departure cleanup.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termsAndConditionsAccepted and termsAndConditionsAcceptanceDateTime are shared fields (not Mentor-specific) for portal readiness. Currently populated only for Mentors; will be used for all contact types when a client portal is implemented.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howDidYouHearAboutCbm is shared across all contact types. Both MR and CR domains reference recording how contacts heard about CBM. A single shared field supports unified referral channel reporting.</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boardPosition is visible for CBM organizational member types (Mentor, Member, Administrator, Presenter) and hidden for external relationship types (Client, Partner, Donor). Board membership requires being a CBM organizational member.</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Status has ten values: Prospect, Submitted, In Review, Provisional, Active, Paused, Inactive, Resigned, Departed, Declined. Prospect was added to the nine values from the MN Domain PRD based on Entity Inventory confirmation (EI-ISS-003).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Zip Code maps to native addressPostalCode. The intake form collects only zip code, but the full native address composite is available for any contact type. No custom address field needed.</w:t>
            </w:r>
          </w:p>
        </w:tc>
      </w:tr>
      <w:tr>
        <w:tc>
          <w:tcPr>
            <w:tcW w:type="dxa" w:w="1500"/>
          </w:tcPr>
          <w:p>
            <w:r>
              <w:t>CON-DEC-010</w:t>
            </w:r>
          </w:p>
        </w:tc>
        <w:tc>
          <w:tcPr>
            <w:tcW w:type="dxa" w:w="7860"/>
          </w:tcPr>
          <w:p>
            <w:r>
              <w:t>Prospects ARE Contact records in the CRM. The CRM is the single source of truth for all contacts known to CBM, including marketing-stage prospects who only ever appeared on a marketing list. The Section 1 "Client prospects have not yet entered the system" language was a Mentoring-only-era statement and is corrected by v1.3.</w:t>
            </w:r>
          </w:p>
        </w:tc>
      </w:tr>
      <w:tr>
        <w:tc>
          <w:tcPr>
            <w:tcW w:type="dxa" w:w="1500"/>
          </w:tcPr>
          <w:p>
            <w:r>
              <w:t>CON-DEC-011</w:t>
            </w:r>
          </w:p>
        </w:tc>
        <w:tc>
          <w:tcPr>
            <w:tcW w:type="dxa" w:w="7860"/>
          </w:tcPr>
          <w:p>
            <w:r>
              <w:t>Two-field lifecycle model. Contact.prospectStatus tracks the marketing-funnel state of an individual person. Account.clientStatus (defined in the Account Entity PRD) tracks the client-relationship state of a company. The two fields answer two different questions and cannot drift because they measure different things. Handoff occurs at MN-INTAKE: when a prospect Contact applies, Contact.prospectStatus moves to Converted and Account.clientStatus moves from Prospect to Applicant.</w:t>
            </w:r>
          </w:p>
        </w:tc>
      </w:tr>
      <w:tr>
        <w:tc>
          <w:tcPr>
            <w:tcW w:type="dxa" w:w="1500"/>
          </w:tcPr>
          <w:p>
            <w:r>
              <w:t>CON-DEC-012</w:t>
            </w:r>
          </w:p>
        </w:tc>
        <w:tc>
          <w:tcPr>
            <w:tcW w:type="dxa" w:w="7860"/>
          </w:tcPr>
          <w:p>
            <w:r>
              <w:t>sourceAttributionDetails is a separate supplementary field, not a replacement for the structured howDidYouHearAboutCbm enum. The two fields work together: howDidYouHearAboutCbm is the authoritative structured field for reporting and segmentation; sourceAttributionDetails captures unstructured supplementary detail (specific partner name, specific event name, UTM parameters, staff override audit trail) that would dilute the structured field if forced into it.</w:t>
            </w:r>
          </w:p>
        </w:tc>
      </w:tr>
      <w:tr>
        <w:tc>
          <w:tcPr>
            <w:tcW w:type="dxa" w:w="1500"/>
          </w:tcPr>
          <w:p>
            <w:r>
              <w:t>CON-DEC-013</w:t>
            </w:r>
          </w:p>
        </w:tc>
        <w:tc>
          <w:tcPr>
            <w:tcW w:type="dxa" w:w="7860"/>
          </w:tcPr>
          <w:p>
            <w:r>
              <w:t>Per-channel opt-out flags. emailOptOut and smsOptOut are separate fields rather than a single combined opt-out flag because the legal compliance regimes are different (CAN-SPAM for email, TCPA for SMS) and a contact may legitimately want one channel suppressed but not the other. SMS as a marketing channel is in scope per the CR-MARKETING Sub-Domain Overview.</w:t>
            </w:r>
          </w:p>
        </w:tc>
      </w:tr>
      <w:tr>
        <w:tc>
          <w:tcPr>
            <w:tcW w:type="dxa" w:w="1500"/>
          </w:tcPr>
          <w:p>
            <w:r>
              <w:t>CON-DEC-014</w:t>
            </w:r>
          </w:p>
        </w:tc>
        <w:tc>
          <w:tcPr>
            <w:tcW w:type="dxa" w:w="7860"/>
          </w:tcPr>
          <w:p>
            <w:r>
              <w:t>Marketing engagement roll-up fields (lastMarketingEngagement, totalCampaignsSent, totalOpens, totalClicks) are workflow-updated from Campaign Engagement records, not manually maintained. They provide prospect-level engagement summaries without requiring traversal of per-recipient Campaign Engagement records. The Campaign and Campaign Engagement entities themselves are deferred to Phase 2b Entity PRDs.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Contact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Contact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2026-04-02T03:43:16.544Z</dcterms:created>
  <dcterms:modified xsi:type="dcterms:W3CDTF">2026-04-02T03:43:16.545Z</dcterms:modified>
</cp:coreProperties>
</file>

<file path=docProps/custom.xml><?xml version="1.0" encoding="utf-8"?>
<Properties xmlns="http://schemas.openxmlformats.org/officeDocument/2006/custom-properties" xmlns:vt="http://schemas.openxmlformats.org/officeDocument/2006/docPropsVTypes"/>
</file>