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04-06-26 17:00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Document Production Process phase this represents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1</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2</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4):</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5):</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6):</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7):</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8):</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9):</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10):</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11):</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ProcessField, and ProcessPersona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ProcessField, and ProcessPersona at the step level.</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1–7) and CRM Selection (Phase 8).</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9), CRM Configuration (Phase 10), and Verification (Phase 11).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(for example, entity_prd maps to Phase 2, process_definition maps to Phase 5). This mapping is not stored in the database because it is defined by the methodology and does not vary per client. Each phase group has a header showing the phase number, phase name, and a completion indicator (for example, “3 of 5 complete”). Within each phase, work items are listed by domain sort_order.</w:t>
      </w:r>
    </w:p>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8: Master PRD, Business Object Discovery, Entity Definition, Domain Overview,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8),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w:t>
      </w:r>
    </w:p>
    <w:p>
      <w:pPr>
        <w:pStyle w:val="ListParagraph"/>
        <w:numPr>
          <w:ilvl w:val="0"/>
          <w:numId w:val="2"/>
        </w:numPr>
        <w:spacing w:after="120"/>
      </w:pPr>
      <w:r>
        <w:rPr>
          <w:rFonts w:ascii="Arial" w:cs="Arial" w:eastAsia="Arial" w:hAnsi="Arial"/>
          <w:sz w:val="22"/>
          <w:szCs w:val="22"/>
        </w:rPr>
        <w:t xml:space="preserve">Design the Workflow Engine (Section 9).</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