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04-02-26 23:45</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spacing w:after="160"/>
      </w:pPr>
      <w:r>
        <w:rPr>
          <w:rFonts w:ascii="Arial" w:cs="Arial" w:eastAsia="Arial" w:hAnsi="Arial"/>
          <w:i/>
          <w:iCs/>
          <w:color w:val="888888"/>
          <w:sz w:val="22"/>
          <w:szCs w:val="22"/>
        </w:rPr>
        <w:t xml:space="preserve">This section will be defined in a subsequent revision. It will cover dependency tracing, cross-reference queries, change propagation logic, the impact presentation format, and the review tracking workflow.</w:t>
      </w:r>
    </w:p>
    <w:p>
      <w:pPr>
        <w:pStyle w:val="Heading1"/>
        <w:spacing w:after="200" w:before="360"/>
      </w:pPr>
      <w:r>
        <w:rPr>
          <w:rFonts w:ascii="Arial" w:cs="Arial" w:eastAsia="Arial" w:hAnsi="Arial"/>
          <w:b/>
          <w:bCs/>
          <w:color w:val="1F3864"/>
          <w:sz w:val="28"/>
          <w:szCs w:val="28"/>
        </w:rPr>
        <w:t xml:space="preserve">13. Document Generator</w:t>
      </w:r>
    </w:p>
    <w:p>
      <w:pPr>
        <w:spacing w:after="160"/>
      </w:pPr>
      <w:r>
        <w:rPr>
          <w:rFonts w:ascii="Arial" w:cs="Arial" w:eastAsia="Arial" w:hAnsi="Arial"/>
          <w:i/>
          <w:iCs/>
          <w:color w:val="888888"/>
          <w:sz w:val="22"/>
          <w:szCs w:val="22"/>
        </w:rPr>
        <w:t xml:space="preserve">This section will be defined in a subsequent revision. It will cover generating Entity PRDs, Process Documents, Domain PRDs, the Master PRD, and YAML program files from the current database state. It will also define staleness detection and regeneration triggers.</w:t>
      </w:r>
    </w:p>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i/>
          <w:iCs/>
          <w:color w:val="888888"/>
          <w:sz w:val="22"/>
          <w:szCs w:val="22"/>
        </w:rPr>
        <w:t xml:space="preserve">This section will be defined in a subsequent revision. It will cover the project dashboard, work item navigation, session orchestration screens, import review interface, impact analysis display, document generation controls, and integration with the existing CRM Builder deployment and configuration panels.</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w:t>
      </w:r>
    </w:p>
    <w:p>
      <w:pPr>
        <w:pStyle w:val="ListParagraph"/>
        <w:numPr>
          <w:ilvl w:val="0"/>
          <w:numId w:val="2"/>
        </w:numPr>
        <w:spacing w:after="120"/>
      </w:pPr>
      <w:r>
        <w:rPr>
          <w:rFonts w:ascii="Arial" w:cs="Arial" w:eastAsia="Arial" w:hAnsi="Arial"/>
          <w:sz w:val="22"/>
          <w:szCs w:val="22"/>
        </w:rPr>
        <w:t xml:space="preserve">Design the Document Generator (Section 13).</w:t>
      </w:r>
    </w:p>
    <w:p>
      <w:pPr>
        <w:pStyle w:val="ListParagraph"/>
        <w:numPr>
          <w:ilvl w:val="0"/>
          <w:numId w:val="2"/>
        </w:numPr>
        <w:spacing w:after="120"/>
      </w:pPr>
      <w:r>
        <w:rPr>
          <w:rFonts w:ascii="Arial" w:cs="Arial" w:eastAsia="Arial" w:hAnsi="Arial"/>
          <w:sz w:val="22"/>
          <w:szCs w:val="22"/>
        </w:rPr>
        <w:t xml:space="preserve">Design the User Interface (Section 14).</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