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Arial" w:cs="Arial"/>
          <w:b/>
          <w:bCs/>
          <w:i w:val="false"/>
          <w:iCs w:val="false"/>
          <w:color w:val="1F3864"/>
          <w:sz w:val="36"/>
          <w:szCs w:val="36"/>
        </w:rPr>
        <w:t>Cleveland Business Mentors</w:t>
      </w:r>
    </w:p>
    <w:p>
      <w:pPr>
        <w:pStyle w:val="Normal"/>
        <w:spacing w:before="0" w:after="200"/>
        <w:jc w:val="center"/>
        <w:rPr/>
      </w:pPr>
      <w:r>
        <w:rPr>
          <w:rFonts w:eastAsia="Arial" w:cs="Arial"/>
          <w:b/>
          <w:bCs/>
          <w:i w:val="false"/>
          <w:iCs w:val="false"/>
          <w:color w:val="1F3864"/>
          <w:sz w:val="28"/>
          <w:szCs w:val="28"/>
        </w:rPr>
        <w:t>Mentoring (MN) Domain PRD</w:t>
      </w:r>
    </w:p>
    <w:p>
      <w:pPr>
        <w:pStyle w:val="Normal"/>
        <w:spacing w:before="0" w:after="400"/>
        <w:jc w:val="center"/>
        <w:rPr/>
      </w:pPr>
      <w:r>
        <w:rPr>
          <w:rFonts w:eastAsia="Arial" w:cs="Arial"/>
          <w:b w:val="false"/>
          <w:bCs w:val="false"/>
          <w:i w:val="false"/>
          <w:iCs w:val="false"/>
          <w:sz w:val="22"/>
          <w:szCs w:val="22"/>
        </w:rPr>
        <w:t>Domain PRD</w:t>
      </w:r>
    </w:p>
    <w:tbl>
      <w:tblPr>
        <w:tblW w:w="9360" w:type="dxa"/>
        <w:jc w:val="left"/>
        <w:tblInd w:w="0" w:type="dxa"/>
        <w:tblLayout w:type="fixed"/>
        <w:tblCellMar>
          <w:top w:w="60" w:type="dxa"/>
          <w:left w:w="100" w:type="dxa"/>
          <w:bottom w:w="60" w:type="dxa"/>
          <w:right w:w="100" w:type="dxa"/>
        </w:tblCellMar>
      </w:tblPr>
      <w:tblGrid>
        <w:gridCol w:w="2399"/>
        <w:gridCol w:w="6960"/>
      </w:tblGrid>
      <w:tr>
        <w:trPr/>
        <w:tc>
          <w:tcPr>
            <w:tcW w:w="2399" w:type="dxa"/>
            <w:tcBorders>
              <w:top w:val="single" w:sz="2" w:space="0" w:color="AAAAAA"/>
              <w:left w:val="single" w:sz="2" w:space="0" w:color="AAAAAA"/>
              <w:bottom w:val="single" w:sz="2" w:space="0" w:color="AAAAAA"/>
              <w:right w:val="single" w:sz="2" w:space="0" w:color="AAAAAA"/>
            </w:tcBorders>
            <w:shd w:fill="E8E8E8" w:val="clear"/>
          </w:tcPr>
          <w:p>
            <w:pPr>
              <w:pStyle w:val="Normal"/>
              <w:rPr/>
            </w:pPr>
            <w:r>
              <w:rPr>
                <w:rFonts w:eastAsia="Arial" w:cs="Arial"/>
                <w:b/>
                <w:bCs/>
                <w:i w:val="false"/>
                <w:iCs w:val="false"/>
                <w:sz w:val="20"/>
                <w:szCs w:val="20"/>
              </w:rPr>
              <w:t>Domain</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Mentoring (MN)</w:t>
            </w:r>
          </w:p>
        </w:tc>
      </w:tr>
      <w:tr>
        <w:trPr/>
        <w:tc>
          <w:tcPr>
            <w:tcW w:w="2399" w:type="dxa"/>
            <w:tcBorders>
              <w:top w:val="single" w:sz="2" w:space="0" w:color="AAAAAA"/>
              <w:left w:val="single" w:sz="2" w:space="0" w:color="AAAAAA"/>
              <w:bottom w:val="single" w:sz="2" w:space="0" w:color="AAAAAA"/>
              <w:right w:val="single" w:sz="2" w:space="0" w:color="AAAAAA"/>
            </w:tcBorders>
            <w:shd w:fill="E8E8E8" w:val="clear"/>
          </w:tcPr>
          <w:p>
            <w:pPr>
              <w:pStyle w:val="Normal"/>
              <w:rPr/>
            </w:pPr>
            <w:r>
              <w:rPr>
                <w:rFonts w:eastAsia="Arial" w:cs="Arial"/>
                <w:b/>
                <w:bCs/>
                <w:i w:val="false"/>
                <w:iCs w:val="false"/>
                <w:sz w:val="20"/>
                <w:szCs w:val="20"/>
              </w:rPr>
              <w:t>Domain Code</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MN</w:t>
            </w:r>
          </w:p>
        </w:tc>
      </w:tr>
      <w:tr>
        <w:trPr/>
        <w:tc>
          <w:tcPr>
            <w:tcW w:w="2399" w:type="dxa"/>
            <w:tcBorders>
              <w:top w:val="single" w:sz="2" w:space="0" w:color="AAAAAA"/>
              <w:left w:val="single" w:sz="2" w:space="0" w:color="AAAAAA"/>
              <w:bottom w:val="single" w:sz="2" w:space="0" w:color="AAAAAA"/>
              <w:right w:val="single" w:sz="2" w:space="0" w:color="AAAAAA"/>
            </w:tcBorders>
            <w:shd w:fill="E8E8E8" w:val="clear"/>
          </w:tcPr>
          <w:p>
            <w:pPr>
              <w:pStyle w:val="Normal"/>
              <w:rPr/>
            </w:pPr>
            <w:r>
              <w:rPr>
                <w:rFonts w:eastAsia="Arial" w:cs="Arial"/>
                <w:b/>
                <w:bCs/>
                <w:i w:val="false"/>
                <w:iCs w:val="false"/>
                <w:sz w:val="20"/>
                <w:szCs w:val="20"/>
              </w:rPr>
              <w:t>Version</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1.0</w:t>
            </w:r>
          </w:p>
        </w:tc>
      </w:tr>
      <w:tr>
        <w:trPr/>
        <w:tc>
          <w:tcPr>
            <w:tcW w:w="2399" w:type="dxa"/>
            <w:tcBorders>
              <w:top w:val="single" w:sz="2" w:space="0" w:color="AAAAAA"/>
              <w:left w:val="single" w:sz="2" w:space="0" w:color="AAAAAA"/>
              <w:bottom w:val="single" w:sz="2" w:space="0" w:color="AAAAAA"/>
              <w:right w:val="single" w:sz="2" w:space="0" w:color="AAAAAA"/>
            </w:tcBorders>
            <w:shd w:fill="E8E8E8" w:val="clear"/>
          </w:tcPr>
          <w:p>
            <w:pPr>
              <w:pStyle w:val="Normal"/>
              <w:rPr/>
            </w:pPr>
            <w:r>
              <w:rPr>
                <w:rFonts w:eastAsia="Arial" w:cs="Arial"/>
                <w:b/>
                <w:bCs/>
                <w:i w:val="false"/>
                <w:iCs w:val="false"/>
                <w:sz w:val="20"/>
                <w:szCs w:val="20"/>
              </w:rPr>
              <w:t>Status</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Draft</w:t>
            </w:r>
          </w:p>
        </w:tc>
      </w:tr>
      <w:tr>
        <w:trPr/>
        <w:tc>
          <w:tcPr>
            <w:tcW w:w="2399" w:type="dxa"/>
            <w:tcBorders>
              <w:top w:val="single" w:sz="2" w:space="0" w:color="AAAAAA"/>
              <w:left w:val="single" w:sz="2" w:space="0" w:color="AAAAAA"/>
              <w:bottom w:val="single" w:sz="2" w:space="0" w:color="AAAAAA"/>
              <w:right w:val="single" w:sz="2" w:space="0" w:color="AAAAAA"/>
            </w:tcBorders>
            <w:shd w:fill="E8E8E8" w:val="clear"/>
          </w:tcPr>
          <w:p>
            <w:pPr>
              <w:pStyle w:val="Normal"/>
              <w:rPr/>
            </w:pPr>
            <w:r>
              <w:rPr>
                <w:rFonts w:eastAsia="Arial" w:cs="Arial"/>
                <w:b/>
                <w:bCs/>
                <w:i w:val="false"/>
                <w:iCs w:val="false"/>
                <w:sz w:val="20"/>
                <w:szCs w:val="20"/>
              </w:rPr>
              <w:t>Last Updated</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04-01-26 06:00</w:t>
            </w:r>
          </w:p>
        </w:tc>
      </w:tr>
      <w:tr>
        <w:trPr/>
        <w:tc>
          <w:tcPr>
            <w:tcW w:w="2399" w:type="dxa"/>
            <w:tcBorders>
              <w:top w:val="single" w:sz="2" w:space="0" w:color="AAAAAA"/>
              <w:left w:val="single" w:sz="2" w:space="0" w:color="AAAAAA"/>
              <w:bottom w:val="single" w:sz="2" w:space="0" w:color="AAAAAA"/>
              <w:right w:val="single" w:sz="2" w:space="0" w:color="AAAAAA"/>
            </w:tcBorders>
            <w:shd w:fill="E8E8E8" w:val="clear"/>
          </w:tcPr>
          <w:p>
            <w:pPr>
              <w:pStyle w:val="Normal"/>
              <w:rPr/>
            </w:pPr>
            <w:r>
              <w:rPr>
                <w:rFonts w:eastAsia="Arial" w:cs="Arial"/>
                <w:b/>
                <w:bCs/>
                <w:i w:val="false"/>
                <w:iCs w:val="false"/>
                <w:sz w:val="20"/>
                <w:szCs w:val="20"/>
              </w:rPr>
              <w:t>Source</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Reconciled from MN-INTAKE v2.1, MN-MATCH v2.1, MN-ENGAGE v2.3, MN-INACTIVE v1.2, MN-CLOSE v1.1</w:t>
            </w:r>
          </w:p>
        </w:tc>
      </w:tr>
      <w:tr>
        <w:trPr/>
        <w:tc>
          <w:tcPr>
            <w:tcW w:w="2399" w:type="dxa"/>
            <w:tcBorders>
              <w:top w:val="single" w:sz="2" w:space="0" w:color="AAAAAA"/>
              <w:left w:val="single" w:sz="2" w:space="0" w:color="AAAAAA"/>
              <w:bottom w:val="single" w:sz="2" w:space="0" w:color="AAAAAA"/>
              <w:right w:val="single" w:sz="2" w:space="0" w:color="AAAAAA"/>
            </w:tcBorders>
            <w:shd w:fill="E8E8E8" w:val="clear"/>
          </w:tcPr>
          <w:p>
            <w:pPr>
              <w:pStyle w:val="Normal"/>
              <w:rPr/>
            </w:pPr>
            <w:r>
              <w:rPr>
                <w:rFonts w:eastAsia="Arial" w:cs="Arial"/>
                <w:b/>
                <w:bCs/>
                <w:i w:val="false"/>
                <w:iCs w:val="false"/>
                <w:sz w:val="20"/>
                <w:szCs w:val="20"/>
              </w:rPr>
              <w:t>Processes</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5 of 6 (Client Satisfaction Tracking deferred as future enhancement)</w:t>
            </w:r>
          </w:p>
        </w:tc>
      </w:tr>
    </w:tbl>
    <w:p>
      <w:pPr>
        <w:pStyle w:val="Normal"/>
        <w:rPr/>
      </w:pPr>
      <w:r>
        <w:rPr/>
      </w:r>
      <w:r>
        <w:br w:type="page"/>
      </w:r>
    </w:p>
    <w:p>
      <w:pPr>
        <w:pStyle w:val="Heading1"/>
        <w:spacing w:before="0" w:after="120"/>
        <w:rPr/>
      </w:pPr>
      <w:r>
        <w:rPr>
          <w:rFonts w:eastAsia="Arial" w:cs="Arial" w:ascii="Arial" w:hAnsi="Arial"/>
          <w:b/>
          <w:bCs/>
          <w:i w:val="false"/>
          <w:iCs w:val="false"/>
          <w:sz w:val="32"/>
          <w:szCs w:val="32"/>
        </w:rPr>
        <w:t>1. Domain Overview</w:t>
      </w:r>
    </w:p>
    <w:p>
      <w:pPr>
        <w:pStyle w:val="Normal"/>
        <w:spacing w:before="0" w:after="120"/>
        <w:rPr/>
      </w:pPr>
      <w:r>
        <w:rPr>
          <w:rFonts w:eastAsia="Arial" w:cs="Arial"/>
          <w:b w:val="false"/>
          <w:bCs w:val="false"/>
          <w:i w:val="false"/>
          <w:iCs w:val="false"/>
          <w:sz w:val="22"/>
          <w:szCs w:val="22"/>
        </w:rPr>
        <w:t>The Mentoring domain covers the complete lifecycle of a mentoring engagement — from a client’s initial request for mentoring services through mentor assignment, active mentoring delivery, and formal closure. It is the core program delivery function of the organization and the primary reason the organization exists.</w:t>
      </w:r>
    </w:p>
    <w:p>
      <w:pPr>
        <w:pStyle w:val="Normal"/>
        <w:spacing w:before="0" w:after="120"/>
        <w:rPr/>
      </w:pPr>
      <w:r>
        <w:rPr>
          <w:rFonts w:eastAsia="Arial" w:cs="Arial"/>
          <w:b w:val="false"/>
          <w:bCs w:val="false"/>
          <w:i w:val="false"/>
          <w:iCs w:val="false"/>
          <w:sz w:val="22"/>
          <w:szCs w:val="22"/>
        </w:rPr>
        <w:t>The domain encompasses five defined business processes that together manage: the intake and screening of prospective clients, the matching of approved clients with qualified volunteer mentors, the ongoing management of active mentoring relationships including session scheduling and recording, the continuous monitoring of engagement activity levels to detect and address stalling relationships, and the formal closure of completed or terminated engagements with outcome documentation.</w:t>
      </w:r>
    </w:p>
    <w:p>
      <w:pPr>
        <w:pStyle w:val="Normal"/>
        <w:spacing w:before="0" w:after="120"/>
        <w:rPr/>
      </w:pPr>
      <w:r>
        <w:rPr>
          <w:rFonts w:eastAsia="Arial" w:cs="Arial"/>
          <w:b w:val="false"/>
          <w:bCs w:val="false"/>
          <w:i w:val="false"/>
          <w:iCs w:val="false"/>
          <w:sz w:val="22"/>
          <w:szCs w:val="22"/>
        </w:rPr>
        <w:t>The Mentoring domain interfaces with the Mentor Recruitment domain (MR), which owns the mentor lifecycle — from application through onboarding, activation, and departure. Mentor Contact fields referenced during matching and engagement are defined by the MR domain and used here as read-only process data. The Client Satisfaction Tracking process (MN-SURVEY) is defined in the Master PRD as an Enhancement-tier process and will be addressed in a future phase; it is not included in this Domain PRD.</w:t>
      </w:r>
    </w:p>
    <w:p>
      <w:pPr>
        <w:pStyle w:val="Normal"/>
        <w:spacing w:before="0" w:after="120"/>
        <w:rPr/>
      </w:pPr>
      <w:r>
        <w:rPr>
          <w:rFonts w:eastAsia="Arial" w:cs="Arial"/>
          <w:b w:val="false"/>
          <w:bCs w:val="false"/>
          <w:i w:val="false"/>
          <w:iCs w:val="false"/>
          <w:sz w:val="22"/>
          <w:szCs w:val="22"/>
        </w:rPr>
        <w:t>The domain supports the organization’s Year 1 operating targets of 25–30 volunteer mentors and 100–200 clients served, with a single technology-capable administrator managing the platform.</w:t>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010025" cy="38195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010025" cy="3819525"/>
                    </a:xfrm>
                    <a:prstGeom prst="rect">
                      <a:avLst/>
                    </a:prstGeom>
                  </pic:spPr>
                </pic:pic>
              </a:graphicData>
            </a:graphic>
          </wp:anchor>
        </w:drawing>
      </w:r>
      <w:r>
        <w:br w:type="page"/>
      </w:r>
    </w:p>
    <w:p>
      <w:pPr>
        <w:pStyle w:val="Heading1"/>
        <w:spacing w:before="0" w:after="120"/>
        <w:rPr/>
      </w:pPr>
      <w:r>
        <w:rPr>
          <w:rFonts w:eastAsia="Arial" w:cs="Arial" w:ascii="Arial" w:hAnsi="Arial"/>
          <w:b/>
          <w:bCs/>
          <w:i w:val="false"/>
          <w:iCs w:val="false"/>
          <w:sz w:val="32"/>
          <w:szCs w:val="32"/>
        </w:rPr>
        <w:t>2. Personas</w:t>
      </w:r>
    </w:p>
    <w:p>
      <w:pPr>
        <w:pStyle w:val="Normal"/>
        <w:spacing w:before="0" w:after="120"/>
        <w:rPr/>
      </w:pPr>
      <w:r>
        <w:rPr>
          <w:rFonts w:eastAsia="Arial" w:cs="Arial"/>
          <w:b w:val="false"/>
          <w:bCs w:val="false"/>
          <w:i w:val="false"/>
          <w:iCs w:val="false"/>
          <w:sz w:val="22"/>
          <w:szCs w:val="22"/>
        </w:rPr>
        <w:t>The following personas participate in one or more Mentoring domain processes. Each persona is defined in the Master PRD; this section describes their domain-specific roles.</w:t>
      </w:r>
    </w:p>
    <w:p>
      <w:pPr>
        <w:pStyle w:val="Normal"/>
        <w:spacing w:before="0" w:after="120"/>
        <w:rPr/>
      </w:pPr>
      <w:r>
        <w:rPr/>
      </w:r>
    </w:p>
    <w:p>
      <w:pPr>
        <w:pStyle w:val="Normal"/>
        <w:spacing w:before="0" w:after="40"/>
        <w:rPr/>
      </w:pPr>
      <w:r>
        <w:rPr>
          <w:rFonts w:eastAsia="Arial" w:cs="Arial"/>
          <w:b/>
          <w:bCs/>
          <w:i w:val="false"/>
          <w:iCs w:val="false"/>
          <w:sz w:val="22"/>
          <w:szCs w:val="22"/>
        </w:rPr>
        <w:t>Client (MST-PER-013)</w:t>
      </w:r>
    </w:p>
    <w:p>
      <w:pPr>
        <w:pStyle w:val="Normal"/>
        <w:spacing w:before="0" w:after="120"/>
        <w:rPr/>
      </w:pPr>
      <w:r>
        <w:rPr>
          <w:rFonts w:eastAsia="Arial" w:cs="Arial"/>
          <w:b w:val="false"/>
          <w:bCs w:val="false"/>
          <w:i w:val="false"/>
          <w:iCs w:val="false"/>
          <w:sz w:val="22"/>
          <w:szCs w:val="22"/>
        </w:rPr>
        <w:t>Submits mentoring requests, participates in sessions, receives meeting requests and session summaries, and provides feedback through surveys. Participates in: Client Intake (MN-INTAKE), Engagement Management (MN-ENGAGE), Engagement Closure (MN-CLOSE).</w:t>
      </w:r>
    </w:p>
    <w:p>
      <w:pPr>
        <w:pStyle w:val="Normal"/>
        <w:spacing w:before="0" w:after="120"/>
        <w:rPr/>
      </w:pPr>
      <w:r>
        <w:rPr/>
      </w:r>
    </w:p>
    <w:p>
      <w:pPr>
        <w:pStyle w:val="Normal"/>
        <w:spacing w:before="0" w:after="40"/>
        <w:rPr/>
      </w:pPr>
      <w:r>
        <w:rPr>
          <w:rFonts w:eastAsia="Arial" w:cs="Arial"/>
          <w:b/>
          <w:bCs/>
          <w:i w:val="false"/>
          <w:iCs w:val="false"/>
          <w:sz w:val="22"/>
          <w:szCs w:val="22"/>
        </w:rPr>
        <w:t>Client Administrator (MST-PER-003)</w:t>
      </w:r>
    </w:p>
    <w:p>
      <w:pPr>
        <w:pStyle w:val="Normal"/>
        <w:spacing w:before="0" w:after="120"/>
        <w:rPr/>
      </w:pPr>
      <w:r>
        <w:rPr>
          <w:rFonts w:eastAsia="Arial" w:cs="Arial"/>
          <w:b w:val="false"/>
          <w:bCs w:val="false"/>
          <w:i w:val="false"/>
          <w:iCs w:val="false"/>
          <w:sz w:val="22"/>
          <w:szCs w:val="22"/>
        </w:rPr>
        <w:t>Reviews and processes client applications during intake, monitors engagement activity as a passive observer during active engagements, receives inactivity notifications, and may initiate engagement closure in exceptional circumstances such as mentor incapacitation. Has full authority to override any status transition. Participates in: Client Intake (MN-INTAKE), Engagement Management (MN-ENGAGE), Activity Monitoring (MN-INACTIVE), Engagement Closure (MN-CLOSE).</w:t>
      </w:r>
    </w:p>
    <w:p>
      <w:pPr>
        <w:pStyle w:val="Normal"/>
        <w:spacing w:before="0" w:after="120"/>
        <w:rPr/>
      </w:pPr>
      <w:r>
        <w:rPr/>
      </w:r>
    </w:p>
    <w:p>
      <w:pPr>
        <w:pStyle w:val="Normal"/>
        <w:spacing w:before="0" w:after="40"/>
        <w:rPr/>
      </w:pPr>
      <w:r>
        <w:rPr>
          <w:rFonts w:eastAsia="Arial" w:cs="Arial"/>
          <w:b/>
          <w:bCs/>
          <w:i w:val="false"/>
          <w:iCs w:val="false"/>
          <w:sz w:val="22"/>
          <w:szCs w:val="22"/>
        </w:rPr>
        <w:t>Client Assignment Coordinator (MST-PER-004)</w:t>
      </w:r>
    </w:p>
    <w:p>
      <w:pPr>
        <w:pStyle w:val="Normal"/>
        <w:spacing w:before="0" w:after="120"/>
        <w:rPr/>
      </w:pPr>
      <w:r>
        <w:rPr>
          <w:rFonts w:eastAsia="Arial" w:cs="Arial"/>
          <w:b w:val="false"/>
          <w:bCs w:val="false"/>
          <w:i w:val="false"/>
          <w:iCs w:val="false"/>
          <w:sz w:val="22"/>
          <w:szCs w:val="22"/>
        </w:rPr>
        <w:t>Searches the mentor roster, evaluates candidates against client needs, nominates primary mentors, and manages the acceptance workflow. Participates in: Mentor Matching (MN-MATCH).</w:t>
      </w:r>
    </w:p>
    <w:p>
      <w:pPr>
        <w:pStyle w:val="Normal"/>
        <w:spacing w:before="0" w:after="120"/>
        <w:rPr/>
      </w:pPr>
      <w:r>
        <w:rPr/>
      </w:r>
    </w:p>
    <w:p>
      <w:pPr>
        <w:pStyle w:val="Normal"/>
        <w:spacing w:before="0" w:after="40"/>
        <w:rPr/>
      </w:pPr>
      <w:r>
        <w:rPr>
          <w:rFonts w:eastAsia="Arial" w:cs="Arial"/>
          <w:b/>
          <w:bCs/>
          <w:i w:val="false"/>
          <w:iCs w:val="false"/>
          <w:sz w:val="22"/>
          <w:szCs w:val="22"/>
        </w:rPr>
        <w:t>Mentor Administrator (MST-PER-005)</w:t>
      </w:r>
    </w:p>
    <w:p>
      <w:pPr>
        <w:pStyle w:val="Normal"/>
        <w:spacing w:before="0" w:after="120"/>
        <w:rPr/>
      </w:pPr>
      <w:r>
        <w:rPr>
          <w:rFonts w:eastAsia="Arial" w:cs="Arial"/>
          <w:b w:val="false"/>
          <w:bCs w:val="false"/>
          <w:i w:val="false"/>
          <w:iCs w:val="false"/>
          <w:sz w:val="22"/>
          <w:szCs w:val="22"/>
        </w:rPr>
        <w:t>Provides mentor availability and capacity information to support matching. Has access to filtered views and the Engagement Health dashboard for monitoring engagement trends across mentors. Does not receive automated notifications from the Activity Monitoring process. Participates in: Mentor Matching (MN-MATCH), Activity Monitoring (MN-INACTIVE).</w:t>
      </w:r>
    </w:p>
    <w:p>
      <w:pPr>
        <w:pStyle w:val="Normal"/>
        <w:spacing w:before="0" w:after="120"/>
        <w:rPr/>
      </w:pPr>
      <w:r>
        <w:rPr/>
      </w:r>
    </w:p>
    <w:p>
      <w:pPr>
        <w:pStyle w:val="Normal"/>
        <w:spacing w:before="0" w:after="40"/>
        <w:rPr/>
      </w:pPr>
      <w:r>
        <w:rPr>
          <w:rFonts w:eastAsia="Arial" w:cs="Arial"/>
          <w:b/>
          <w:bCs/>
          <w:i w:val="false"/>
          <w:iCs w:val="false"/>
          <w:sz w:val="22"/>
          <w:szCs w:val="22"/>
        </w:rPr>
        <w:t>Mentor (MST-PER-011)</w:t>
      </w:r>
    </w:p>
    <w:p>
      <w:pPr>
        <w:pStyle w:val="Normal"/>
        <w:spacing w:before="0" w:after="120"/>
        <w:rPr/>
      </w:pPr>
      <w:r>
        <w:rPr>
          <w:rFonts w:eastAsia="Arial" w:cs="Arial"/>
          <w:b w:val="false"/>
          <w:bCs w:val="false"/>
          <w:i w:val="false"/>
          <w:iCs w:val="false"/>
          <w:sz w:val="22"/>
          <w:szCs w:val="22"/>
        </w:rPr>
        <w:t>Receives and accepts or declines engagement assignments. Schedules and records sessions, sets meeting cadence, assigns additional mentors, reviews and sends session summaries, places engagements on hold, and initiates closure. The primary actor throughout the active engagement lifecycle. Participates in: Mentor Matching (MN-MATCH), Engagement Management (MN-ENGAGE), Activity Monitoring (MN-INACTIVE), Engagement Closure (MN-CLOSE).</w:t>
      </w:r>
    </w:p>
    <w:p>
      <w:pPr>
        <w:pStyle w:val="Normal"/>
        <w:spacing w:before="0" w:after="120"/>
        <w:rPr/>
      </w:pPr>
      <w:r>
        <w:rPr/>
      </w:r>
    </w:p>
    <w:p>
      <w:pPr>
        <w:pStyle w:val="Normal"/>
        <w:spacing w:before="0" w:after="40"/>
        <w:rPr/>
      </w:pPr>
      <w:r>
        <w:rPr>
          <w:rFonts w:eastAsia="Arial" w:cs="Arial"/>
          <w:b/>
          <w:bCs/>
          <w:i w:val="false"/>
          <w:iCs w:val="false"/>
          <w:sz w:val="22"/>
          <w:szCs w:val="22"/>
        </w:rPr>
        <w:t>Executive Member (MST-PER-002)</w:t>
      </w:r>
    </w:p>
    <w:p>
      <w:pPr>
        <w:pStyle w:val="Normal"/>
        <w:spacing w:before="0" w:after="120"/>
        <w:rPr/>
      </w:pPr>
      <w:r>
        <w:rPr>
          <w:rFonts w:eastAsia="Arial" w:cs="Arial"/>
          <w:b w:val="false"/>
          <w:bCs w:val="false"/>
          <w:i w:val="false"/>
          <w:iCs w:val="false"/>
          <w:sz w:val="22"/>
          <w:szCs w:val="22"/>
        </w:rPr>
        <w:t>Has access to the Engagement Health dashboard for organizational health monitoring. Views aggregate engagement pipeline status counts. Does not receive automated notifications and does not participate in individual engagement interventions. Participates in: Activity Monitoring (MN-INACTIVE).</w:t>
      </w:r>
    </w:p>
    <w:p>
      <w:pPr>
        <w:pStyle w:val="Normal"/>
        <w:rPr/>
      </w:pPr>
      <w:r>
        <w:rPr/>
      </w:r>
      <w:r>
        <w:br w:type="page"/>
      </w:r>
    </w:p>
    <w:p>
      <w:pPr>
        <w:pStyle w:val="Heading1"/>
        <w:spacing w:before="0" w:after="120"/>
        <w:rPr/>
      </w:pPr>
      <w:r>
        <w:rPr>
          <w:rFonts w:eastAsia="Arial" w:cs="Arial" w:ascii="Arial" w:hAnsi="Arial"/>
          <w:b/>
          <w:bCs/>
          <w:i w:val="false"/>
          <w:iCs w:val="false"/>
          <w:sz w:val="32"/>
          <w:szCs w:val="32"/>
        </w:rPr>
        <w:t>3. Business Processes</w:t>
      </w:r>
    </w:p>
    <w:p>
      <w:pPr>
        <w:pStyle w:val="Normal"/>
        <w:spacing w:before="0" w:after="120"/>
        <w:rPr/>
      </w:pPr>
      <w:r>
        <w:rPr>
          <w:rFonts w:eastAsia="Arial" w:cs="Arial"/>
          <w:b w:val="false"/>
          <w:bCs w:val="false"/>
          <w:i w:val="false"/>
          <w:iCs w:val="false"/>
          <w:sz w:val="22"/>
          <w:szCs w:val="22"/>
        </w:rPr>
        <w:t>Processes are listed in dependency order. Each process includes all eight required sections per the reconciliation guide v1.1. The sixth Mentoring domain process, Client Satisfaction Tracking (MN-SURVEY), is an Enhancement-tier future addition and is not included.</w:t>
      </w:r>
    </w:p>
    <w:p>
      <w:pPr>
        <w:pStyle w:val="Heading2"/>
        <w:spacing w:before="240" w:after="120"/>
        <w:rPr/>
      </w:pPr>
      <w:r>
        <w:rPr>
          <w:rFonts w:eastAsia="Arial" w:cs="Arial" w:ascii="Arial" w:hAnsi="Arial"/>
          <w:b/>
          <w:bCs/>
          <w:i w:val="false"/>
          <w:iCs w:val="false"/>
          <w:sz w:val="28"/>
          <w:szCs w:val="28"/>
        </w:rPr>
        <w:t>3.1 Client Intake (MN-INTAKE)</w:t>
      </w:r>
    </w:p>
    <w:p>
      <w:pPr>
        <w:pStyle w:val="Normal"/>
        <w:spacing w:before="0" w:after="200"/>
        <w:rPr/>
      </w:pPr>
      <w:r>
        <w:rPr>
          <w:rFonts w:eastAsia="Arial" w:cs="Arial"/>
          <w:b w:val="false"/>
          <w:bCs w:val="false"/>
          <w:i/>
          <w:iCs/>
          <w:color w:val="888888"/>
          <w:sz w:val="22"/>
          <w:szCs w:val="22"/>
        </w:rPr>
        <w:t>Tier: Core | Version: 2.1 | Last Updated: 04-01-26 05:00</w:t>
      </w:r>
    </w:p>
    <w:p>
      <w:pPr>
        <w:pStyle w:val="Heading3"/>
        <w:spacing w:before="240" w:after="120"/>
        <w:rPr/>
      </w:pPr>
      <w:r>
        <w:rPr>
          <w:rFonts w:eastAsia="Arial" w:cs="Arial" w:ascii="Arial" w:hAnsi="Arial"/>
          <w:b/>
          <w:bCs/>
          <w:i w:val="false"/>
          <w:iCs w:val="false"/>
          <w:sz w:val="24"/>
          <w:szCs w:val="24"/>
        </w:rPr>
        <w:t>Process Purpose</w:t>
      </w:r>
    </w:p>
    <w:p>
      <w:pPr>
        <w:pStyle w:val="Normal"/>
        <w:spacing w:before="0" w:after="120"/>
        <w:rPr/>
      </w:pPr>
      <w:r>
        <w:rPr>
          <w:rFonts w:eastAsia="Arial" w:cs="Arial"/>
          <w:b w:val="false"/>
          <w:bCs w:val="false"/>
          <w:i w:val="false"/>
          <w:iCs w:val="false"/>
          <w:sz w:val="22"/>
          <w:szCs w:val="22"/>
        </w:rPr>
        <w:t>The Client Intake process captures the information needed to assess a prospective client’s eligibility for the mentoring program and to identify an appropriate mentor. It routes the application to the Client Administrator for review and disposition.</w:t>
      </w:r>
    </w:p>
    <w:p>
      <w:pPr>
        <w:pStyle w:val="Normal"/>
        <w:spacing w:before="0" w:after="120"/>
        <w:rPr/>
      </w:pPr>
      <w:r>
        <w:rPr>
          <w:rFonts w:eastAsia="Arial" w:cs="Arial"/>
          <w:b w:val="false"/>
          <w:bCs w:val="false"/>
          <w:i w:val="false"/>
          <w:iCs w:val="false"/>
          <w:sz w:val="22"/>
          <w:szCs w:val="22"/>
        </w:rPr>
        <w:t>The process is complete when the Client Administrator has either approved the application (advancing it to the Mentor Matching process) or declined it with a recorded reason. All records created during intake are retained permanently regardless of outcome.</w:t>
      </w:r>
    </w:p>
    <w:p>
      <w:pPr>
        <w:pStyle w:val="Heading3"/>
        <w:spacing w:before="240" w:after="120"/>
        <w:rPr/>
      </w:pPr>
      <w:r>
        <w:rPr>
          <w:rFonts w:eastAsia="Arial" w:cs="Arial" w:ascii="Arial" w:hAnsi="Arial"/>
          <w:b/>
          <w:bCs/>
          <w:i w:val="false"/>
          <w:iCs w:val="false"/>
          <w:sz w:val="24"/>
          <w:szCs w:val="24"/>
        </w:rPr>
        <w:t>Process Triggers</w:t>
      </w:r>
    </w:p>
    <w:p>
      <w:pPr>
        <w:pStyle w:val="Normal"/>
        <w:spacing w:before="0" w:after="40"/>
        <w:rPr/>
      </w:pPr>
      <w:r>
        <w:rPr>
          <w:rFonts w:eastAsia="Arial" w:cs="Arial"/>
          <w:b/>
          <w:bCs/>
          <w:i w:val="false"/>
          <w:iCs w:val="false"/>
          <w:sz w:val="22"/>
          <w:szCs w:val="22"/>
        </w:rPr>
        <w:t>Preconditions</w:t>
      </w:r>
    </w:p>
    <w:p>
      <w:pPr>
        <w:pStyle w:val="Normal"/>
        <w:spacing w:before="0" w:after="120"/>
        <w:rPr/>
      </w:pPr>
      <w:r>
        <w:rPr>
          <w:rFonts w:eastAsia="Arial" w:cs="Arial"/>
          <w:b w:val="false"/>
          <w:bCs w:val="false"/>
          <w:i w:val="false"/>
          <w:iCs w:val="false"/>
          <w:sz w:val="22"/>
          <w:szCs w:val="22"/>
        </w:rPr>
        <w:t>None. Client Intake (MN-INTAKE) is the first process in the Mentoring lifecycle. There are no prior processes that must complete and no records that must exist before intake can begin.</w:t>
      </w:r>
    </w:p>
    <w:p>
      <w:pPr>
        <w:pStyle w:val="Normal"/>
        <w:spacing w:before="0" w:after="40"/>
        <w:rPr/>
      </w:pPr>
      <w:r>
        <w:rPr>
          <w:rFonts w:eastAsia="Arial" w:cs="Arial"/>
          <w:b/>
          <w:bCs/>
          <w:i w:val="false"/>
          <w:iCs w:val="false"/>
          <w:sz w:val="22"/>
          <w:szCs w:val="22"/>
        </w:rPr>
        <w:t>Required Data</w:t>
      </w:r>
    </w:p>
    <w:p>
      <w:pPr>
        <w:pStyle w:val="Normal"/>
        <w:spacing w:before="0" w:after="120"/>
        <w:rPr/>
      </w:pPr>
      <w:r>
        <w:rPr>
          <w:rFonts w:eastAsia="Arial" w:cs="Arial"/>
          <w:b w:val="false"/>
          <w:bCs w:val="false"/>
          <w:i w:val="false"/>
          <w:iCs w:val="false"/>
          <w:sz w:val="22"/>
          <w:szCs w:val="22"/>
        </w:rPr>
        <w:t>None. The intake form itself provides all data needed to create the initial records. No pre-existing data in the system is required.</w:t>
      </w:r>
    </w:p>
    <w:p>
      <w:pPr>
        <w:pStyle w:val="Normal"/>
        <w:spacing w:before="0" w:after="40"/>
        <w:rPr/>
      </w:pPr>
      <w:r>
        <w:rPr>
          <w:rFonts w:eastAsia="Arial" w:cs="Arial"/>
          <w:b/>
          <w:bCs/>
          <w:i w:val="false"/>
          <w:iCs w:val="false"/>
          <w:sz w:val="22"/>
          <w:szCs w:val="22"/>
        </w:rPr>
        <w:t>Initiation Mechanism</w:t>
      </w:r>
    </w:p>
    <w:p>
      <w:pPr>
        <w:pStyle w:val="Normal"/>
        <w:spacing w:before="0" w:after="120"/>
        <w:rPr/>
      </w:pPr>
      <w:r>
        <w:rPr>
          <w:rFonts w:eastAsia="Arial" w:cs="Arial"/>
          <w:b w:val="false"/>
          <w:bCs w:val="false"/>
          <w:i w:val="false"/>
          <w:iCs w:val="false"/>
          <w:sz w:val="22"/>
          <w:szCs w:val="22"/>
        </w:rPr>
        <w:t>External form submission. A prospective client completes and submits the Phase 1 Mentoring Request form on the organization’s public website.</w:t>
      </w:r>
    </w:p>
    <w:p>
      <w:pPr>
        <w:pStyle w:val="Normal"/>
        <w:spacing w:before="0" w:after="40"/>
        <w:rPr/>
      </w:pPr>
      <w:r>
        <w:rPr>
          <w:rFonts w:eastAsia="Arial" w:cs="Arial"/>
          <w:b/>
          <w:bCs/>
          <w:i w:val="false"/>
          <w:iCs w:val="false"/>
          <w:sz w:val="22"/>
          <w:szCs w:val="22"/>
        </w:rPr>
        <w:t>Initiating Persona</w:t>
      </w:r>
    </w:p>
    <w:p>
      <w:pPr>
        <w:pStyle w:val="Normal"/>
        <w:spacing w:before="0" w:after="120"/>
        <w:rPr/>
      </w:pPr>
      <w:r>
        <w:rPr>
          <w:rFonts w:eastAsia="Arial" w:cs="Arial"/>
          <w:b w:val="false"/>
          <w:bCs w:val="false"/>
          <w:i w:val="false"/>
          <w:iCs w:val="false"/>
          <w:sz w:val="22"/>
          <w:szCs w:val="22"/>
        </w:rPr>
        <w:t>Client (MST-PER-013). No special authority or system role is required — the form is publicly accessible.</w:t>
      </w:r>
    </w:p>
    <w:p>
      <w:pPr>
        <w:pStyle w:val="Heading3"/>
        <w:spacing w:before="240" w:after="120"/>
        <w:rPr/>
      </w:pPr>
      <w:r>
        <w:rPr>
          <w:rFonts w:eastAsia="Arial" w:cs="Arial" w:ascii="Arial" w:hAnsi="Arial"/>
          <w:b/>
          <w:bCs/>
          <w:i w:val="false"/>
          <w:iCs w:val="false"/>
          <w:sz w:val="24"/>
          <w:szCs w:val="24"/>
        </w:rPr>
        <w:t>Personas Involved</w:t>
      </w:r>
    </w:p>
    <w:p>
      <w:pPr>
        <w:pStyle w:val="Normal"/>
        <w:spacing w:before="0" w:after="40"/>
        <w:rPr/>
      </w:pPr>
      <w:r>
        <w:rPr>
          <w:rFonts w:eastAsia="Arial" w:cs="Arial"/>
          <w:b/>
          <w:bCs/>
          <w:i w:val="false"/>
          <w:iCs w:val="false"/>
          <w:sz w:val="22"/>
          <w:szCs w:val="22"/>
        </w:rPr>
        <w:t>Client (MST-PER-013)</w:t>
      </w:r>
    </w:p>
    <w:p>
      <w:pPr>
        <w:pStyle w:val="Normal"/>
        <w:spacing w:before="0" w:after="120"/>
        <w:rPr/>
      </w:pPr>
      <w:r>
        <w:rPr>
          <w:rFonts w:eastAsia="Arial" w:cs="Arial"/>
          <w:b w:val="false"/>
          <w:bCs w:val="false"/>
          <w:i w:val="false"/>
          <w:iCs w:val="false"/>
          <w:sz w:val="22"/>
          <w:szCs w:val="22"/>
        </w:rPr>
        <w:t>Submits the mentoring request through the public website. Provides business information, contact details, and a description of mentoring needs.</w:t>
      </w:r>
    </w:p>
    <w:p>
      <w:pPr>
        <w:pStyle w:val="Normal"/>
        <w:spacing w:before="0" w:after="40"/>
        <w:rPr/>
      </w:pPr>
      <w:r>
        <w:rPr>
          <w:rFonts w:eastAsia="Arial" w:cs="Arial"/>
          <w:b/>
          <w:bCs/>
          <w:i w:val="false"/>
          <w:iCs w:val="false"/>
          <w:sz w:val="22"/>
          <w:szCs w:val="22"/>
        </w:rPr>
        <w:t>Client Administrator (MST-PER-003)</w:t>
      </w:r>
    </w:p>
    <w:p>
      <w:pPr>
        <w:pStyle w:val="Normal"/>
        <w:spacing w:before="0" w:after="120"/>
        <w:rPr/>
      </w:pPr>
      <w:r>
        <w:rPr>
          <w:rFonts w:eastAsia="Arial" w:cs="Arial"/>
          <w:b w:val="false"/>
          <w:bCs w:val="false"/>
          <w:i w:val="false"/>
          <w:iCs w:val="false"/>
          <w:sz w:val="22"/>
          <w:szCs w:val="22"/>
        </w:rPr>
        <w:t>Reviews submitted applications for completeness and basic eligibility. Approves or declines applications and communicates decisions to applicants directly.</w:t>
      </w:r>
    </w:p>
    <w:p>
      <w:pPr>
        <w:pStyle w:val="Heading3"/>
        <w:spacing w:before="240" w:after="120"/>
        <w:rPr/>
      </w:pPr>
      <w:r>
        <w:rPr>
          <w:rFonts w:eastAsia="Arial" w:cs="Arial" w:ascii="Arial" w:hAnsi="Arial"/>
          <w:b/>
          <w:bCs/>
          <w:i w:val="false"/>
          <w:iCs w:val="false"/>
          <w:sz w:val="24"/>
          <w:szCs w:val="24"/>
        </w:rPr>
        <w:t>Process Workflow</w:t>
      </w:r>
    </w:p>
    <w:p>
      <w:pPr>
        <w:pStyle w:val="ListParagraph"/>
        <w:numPr>
          <w:ilvl w:val="0"/>
          <w:numId w:val="7"/>
        </w:numPr>
        <w:spacing w:before="0" w:after="80"/>
        <w:rPr/>
      </w:pPr>
      <w:r>
        <w:rPr>
          <w:rFonts w:eastAsia="Arial" w:cs="Arial"/>
          <w:b w:val="false"/>
          <w:bCs w:val="false"/>
          <w:i w:val="false"/>
          <w:iCs w:val="false"/>
          <w:sz w:val="22"/>
          <w:szCs w:val="22"/>
        </w:rPr>
        <w:t>The prospective client completes and submits the Phase 1 Mentoring Request form on the organization’s public website.</w:t>
      </w:r>
    </w:p>
    <w:p>
      <w:pPr>
        <w:pStyle w:val="ListParagraph"/>
        <w:numPr>
          <w:ilvl w:val="0"/>
          <w:numId w:val="1"/>
        </w:numPr>
        <w:spacing w:before="0" w:after="80"/>
        <w:rPr/>
      </w:pPr>
      <w:r>
        <w:rPr>
          <w:rFonts w:eastAsia="Arial" w:cs="Arial"/>
          <w:b w:val="false"/>
          <w:bCs w:val="false"/>
          <w:i w:val="false"/>
          <w:iCs w:val="false"/>
          <w:sz w:val="22"/>
          <w:szCs w:val="22"/>
        </w:rPr>
        <w:t>The system automatically creates three linked records: a Client Organization record (the business), a Client Contact record (the submitting individual, flagged as Primary Contact), and an Engagement record with status Submitted. The submitting contact is automatically assigned as the Primary Engagement Contact and as an Engagement Contact on the new Engagement record.</w:t>
      </w:r>
    </w:p>
    <w:p>
      <w:pPr>
        <w:pStyle w:val="ListParagraph"/>
        <w:numPr>
          <w:ilvl w:val="0"/>
          <w:numId w:val="1"/>
        </w:numPr>
        <w:spacing w:before="0" w:after="80"/>
        <w:rPr/>
      </w:pPr>
      <w:r>
        <w:rPr>
          <w:rFonts w:eastAsia="Arial" w:cs="Arial"/>
          <w:b w:val="false"/>
          <w:bCs w:val="false"/>
          <w:i w:val="false"/>
          <w:iCs w:val="false"/>
          <w:sz w:val="22"/>
          <w:szCs w:val="22"/>
        </w:rPr>
        <w:t>The Client Administrator receives an automatic notification of the new submission.</w:t>
      </w:r>
    </w:p>
    <w:p>
      <w:pPr>
        <w:pStyle w:val="ListParagraph"/>
        <w:numPr>
          <w:ilvl w:val="0"/>
          <w:numId w:val="1"/>
        </w:numPr>
        <w:spacing w:before="0" w:after="80"/>
        <w:rPr/>
      </w:pPr>
      <w:r>
        <w:rPr>
          <w:rFonts w:eastAsia="Arial" w:cs="Arial"/>
          <w:b w:val="false"/>
          <w:bCs w:val="false"/>
          <w:i w:val="false"/>
          <w:iCs w:val="false"/>
          <w:sz w:val="22"/>
          <w:szCs w:val="22"/>
        </w:rPr>
        <w:t>The Client Administrator reviews the submission for completeness and basic eligibility against the organization’s program criteria.</w:t>
      </w:r>
    </w:p>
    <w:p>
      <w:pPr>
        <w:pStyle w:val="ListParagraph"/>
        <w:numPr>
          <w:ilvl w:val="0"/>
          <w:numId w:val="1"/>
        </w:numPr>
        <w:spacing w:before="0" w:after="80"/>
        <w:rPr/>
      </w:pPr>
      <w:r>
        <w:rPr>
          <w:rFonts w:eastAsia="Arial" w:cs="Arial"/>
          <w:b w:val="false"/>
          <w:bCs w:val="false"/>
          <w:i w:val="false"/>
          <w:iCs w:val="false"/>
          <w:sz w:val="22"/>
          <w:szCs w:val="22"/>
        </w:rPr>
        <w:t>If eligible, the application proceeds to the Mentor Matching process (MN-MATCH).</w:t>
      </w:r>
    </w:p>
    <w:p>
      <w:pPr>
        <w:pStyle w:val="ListParagraph"/>
        <w:numPr>
          <w:ilvl w:val="0"/>
          <w:numId w:val="1"/>
        </w:numPr>
        <w:spacing w:before="0" w:after="80"/>
        <w:rPr/>
      </w:pPr>
      <w:r>
        <w:rPr>
          <w:rFonts w:eastAsia="Arial" w:cs="Arial"/>
          <w:b w:val="false"/>
          <w:bCs w:val="false"/>
          <w:i w:val="false"/>
          <w:iCs w:val="false"/>
          <w:sz w:val="22"/>
          <w:szCs w:val="22"/>
        </w:rPr>
        <w:t>If not eligible, the Client Administrator updates the Engagement status to Declined, records the reason, and notifies the applicant directly. No automated notification is sent. The Client Organization and Contact records are retained permanently.</w:t>
      </w:r>
    </w:p>
    <w:p>
      <w:pPr>
        <w:pStyle w:val="Normal"/>
        <w:spacing w:before="0" w:after="120"/>
        <w:rPr/>
      </w:pPr>
      <w:r>
        <w:rPr>
          <w:rFonts w:eastAsia="Arial" w:cs="Arial"/>
          <w:b w:val="false"/>
          <w:bCs w:val="false"/>
          <w:i/>
          <w:iCs/>
          <w:sz w:val="22"/>
          <w:szCs w:val="22"/>
        </w:rPr>
        <w:t>A structured eligibility screening workflow may be defined by organizational leadership in a future revision. The current process assumes a basic administrative review.</w:t>
      </w:r>
    </w:p>
    <w:p>
      <w:pPr>
        <w:pStyle w:val="Heading3"/>
        <w:spacing w:before="240" w:after="120"/>
        <w:rPr/>
      </w:pPr>
      <w:r>
        <w:rPr>
          <w:rFonts w:eastAsia="Arial" w:cs="Arial" w:ascii="Arial" w:hAnsi="Arial"/>
          <w:b/>
          <w:bCs/>
          <w:i w:val="false"/>
          <w:iCs w:val="false"/>
          <w:sz w:val="24"/>
          <w:szCs w:val="24"/>
        </w:rPr>
        <w:t>Process Completion</w:t>
      </w:r>
    </w:p>
    <w:p>
      <w:pPr>
        <w:pStyle w:val="Normal"/>
        <w:spacing w:before="0" w:after="40"/>
        <w:rPr/>
      </w:pPr>
      <w:r>
        <w:rPr>
          <w:rFonts w:eastAsia="Arial" w:cs="Arial"/>
          <w:b/>
          <w:bCs/>
          <w:i w:val="false"/>
          <w:iCs w:val="false"/>
          <w:sz w:val="22"/>
          <w:szCs w:val="22"/>
        </w:rPr>
        <w:t>Normal Completion</w:t>
      </w:r>
    </w:p>
    <w:p>
      <w:pPr>
        <w:pStyle w:val="Normal"/>
        <w:spacing w:before="0" w:after="120"/>
        <w:rPr/>
      </w:pPr>
      <w:r>
        <w:rPr>
          <w:rFonts w:eastAsia="Arial" w:cs="Arial"/>
          <w:b w:val="false"/>
          <w:bCs w:val="false"/>
          <w:i w:val="false"/>
          <w:iCs w:val="false"/>
          <w:sz w:val="22"/>
          <w:szCs w:val="22"/>
        </w:rPr>
        <w:t>The Client Administrator approves the application. The Engagement status advances beyond Submitted (the next process, Mentor Matching, takes ownership of further status transitions). The application proceeds to Mentor Matching (MN-MATCH).</w:t>
      </w:r>
    </w:p>
    <w:p>
      <w:pPr>
        <w:pStyle w:val="Normal"/>
        <w:spacing w:before="0" w:after="40"/>
        <w:rPr/>
      </w:pPr>
      <w:r>
        <w:rPr>
          <w:rFonts w:eastAsia="Arial" w:cs="Arial"/>
          <w:b/>
          <w:bCs/>
          <w:i w:val="false"/>
          <w:iCs w:val="false"/>
          <w:sz w:val="22"/>
          <w:szCs w:val="22"/>
        </w:rPr>
        <w:t>Alternative End State: Declined</w:t>
      </w:r>
    </w:p>
    <w:p>
      <w:pPr>
        <w:pStyle w:val="Normal"/>
        <w:spacing w:before="0" w:after="120"/>
        <w:rPr/>
      </w:pPr>
      <w:r>
        <w:rPr>
          <w:rFonts w:eastAsia="Arial" w:cs="Arial"/>
          <w:b w:val="false"/>
          <w:bCs w:val="false"/>
          <w:i w:val="false"/>
          <w:iCs w:val="false"/>
          <w:sz w:val="22"/>
          <w:szCs w:val="22"/>
        </w:rPr>
        <w:t>The Client Administrator determines the applicant does not meet program criteria. The Engagement status is set to Declined with a recorded reason. The Client Administrator notifies the applicant directly. This end state is final — a declined application is not reopened. If the applicant reapplies, a new intake submission creates new records.</w:t>
      </w:r>
    </w:p>
    <w:p>
      <w:pPr>
        <w:pStyle w:val="Normal"/>
        <w:spacing w:before="0" w:after="40"/>
        <w:rPr/>
      </w:pPr>
      <w:r>
        <w:rPr>
          <w:rFonts w:eastAsia="Arial" w:cs="Arial"/>
          <w:b/>
          <w:bCs/>
          <w:i w:val="false"/>
          <w:iCs w:val="false"/>
          <w:sz w:val="22"/>
          <w:szCs w:val="22"/>
        </w:rPr>
        <w:t>Record Retention</w:t>
      </w:r>
    </w:p>
    <w:p>
      <w:pPr>
        <w:pStyle w:val="Normal"/>
        <w:spacing w:before="0" w:after="120"/>
        <w:rPr/>
      </w:pPr>
      <w:r>
        <w:rPr>
          <w:rFonts w:eastAsia="Arial" w:cs="Arial"/>
          <w:b w:val="false"/>
          <w:bCs w:val="false"/>
          <w:i w:val="false"/>
          <w:iCs w:val="false"/>
          <w:sz w:val="22"/>
          <w:szCs w:val="22"/>
        </w:rPr>
        <w:t>All records created during intake (Client Organization, Client Contact, Engagement) are retained permanently regardless of outcome. Declined applications remain in the system for reporting and historical reference.</w:t>
      </w:r>
    </w:p>
    <w:p>
      <w:pPr>
        <w:pStyle w:val="Normal"/>
        <w:spacing w:before="0" w:after="40"/>
        <w:rPr/>
      </w:pPr>
      <w:r>
        <w:rPr>
          <w:rFonts w:eastAsia="Arial" w:cs="Arial"/>
          <w:b/>
          <w:bCs/>
          <w:i w:val="false"/>
          <w:iCs w:val="false"/>
          <w:sz w:val="22"/>
          <w:szCs w:val="22"/>
        </w:rPr>
        <w:t>Post-Completion Handoff</w:t>
      </w:r>
    </w:p>
    <w:p>
      <w:pPr>
        <w:pStyle w:val="Normal"/>
        <w:spacing w:before="0" w:after="120"/>
        <w:rPr/>
      </w:pPr>
      <w:r>
        <w:rPr>
          <w:rFonts w:eastAsia="Arial" w:cs="Arial"/>
          <w:b w:val="false"/>
          <w:bCs w:val="false"/>
          <w:i w:val="false"/>
          <w:iCs w:val="false"/>
          <w:sz w:val="22"/>
          <w:szCs w:val="22"/>
        </w:rPr>
        <w:t>Approved applications proceed to Mentor Matching (MN-MATCH). The Mentor Matching process requires the Client Organization, Client Contact, and Engagement records created by this process as its input.</w:t>
      </w:r>
    </w:p>
    <w:p>
      <w:pPr>
        <w:pStyle w:val="Heading3"/>
        <w:spacing w:before="240" w:after="120"/>
        <w:rPr/>
      </w:pPr>
      <w:r>
        <w:rPr>
          <w:rFonts w:eastAsia="Arial" w:cs="Arial" w:ascii="Arial" w:hAnsi="Arial"/>
          <w:b/>
          <w:bCs/>
          <w:i w:val="false"/>
          <w:iCs w:val="false"/>
          <w:sz w:val="24"/>
          <w:szCs w:val="24"/>
        </w:rPr>
        <w:t>System Requirements</w:t>
      </w:r>
    </w:p>
    <w:tbl>
      <w:tblPr>
        <w:tblW w:w="9360" w:type="dxa"/>
        <w:jc w:val="left"/>
        <w:tblInd w:w="0" w:type="dxa"/>
        <w:tblLayout w:type="fixed"/>
        <w:tblCellMar>
          <w:top w:w="60" w:type="dxa"/>
          <w:left w:w="100" w:type="dxa"/>
          <w:bottom w:w="60" w:type="dxa"/>
          <w:right w:w="100" w:type="dxa"/>
        </w:tblCellMar>
      </w:tblPr>
      <w:tblGrid>
        <w:gridCol w:w="2000"/>
        <w:gridCol w:w="7359"/>
      </w:tblGrid>
      <w:tr>
        <w:trPr/>
        <w:tc>
          <w:tcPr>
            <w:tcW w:w="20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73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Requirement</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MN-INTAKE-REQ-001</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accept client mentoring requests submitted through the public website and create linked Client Organization, Client Contact, and Engagement records automatically.</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MN-INTAKE-REQ-002</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submitting individual must be automatically flagged as the Primary Contact on the new Client Organization record.</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MN-INTAKE-REQ-003</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notify the Client Administrator immediately upon receipt of a new submission.</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MN-INTAKE-REQ-004</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New submissions must appear in a dedicated Submitted Applications view accessible to the Client Administrator.</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MN-INTAKE-REQ-005</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support recording of a decline reason when an application is rejected.</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MN-INTAKE-REQ-006</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Client Organization and Contact records must be retained permanently regardless of Engagement outcome.</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MN-INTAKE-REQ-007</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automatically assign the submitting contact as the Primary Engagement Contact and as an Engagement Contact on the new Engagement record when it is created.</w:t>
            </w:r>
          </w:p>
        </w:tc>
      </w:tr>
    </w:tbl>
    <w:p>
      <w:pPr>
        <w:pStyle w:val="Heading3"/>
        <w:spacing w:before="240" w:after="120"/>
        <w:rPr/>
      </w:pPr>
      <w:r>
        <w:rPr>
          <w:rFonts w:eastAsia="Arial" w:cs="Arial" w:ascii="Arial" w:hAnsi="Arial"/>
          <w:b/>
          <w:bCs/>
          <w:i w:val="false"/>
          <w:iCs w:val="false"/>
          <w:sz w:val="24"/>
          <w:szCs w:val="24"/>
        </w:rPr>
        <w:t>Process Data</w:t>
      </w:r>
    </w:p>
    <w:p>
      <w:pPr>
        <w:pStyle w:val="Normal"/>
        <w:spacing w:before="0" w:after="120"/>
        <w:rPr/>
      </w:pPr>
      <w:r>
        <w:rPr>
          <w:rFonts w:eastAsia="Arial" w:cs="Arial"/>
          <w:b w:val="false"/>
          <w:bCs w:val="false"/>
          <w:i w:val="false"/>
          <w:iCs w:val="false"/>
          <w:sz w:val="22"/>
          <w:szCs w:val="22"/>
        </w:rPr>
        <w:t>The Client Intake process does not reference pre-existing data. It is the first process in the Mentoring lifecycle and creates all of its own records from the submitted intake form.</w:t>
      </w:r>
    </w:p>
    <w:p>
      <w:pPr>
        <w:pStyle w:val="Heading3"/>
        <w:spacing w:before="240" w:after="120"/>
        <w:rPr/>
      </w:pPr>
      <w:r>
        <w:rPr>
          <w:rFonts w:eastAsia="Arial" w:cs="Arial" w:ascii="Arial" w:hAnsi="Arial"/>
          <w:b/>
          <w:bCs/>
          <w:i w:val="false"/>
          <w:iCs w:val="false"/>
          <w:sz w:val="24"/>
          <w:szCs w:val="24"/>
        </w:rPr>
        <w:t>Data Collected</w:t>
      </w:r>
    </w:p>
    <w:p>
      <w:pPr>
        <w:pStyle w:val="Normal"/>
        <w:spacing w:before="0" w:after="120"/>
        <w:rPr/>
      </w:pPr>
      <w:r>
        <w:rPr>
          <w:rFonts w:eastAsia="Arial" w:cs="Arial"/>
          <w:b w:val="false"/>
          <w:bCs w:val="false"/>
          <w:i w:val="false"/>
          <w:iCs w:val="false"/>
          <w:sz w:val="22"/>
          <w:szCs w:val="22"/>
        </w:rPr>
        <w:t>This process creates the following records and fields. See Section 4 (Data Reference) for full field-level detail.</w:t>
      </w:r>
    </w:p>
    <w:p>
      <w:pPr>
        <w:pStyle w:val="Normal"/>
        <w:spacing w:before="0" w:after="120"/>
        <w:rPr/>
      </w:pPr>
      <w:r>
        <w:rPr>
          <w:rFonts w:eastAsia="Arial" w:cs="Arial"/>
          <w:b w:val="false"/>
          <w:bCs w:val="false"/>
          <w:i w:val="false"/>
          <w:iCs w:val="false"/>
          <w:sz w:val="22"/>
          <w:szCs w:val="22"/>
        </w:rPr>
        <w:t>Client Organization: Business Name (MN-INTAKE-DAT-001), Website (DAT-002), Address (DAT-003), Organization Type (DAT-004), Business Stage (DAT-005), Industry Sector (DAT-006), Industry Subsector (DAT-007).</w:t>
      </w:r>
    </w:p>
    <w:p>
      <w:pPr>
        <w:pStyle w:val="Normal"/>
        <w:spacing w:before="0" w:after="120"/>
        <w:rPr/>
      </w:pPr>
      <w:r>
        <w:rPr>
          <w:rFonts w:eastAsia="Arial" w:cs="Arial"/>
          <w:b w:val="false"/>
          <w:bCs w:val="false"/>
          <w:i w:val="false"/>
          <w:iCs w:val="false"/>
          <w:sz w:val="22"/>
          <w:szCs w:val="22"/>
        </w:rPr>
        <w:t>Client Contact: First Name (MN-INTAKE-DAT-008), Last Name (DAT-009), Middle Name (DAT-010), Preferred Name (DAT-011), Email (DAT-012), Phone (DAT-013), Zip Code (DAT-014), LinkedIn Profile (DAT-015), Primary Contact (DAT-016).</w:t>
      </w:r>
    </w:p>
    <w:p>
      <w:pPr>
        <w:pStyle w:val="Normal"/>
        <w:spacing w:before="0" w:after="120"/>
        <w:rPr/>
      </w:pPr>
      <w:r>
        <w:rPr>
          <w:rFonts w:eastAsia="Arial" w:cs="Arial"/>
          <w:b w:val="false"/>
          <w:bCs w:val="false"/>
          <w:i w:val="false"/>
          <w:iCs w:val="false"/>
          <w:sz w:val="22"/>
          <w:szCs w:val="22"/>
        </w:rPr>
        <w:t>Engagement: Status (MN-INTAKE-DAT-017), Mentoring Focus Areas (DAT-018), Mentoring Needs Description (DAT-019), Primary Engagement Contact (DAT-020).</w:t>
      </w:r>
    </w:p>
    <w:p>
      <w:pPr>
        <w:pStyle w:val="Normal"/>
        <w:rPr/>
      </w:pPr>
      <w:r>
        <w:rPr/>
      </w:r>
      <w:r>
        <w:br w:type="page"/>
      </w:r>
    </w:p>
    <w:p>
      <w:pPr>
        <w:pStyle w:val="Heading2"/>
        <w:spacing w:before="0" w:after="120"/>
        <w:rPr/>
      </w:pPr>
      <w:r>
        <w:rPr>
          <w:rFonts w:eastAsia="Arial" w:cs="Arial" w:ascii="Arial" w:hAnsi="Arial"/>
          <w:b/>
          <w:bCs/>
          <w:i w:val="false"/>
          <w:iCs w:val="false"/>
          <w:sz w:val="28"/>
          <w:szCs w:val="28"/>
        </w:rPr>
        <w:t>3.2 Mentor Matching (MN-MATCH)</w:t>
      </w:r>
    </w:p>
    <w:p>
      <w:pPr>
        <w:pStyle w:val="Normal"/>
        <w:spacing w:before="0" w:after="200"/>
        <w:rPr/>
      </w:pPr>
      <w:r>
        <w:rPr>
          <w:rFonts w:eastAsia="Arial" w:cs="Arial"/>
          <w:b w:val="false"/>
          <w:bCs w:val="false"/>
          <w:i/>
          <w:iCs/>
          <w:color w:val="888888"/>
          <w:sz w:val="22"/>
          <w:szCs w:val="22"/>
        </w:rPr>
        <w:t>Tier: Core | Version: 2.1 | Last Updated: 04-01-26 05:00</w:t>
      </w:r>
    </w:p>
    <w:p>
      <w:pPr>
        <w:pStyle w:val="Heading3"/>
        <w:spacing w:before="240" w:after="120"/>
        <w:rPr/>
      </w:pPr>
      <w:r>
        <w:rPr>
          <w:rFonts w:eastAsia="Arial" w:cs="Arial" w:ascii="Arial" w:hAnsi="Arial"/>
          <w:b/>
          <w:bCs/>
          <w:i w:val="false"/>
          <w:iCs w:val="false"/>
          <w:sz w:val="24"/>
          <w:szCs w:val="24"/>
        </w:rPr>
        <w:t>Process Purpose</w:t>
      </w:r>
    </w:p>
    <w:p>
      <w:pPr>
        <w:pStyle w:val="Normal"/>
        <w:spacing w:before="0" w:after="120"/>
        <w:rPr/>
      </w:pPr>
      <w:r>
        <w:rPr>
          <w:rFonts w:eastAsia="Arial" w:cs="Arial"/>
          <w:b w:val="false"/>
          <w:bCs w:val="false"/>
          <w:i w:val="false"/>
          <w:iCs w:val="false"/>
          <w:sz w:val="22"/>
          <w:szCs w:val="22"/>
        </w:rPr>
        <w:t>The Mentor Matching process identifies the most appropriate available mentor for a client and obtains the mentor’s acceptance of the assignment. The process is complete when a mentor has accepted and personally introduced themselves to the client.</w:t>
      </w:r>
    </w:p>
    <w:p>
      <w:pPr>
        <w:pStyle w:val="Heading3"/>
        <w:spacing w:before="240" w:after="120"/>
        <w:rPr/>
      </w:pPr>
      <w:r>
        <w:rPr>
          <w:rFonts w:eastAsia="Arial" w:cs="Arial" w:ascii="Arial" w:hAnsi="Arial"/>
          <w:b/>
          <w:bCs/>
          <w:i w:val="false"/>
          <w:iCs w:val="false"/>
          <w:sz w:val="24"/>
          <w:szCs w:val="24"/>
        </w:rPr>
        <w:t>Process Triggers</w:t>
      </w:r>
    </w:p>
    <w:p>
      <w:pPr>
        <w:pStyle w:val="Normal"/>
        <w:spacing w:before="0" w:after="40"/>
        <w:rPr/>
      </w:pPr>
      <w:r>
        <w:rPr>
          <w:rFonts w:eastAsia="Arial" w:cs="Arial"/>
          <w:b/>
          <w:bCs/>
          <w:i w:val="false"/>
          <w:iCs w:val="false"/>
          <w:sz w:val="22"/>
          <w:szCs w:val="22"/>
        </w:rPr>
        <w:t>Preconditions</w:t>
      </w:r>
    </w:p>
    <w:p>
      <w:pPr>
        <w:pStyle w:val="Normal"/>
        <w:spacing w:before="0" w:after="120"/>
        <w:rPr/>
      </w:pPr>
      <w:r>
        <w:rPr>
          <w:rFonts w:eastAsia="Arial" w:cs="Arial"/>
          <w:b w:val="false"/>
          <w:bCs w:val="false"/>
          <w:i w:val="false"/>
          <w:iCs w:val="false"/>
          <w:sz w:val="22"/>
          <w:szCs w:val="22"/>
        </w:rPr>
        <w:t>The Client Intake process (MN-INTAKE) must have completed with an approved outcome. The Engagement record must exist with status Submitted. The associated Client Organization and Client Contact records must be populated with the intake data.</w:t>
      </w:r>
    </w:p>
    <w:p>
      <w:pPr>
        <w:pStyle w:val="Normal"/>
        <w:spacing w:before="0" w:after="40"/>
        <w:rPr/>
      </w:pPr>
      <w:r>
        <w:rPr>
          <w:rFonts w:eastAsia="Arial" w:cs="Arial"/>
          <w:b/>
          <w:bCs/>
          <w:i w:val="false"/>
          <w:iCs w:val="false"/>
          <w:sz w:val="22"/>
          <w:szCs w:val="22"/>
        </w:rPr>
        <w:t>Required Data</w:t>
      </w:r>
    </w:p>
    <w:p>
      <w:pPr>
        <w:pStyle w:val="Normal"/>
        <w:spacing w:before="0" w:after="120"/>
        <w:rPr/>
      </w:pPr>
      <w:r>
        <w:rPr>
          <w:rFonts w:eastAsia="Arial" w:cs="Arial"/>
          <w:b w:val="false"/>
          <w:bCs w:val="false"/>
          <w:i w:val="false"/>
          <w:iCs w:val="false"/>
          <w:sz w:val="22"/>
          <w:szCs w:val="22"/>
        </w:rPr>
        <w:t>A Client Organization record with business details (business name, industry sector, business stage), a Client Contact record with the submitting individual’s information, and an Engagement record at Submitted status with mentoring focus areas and mentoring needs description populated.</w:t>
      </w:r>
    </w:p>
    <w:p>
      <w:pPr>
        <w:pStyle w:val="Normal"/>
        <w:spacing w:before="0" w:after="40"/>
        <w:rPr/>
      </w:pPr>
      <w:r>
        <w:rPr>
          <w:rFonts w:eastAsia="Arial" w:cs="Arial"/>
          <w:b/>
          <w:bCs/>
          <w:i w:val="false"/>
          <w:iCs w:val="false"/>
          <w:sz w:val="22"/>
          <w:szCs w:val="22"/>
        </w:rPr>
        <w:t>Initiation Mechanism</w:t>
      </w:r>
    </w:p>
    <w:p>
      <w:pPr>
        <w:pStyle w:val="Normal"/>
        <w:spacing w:before="0" w:after="120"/>
        <w:rPr/>
      </w:pPr>
      <w:r>
        <w:rPr>
          <w:rFonts w:eastAsia="Arial" w:cs="Arial"/>
          <w:b w:val="false"/>
          <w:bCs w:val="false"/>
          <w:i w:val="false"/>
          <w:iCs w:val="false"/>
          <w:sz w:val="22"/>
          <w:szCs w:val="22"/>
        </w:rPr>
        <w:t>Manual. The Client Assignment Coordinator reviews the approved submission and begins the matching process. There is no automatic trigger.</w:t>
      </w:r>
    </w:p>
    <w:p>
      <w:pPr>
        <w:pStyle w:val="Normal"/>
        <w:spacing w:before="0" w:after="40"/>
        <w:rPr/>
      </w:pPr>
      <w:r>
        <w:rPr>
          <w:rFonts w:eastAsia="Arial" w:cs="Arial"/>
          <w:b/>
          <w:bCs/>
          <w:i w:val="false"/>
          <w:iCs w:val="false"/>
          <w:sz w:val="22"/>
          <w:szCs w:val="22"/>
        </w:rPr>
        <w:t>Initiating Persona</w:t>
      </w:r>
    </w:p>
    <w:p>
      <w:pPr>
        <w:pStyle w:val="Normal"/>
        <w:spacing w:before="0" w:after="120"/>
        <w:rPr/>
      </w:pPr>
      <w:r>
        <w:rPr>
          <w:rFonts w:eastAsia="Arial" w:cs="Arial"/>
          <w:b w:val="false"/>
          <w:bCs w:val="false"/>
          <w:i w:val="false"/>
          <w:iCs w:val="false"/>
          <w:sz w:val="22"/>
          <w:szCs w:val="22"/>
        </w:rPr>
        <w:t>Client Assignment Coordinator (MST-PER-004).</w:t>
      </w:r>
    </w:p>
    <w:p>
      <w:pPr>
        <w:pStyle w:val="Heading3"/>
        <w:spacing w:before="240" w:after="120"/>
        <w:rPr/>
      </w:pPr>
      <w:r>
        <w:rPr>
          <w:rFonts w:eastAsia="Arial" w:cs="Arial" w:ascii="Arial" w:hAnsi="Arial"/>
          <w:b/>
          <w:bCs/>
          <w:i w:val="false"/>
          <w:iCs w:val="false"/>
          <w:sz w:val="24"/>
          <w:szCs w:val="24"/>
        </w:rPr>
        <w:t>Personas Involved</w:t>
      </w:r>
    </w:p>
    <w:p>
      <w:pPr>
        <w:pStyle w:val="Normal"/>
        <w:spacing w:before="0" w:after="40"/>
        <w:rPr/>
      </w:pPr>
      <w:r>
        <w:rPr>
          <w:rFonts w:eastAsia="Arial" w:cs="Arial"/>
          <w:b/>
          <w:bCs/>
          <w:i w:val="false"/>
          <w:iCs w:val="false"/>
          <w:sz w:val="22"/>
          <w:szCs w:val="22"/>
        </w:rPr>
        <w:t>Client Assignment Coordinator (MST-PER-004)</w:t>
      </w:r>
    </w:p>
    <w:p>
      <w:pPr>
        <w:pStyle w:val="Normal"/>
        <w:spacing w:before="0" w:after="120"/>
        <w:rPr/>
      </w:pPr>
      <w:r>
        <w:rPr>
          <w:rFonts w:eastAsia="Arial" w:cs="Arial"/>
          <w:b w:val="false"/>
          <w:bCs w:val="false"/>
          <w:i w:val="false"/>
          <w:iCs w:val="false"/>
          <w:sz w:val="22"/>
          <w:szCs w:val="22"/>
        </w:rPr>
        <w:t>Searches the mentor roster, evaluates candidates against client needs, nominates the primary mentor, and activates the assignment upon acceptance.</w:t>
      </w:r>
    </w:p>
    <w:p>
      <w:pPr>
        <w:pStyle w:val="Normal"/>
        <w:spacing w:before="0" w:after="40"/>
        <w:rPr/>
      </w:pPr>
      <w:r>
        <w:rPr>
          <w:rFonts w:eastAsia="Arial" w:cs="Arial"/>
          <w:b/>
          <w:bCs/>
          <w:i w:val="false"/>
          <w:iCs w:val="false"/>
          <w:sz w:val="22"/>
          <w:szCs w:val="22"/>
        </w:rPr>
        <w:t>Mentor Administrator (MST-PER-005)</w:t>
      </w:r>
    </w:p>
    <w:p>
      <w:pPr>
        <w:pStyle w:val="Normal"/>
        <w:spacing w:before="0" w:after="120"/>
        <w:rPr/>
      </w:pPr>
      <w:r>
        <w:rPr>
          <w:rFonts w:eastAsia="Arial" w:cs="Arial"/>
          <w:b w:val="false"/>
          <w:bCs w:val="false"/>
          <w:i w:val="false"/>
          <w:iCs w:val="false"/>
          <w:sz w:val="22"/>
          <w:szCs w:val="22"/>
        </w:rPr>
        <w:t>Provides mentor availability and capacity information to support the matching process.</w:t>
      </w:r>
    </w:p>
    <w:p>
      <w:pPr>
        <w:pStyle w:val="Normal"/>
        <w:spacing w:before="0" w:after="40"/>
        <w:rPr/>
      </w:pPr>
      <w:r>
        <w:rPr>
          <w:rFonts w:eastAsia="Arial" w:cs="Arial"/>
          <w:b/>
          <w:bCs/>
          <w:i w:val="false"/>
          <w:iCs w:val="false"/>
          <w:sz w:val="22"/>
          <w:szCs w:val="22"/>
        </w:rPr>
        <w:t>Mentor (MST-PER-011)</w:t>
      </w:r>
    </w:p>
    <w:p>
      <w:pPr>
        <w:pStyle w:val="Normal"/>
        <w:spacing w:before="0" w:after="120"/>
        <w:rPr/>
      </w:pPr>
      <w:r>
        <w:rPr>
          <w:rFonts w:eastAsia="Arial" w:cs="Arial"/>
          <w:b w:val="false"/>
          <w:bCs w:val="false"/>
          <w:i w:val="false"/>
          <w:iCs w:val="false"/>
          <w:sz w:val="22"/>
          <w:szCs w:val="22"/>
        </w:rPr>
        <w:t>Receives the assignment notification, reviews the client summary, and accepts or declines the assignment. Upon acceptance, personally introduces themselves to the client.</w:t>
      </w:r>
    </w:p>
    <w:p>
      <w:pPr>
        <w:pStyle w:val="Heading3"/>
        <w:spacing w:before="240" w:after="120"/>
        <w:rPr/>
      </w:pPr>
      <w:r>
        <w:rPr>
          <w:rFonts w:eastAsia="Arial" w:cs="Arial" w:ascii="Arial" w:hAnsi="Arial"/>
          <w:b/>
          <w:bCs/>
          <w:i w:val="false"/>
          <w:iCs w:val="false"/>
          <w:sz w:val="24"/>
          <w:szCs w:val="24"/>
        </w:rPr>
        <w:t>Process Workflow</w:t>
      </w:r>
    </w:p>
    <w:p>
      <w:pPr>
        <w:pStyle w:val="ListParagraph"/>
        <w:numPr>
          <w:ilvl w:val="0"/>
          <w:numId w:val="8"/>
        </w:numPr>
        <w:spacing w:before="0" w:after="80"/>
        <w:rPr/>
      </w:pPr>
      <w:r>
        <w:rPr>
          <w:rFonts w:eastAsia="Arial" w:cs="Arial"/>
          <w:b w:val="false"/>
          <w:bCs w:val="false"/>
          <w:i w:val="false"/>
          <w:iCs w:val="false"/>
          <w:sz w:val="22"/>
          <w:szCs w:val="22"/>
        </w:rPr>
        <w:t>The Client Assignment Coordinator reviews the approved client’s Client Organization record and Engagement record.</w:t>
      </w:r>
    </w:p>
    <w:p>
      <w:pPr>
        <w:pStyle w:val="ListParagraph"/>
        <w:numPr>
          <w:ilvl w:val="0"/>
          <w:numId w:val="2"/>
        </w:numPr>
        <w:spacing w:before="0" w:after="80"/>
        <w:rPr/>
      </w:pPr>
      <w:r>
        <w:rPr>
          <w:rFonts w:eastAsia="Arial" w:cs="Arial"/>
          <w:b w:val="false"/>
          <w:bCs w:val="false"/>
          <w:i w:val="false"/>
          <w:iCs w:val="false"/>
          <w:sz w:val="22"/>
          <w:szCs w:val="22"/>
        </w:rPr>
        <w:t>The coordinator searches the active mentor roster. The system provides a list filter showing only Active mentors with available capacity. The filter does not prevent assignment of a mentor who does not meet the filter criteria.</w:t>
      </w:r>
    </w:p>
    <w:p>
      <w:pPr>
        <w:pStyle w:val="ListParagraph"/>
        <w:numPr>
          <w:ilvl w:val="0"/>
          <w:numId w:val="2"/>
        </w:numPr>
        <w:spacing w:before="0" w:after="80"/>
        <w:rPr/>
      </w:pPr>
      <w:r>
        <w:rPr>
          <w:rFonts w:eastAsia="Arial" w:cs="Arial"/>
          <w:b w:val="false"/>
          <w:bCs w:val="false"/>
          <w:i w:val="false"/>
          <w:iCs w:val="false"/>
          <w:sz w:val="22"/>
          <w:szCs w:val="22"/>
        </w:rPr>
        <w:t>The coordinator nominates a primary mentor. The system automatically changes the Engagement status to Pending Acceptance and sends a notification to the nominated mentor with a client summary and accept/decline options. A configurable acceptance window applies (default: 48 hours).</w:t>
      </w:r>
    </w:p>
    <w:p>
      <w:pPr>
        <w:pStyle w:val="ListParagraph"/>
        <w:numPr>
          <w:ilvl w:val="0"/>
          <w:numId w:val="2"/>
        </w:numPr>
        <w:spacing w:before="0" w:after="80"/>
        <w:rPr/>
      </w:pPr>
      <w:r>
        <w:rPr>
          <w:rFonts w:eastAsia="Arial" w:cs="Arial"/>
          <w:b w:val="false"/>
          <w:bCs w:val="false"/>
          <w:i w:val="false"/>
          <w:iCs w:val="false"/>
          <w:sz w:val="22"/>
          <w:szCs w:val="22"/>
        </w:rPr>
        <w:t>If the mentor accepts: the Engagement status changes to Assigned and the coordinator is notified.</w:t>
      </w:r>
    </w:p>
    <w:p>
      <w:pPr>
        <w:pStyle w:val="ListParagraph"/>
        <w:numPr>
          <w:ilvl w:val="0"/>
          <w:numId w:val="2"/>
        </w:numPr>
        <w:spacing w:before="0" w:after="80"/>
        <w:rPr/>
      </w:pPr>
      <w:r>
        <w:rPr>
          <w:rFonts w:eastAsia="Arial" w:cs="Arial"/>
          <w:b w:val="false"/>
          <w:bCs w:val="false"/>
          <w:i w:val="false"/>
          <w:iCs w:val="false"/>
          <w:sz w:val="22"/>
          <w:szCs w:val="22"/>
        </w:rPr>
        <w:t>If the mentor declines: the Engagement status reverts to Submitted and the coordinator nominates a different mentor. No explanation is required.</w:t>
      </w:r>
    </w:p>
    <w:p>
      <w:pPr>
        <w:pStyle w:val="ListParagraph"/>
        <w:numPr>
          <w:ilvl w:val="0"/>
          <w:numId w:val="2"/>
        </w:numPr>
        <w:spacing w:before="0" w:after="80"/>
        <w:rPr/>
      </w:pPr>
      <w:r>
        <w:rPr>
          <w:rFonts w:eastAsia="Arial" w:cs="Arial"/>
          <w:b w:val="false"/>
          <w:bCs w:val="false"/>
          <w:i w:val="false"/>
          <w:iCs w:val="false"/>
          <w:sz w:val="22"/>
          <w:szCs w:val="22"/>
        </w:rPr>
        <w:t>If no response within the acceptance window: the coordinator is alerted to follow up or nominate a different mentor.</w:t>
      </w:r>
    </w:p>
    <w:p>
      <w:pPr>
        <w:pStyle w:val="ListParagraph"/>
        <w:numPr>
          <w:ilvl w:val="0"/>
          <w:numId w:val="2"/>
        </w:numPr>
        <w:spacing w:before="0" w:after="80"/>
        <w:rPr/>
      </w:pPr>
      <w:r>
        <w:rPr>
          <w:rFonts w:eastAsia="Arial" w:cs="Arial"/>
          <w:b w:val="false"/>
          <w:bCs w:val="false"/>
          <w:i w:val="false"/>
          <w:iCs w:val="false"/>
          <w:sz w:val="22"/>
          <w:szCs w:val="22"/>
        </w:rPr>
        <w:t>The mentor personally introduces themselves to the client via email using system-provided templates.</w:t>
      </w:r>
    </w:p>
    <w:p>
      <w:pPr>
        <w:pStyle w:val="ListParagraph"/>
        <w:numPr>
          <w:ilvl w:val="0"/>
          <w:numId w:val="2"/>
        </w:numPr>
        <w:spacing w:before="0" w:after="80"/>
        <w:rPr/>
      </w:pPr>
      <w:r>
        <w:rPr>
          <w:rFonts w:eastAsia="Arial" w:cs="Arial"/>
          <w:b w:val="false"/>
          <w:bCs w:val="false"/>
          <w:i w:val="false"/>
          <w:iCs w:val="false"/>
          <w:sz w:val="22"/>
          <w:szCs w:val="22"/>
        </w:rPr>
        <w:t>The delivery of the Phase 2 supplemental intake form is at the mentor’s discretion.</w:t>
      </w:r>
    </w:p>
    <w:p>
      <w:pPr>
        <w:pStyle w:val="Heading3"/>
        <w:spacing w:before="240" w:after="120"/>
        <w:rPr/>
      </w:pPr>
      <w:r>
        <w:rPr>
          <w:rFonts w:eastAsia="Arial" w:cs="Arial" w:ascii="Arial" w:hAnsi="Arial"/>
          <w:b/>
          <w:bCs/>
          <w:i w:val="false"/>
          <w:iCs w:val="false"/>
          <w:sz w:val="24"/>
          <w:szCs w:val="24"/>
        </w:rPr>
        <w:t>Process Completion</w:t>
      </w:r>
    </w:p>
    <w:p>
      <w:pPr>
        <w:pStyle w:val="Normal"/>
        <w:spacing w:before="0" w:after="40"/>
        <w:rPr/>
      </w:pPr>
      <w:r>
        <w:rPr>
          <w:rFonts w:eastAsia="Arial" w:cs="Arial"/>
          <w:b/>
          <w:bCs/>
          <w:i w:val="false"/>
          <w:iCs w:val="false"/>
          <w:sz w:val="22"/>
          <w:szCs w:val="22"/>
        </w:rPr>
        <w:t>Normal Completion</w:t>
      </w:r>
    </w:p>
    <w:p>
      <w:pPr>
        <w:pStyle w:val="Normal"/>
        <w:spacing w:before="0" w:after="120"/>
        <w:rPr/>
      </w:pPr>
      <w:r>
        <w:rPr>
          <w:rFonts w:eastAsia="Arial" w:cs="Arial"/>
          <w:b w:val="false"/>
          <w:bCs w:val="false"/>
          <w:i w:val="false"/>
          <w:iCs w:val="false"/>
          <w:sz w:val="22"/>
          <w:szCs w:val="22"/>
        </w:rPr>
        <w:t>A mentor accepts the assignment and personally introduces themselves to the client. The Engagement status is Assigned. The Client Assignment Coordinator is notified of the acceptance.</w:t>
      </w:r>
    </w:p>
    <w:p>
      <w:pPr>
        <w:pStyle w:val="Normal"/>
        <w:spacing w:before="0" w:after="40"/>
        <w:rPr/>
      </w:pPr>
      <w:r>
        <w:rPr>
          <w:rFonts w:eastAsia="Arial" w:cs="Arial"/>
          <w:b/>
          <w:bCs/>
          <w:i w:val="false"/>
          <w:iCs w:val="false"/>
          <w:sz w:val="22"/>
          <w:szCs w:val="22"/>
        </w:rPr>
        <w:t>Cycle Path: Mentor Declines</w:t>
      </w:r>
    </w:p>
    <w:p>
      <w:pPr>
        <w:pStyle w:val="Normal"/>
        <w:spacing w:before="0" w:after="120"/>
        <w:rPr/>
      </w:pPr>
      <w:r>
        <w:rPr>
          <w:rFonts w:eastAsia="Arial" w:cs="Arial"/>
          <w:b w:val="false"/>
          <w:bCs w:val="false"/>
          <w:i w:val="false"/>
          <w:iCs w:val="false"/>
          <w:sz w:val="22"/>
          <w:szCs w:val="22"/>
        </w:rPr>
        <w:t>If the nominated mentor declines, the Engagement status reverts to Submitted and the coordinator nominates a different mentor. This cycle repeats until a mentor accepts.</w:t>
      </w:r>
    </w:p>
    <w:p>
      <w:pPr>
        <w:pStyle w:val="Normal"/>
        <w:spacing w:before="0" w:after="40"/>
        <w:rPr/>
      </w:pPr>
      <w:r>
        <w:rPr>
          <w:rFonts w:eastAsia="Arial" w:cs="Arial"/>
          <w:b/>
          <w:bCs/>
          <w:i w:val="false"/>
          <w:iCs w:val="false"/>
          <w:sz w:val="22"/>
          <w:szCs w:val="22"/>
        </w:rPr>
        <w:t>Timeout Path: No Response</w:t>
      </w:r>
    </w:p>
    <w:p>
      <w:pPr>
        <w:pStyle w:val="Normal"/>
        <w:spacing w:before="0" w:after="120"/>
        <w:rPr/>
      </w:pPr>
      <w:r>
        <w:rPr>
          <w:rFonts w:eastAsia="Arial" w:cs="Arial"/>
          <w:b w:val="false"/>
          <w:bCs w:val="false"/>
          <w:i w:val="false"/>
          <w:iCs w:val="false"/>
          <w:sz w:val="22"/>
          <w:szCs w:val="22"/>
        </w:rPr>
        <w:t>If the nominated mentor does not respond within the configurable acceptance window, the coordinator is alerted and may follow up or nominate a different mentor.</w:t>
      </w:r>
    </w:p>
    <w:p>
      <w:pPr>
        <w:pStyle w:val="Normal"/>
        <w:spacing w:before="0" w:after="40"/>
        <w:rPr/>
      </w:pPr>
      <w:r>
        <w:rPr>
          <w:rFonts w:eastAsia="Arial" w:cs="Arial"/>
          <w:b/>
          <w:bCs/>
          <w:i w:val="false"/>
          <w:iCs w:val="false"/>
          <w:sz w:val="22"/>
          <w:szCs w:val="22"/>
        </w:rPr>
        <w:t>Record Retention</w:t>
      </w:r>
    </w:p>
    <w:p>
      <w:pPr>
        <w:pStyle w:val="Normal"/>
        <w:spacing w:before="0" w:after="120"/>
        <w:rPr/>
      </w:pPr>
      <w:r>
        <w:rPr>
          <w:rFonts w:eastAsia="Arial" w:cs="Arial"/>
          <w:b w:val="false"/>
          <w:bCs w:val="false"/>
          <w:i w:val="false"/>
          <w:iCs w:val="false"/>
          <w:sz w:val="22"/>
          <w:szCs w:val="22"/>
        </w:rPr>
        <w:t>The system records the candidate mentors considered and the rationale for the final selection (MN-MATCH-REQ-007). All matching history is retained for audit and reporting.</w:t>
      </w:r>
    </w:p>
    <w:p>
      <w:pPr>
        <w:pStyle w:val="Normal"/>
        <w:spacing w:before="0" w:after="40"/>
        <w:rPr/>
      </w:pPr>
      <w:r>
        <w:rPr>
          <w:rFonts w:eastAsia="Arial" w:cs="Arial"/>
          <w:b/>
          <w:bCs/>
          <w:i w:val="false"/>
          <w:iCs w:val="false"/>
          <w:sz w:val="22"/>
          <w:szCs w:val="22"/>
        </w:rPr>
        <w:t>Post-Completion Handoff</w:t>
      </w:r>
    </w:p>
    <w:p>
      <w:pPr>
        <w:pStyle w:val="Normal"/>
        <w:spacing w:before="0" w:after="120"/>
        <w:rPr/>
      </w:pPr>
      <w:r>
        <w:rPr>
          <w:rFonts w:eastAsia="Arial" w:cs="Arial"/>
          <w:b w:val="false"/>
          <w:bCs w:val="false"/>
          <w:i w:val="false"/>
          <w:iCs w:val="false"/>
          <w:sz w:val="22"/>
          <w:szCs w:val="22"/>
        </w:rPr>
        <w:t>After the mentor has accepted and introduced themselves, the engagement proceeds to Engagement Management (MN-ENGAGE). The Phase 2 supplemental intake form delivery is at the mentor’s discretion.</w:t>
      </w:r>
    </w:p>
    <w:p>
      <w:pPr>
        <w:pStyle w:val="Heading3"/>
        <w:spacing w:before="240" w:after="120"/>
        <w:rPr/>
      </w:pPr>
      <w:r>
        <w:rPr>
          <w:rFonts w:eastAsia="Arial" w:cs="Arial" w:ascii="Arial" w:hAnsi="Arial"/>
          <w:b/>
          <w:bCs/>
          <w:i w:val="false"/>
          <w:iCs w:val="false"/>
          <w:sz w:val="24"/>
          <w:szCs w:val="24"/>
        </w:rPr>
        <w:t>System Requirements</w:t>
      </w:r>
    </w:p>
    <w:tbl>
      <w:tblPr>
        <w:tblW w:w="9360" w:type="dxa"/>
        <w:jc w:val="left"/>
        <w:tblInd w:w="0" w:type="dxa"/>
        <w:tblLayout w:type="fixed"/>
        <w:tblCellMar>
          <w:top w:w="60" w:type="dxa"/>
          <w:left w:w="100" w:type="dxa"/>
          <w:bottom w:w="60" w:type="dxa"/>
          <w:right w:w="100" w:type="dxa"/>
        </w:tblCellMar>
      </w:tblPr>
      <w:tblGrid>
        <w:gridCol w:w="2000"/>
        <w:gridCol w:w="7359"/>
      </w:tblGrid>
      <w:tr>
        <w:trPr/>
        <w:tc>
          <w:tcPr>
            <w:tcW w:w="20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73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Requirement</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MN-MATCH-REQ-001</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support searching and filtering the mentor roster by industry expertise, mentoring focus areas, skills and expertise tags, availability, capacity, and language.</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MN-MATCH-REQ-002</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provide a list filter on the mentor roster that shows only mentors who are Active, currently accepting new clients, and have available capacity. The filter must not prevent assignment of a mentor who does not meet the filter criteria.</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MN-MATCH-REQ-003</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support assignment of a primary mentor to an engagement and automatically transition the Engagement status to Pending Acceptance upon assignment.</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MN-MATCH-REQ-004</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notify the nominated mentor automatically with client intake summary and accept/decline options.</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MN-MATCH-REQ-005</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enforce a configurable acceptance window and alert the Client Assignment Coordinator when it expires.</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MN-MATCH-REQ-006</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revert the Engagement to Submitted status automatically if a mentor declines.</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MN-MATCH-REQ-007</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record the candidate mentors considered and the rationale for the final selection.</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MN-MATCH-REQ-008</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provide email templates for mentor introduction communications.</w:t>
            </w:r>
          </w:p>
        </w:tc>
      </w:tr>
    </w:tbl>
    <w:p>
      <w:pPr>
        <w:pStyle w:val="Heading3"/>
        <w:spacing w:before="240" w:after="120"/>
        <w:rPr/>
      </w:pPr>
      <w:r>
        <w:rPr>
          <w:rFonts w:eastAsia="Arial" w:cs="Arial" w:ascii="Arial" w:hAnsi="Arial"/>
          <w:b/>
          <w:bCs/>
          <w:i w:val="false"/>
          <w:iCs w:val="false"/>
          <w:sz w:val="24"/>
          <w:szCs w:val="24"/>
        </w:rPr>
        <w:t>Process Data</w:t>
      </w:r>
    </w:p>
    <w:p>
      <w:pPr>
        <w:pStyle w:val="Normal"/>
        <w:spacing w:before="0" w:after="120"/>
        <w:rPr/>
      </w:pPr>
      <w:r>
        <w:rPr>
          <w:rFonts w:eastAsia="Arial" w:cs="Arial"/>
          <w:b w:val="false"/>
          <w:bCs w:val="false"/>
          <w:i w:val="false"/>
          <w:iCs w:val="false"/>
          <w:sz w:val="22"/>
          <w:szCs w:val="22"/>
        </w:rPr>
        <w:t>This process reads the following fields. See Section 4 (Data Reference) for full field-level detail.</w:t>
      </w:r>
    </w:p>
    <w:p>
      <w:pPr>
        <w:pStyle w:val="Normal"/>
        <w:spacing w:before="0" w:after="120"/>
        <w:rPr/>
      </w:pPr>
      <w:r>
        <w:rPr>
          <w:rFonts w:eastAsia="Arial" w:cs="Arial"/>
          <w:b w:val="false"/>
          <w:bCs w:val="false"/>
          <w:i w:val="false"/>
          <w:iCs w:val="false"/>
          <w:sz w:val="22"/>
          <w:szCs w:val="22"/>
        </w:rPr>
        <w:t>Client Organization: Business Name (MN-MATCH-DAT-001), Website (DAT-002), Address (DAT-003), Organization Type (DAT-004), Business Stage (DAT-005), Industry Sector (DAT-006), Industry Subsector (DAT-007).</w:t>
      </w:r>
    </w:p>
    <w:p>
      <w:pPr>
        <w:pStyle w:val="Normal"/>
        <w:spacing w:before="0" w:after="120"/>
        <w:rPr/>
      </w:pPr>
      <w:r>
        <w:rPr>
          <w:rFonts w:eastAsia="Arial" w:cs="Arial"/>
          <w:b w:val="false"/>
          <w:bCs w:val="false"/>
          <w:i w:val="false"/>
          <w:iCs w:val="false"/>
          <w:sz w:val="22"/>
          <w:szCs w:val="22"/>
        </w:rPr>
        <w:t>Engagement: Status (MN-MATCH-DAT-008), Mentoring Focus Areas (DAT-009), Mentoring Needs Description (DAT-010), Primary Engagement Contact (DAT-022).</w:t>
      </w:r>
    </w:p>
    <w:p>
      <w:pPr>
        <w:pStyle w:val="Normal"/>
        <w:spacing w:before="0" w:after="120"/>
        <w:rPr/>
      </w:pPr>
      <w:r>
        <w:rPr>
          <w:rFonts w:eastAsia="Arial" w:cs="Arial"/>
          <w:b w:val="false"/>
          <w:bCs w:val="false"/>
          <w:i w:val="false"/>
          <w:iCs w:val="false"/>
          <w:sz w:val="22"/>
          <w:szCs w:val="22"/>
        </w:rPr>
        <w:t>Mentor Contact (from MR domain): Industry Sectors (MN-MATCH-DAT-011), Mentoring Focus Areas (DAT-012), Skills and Expertise Tags (DAT-013), Fluent Languages (DAT-014), Mentor Status (DAT-015), Accepting New Clients (DAT-016), Maximum Client Capacity (DAT-017), Available Capacity (DAT-018).</w:t>
      </w:r>
    </w:p>
    <w:p>
      <w:pPr>
        <w:pStyle w:val="Heading3"/>
        <w:spacing w:before="240" w:after="120"/>
        <w:rPr/>
      </w:pPr>
      <w:r>
        <w:rPr>
          <w:rFonts w:eastAsia="Arial" w:cs="Arial" w:ascii="Arial" w:hAnsi="Arial"/>
          <w:b/>
          <w:bCs/>
          <w:i w:val="false"/>
          <w:iCs w:val="false"/>
          <w:sz w:val="24"/>
          <w:szCs w:val="24"/>
        </w:rPr>
        <w:t>Data Collected</w:t>
      </w:r>
    </w:p>
    <w:p>
      <w:pPr>
        <w:pStyle w:val="Normal"/>
        <w:spacing w:before="0" w:after="120"/>
        <w:rPr/>
      </w:pPr>
      <w:r>
        <w:rPr>
          <w:rFonts w:eastAsia="Arial" w:cs="Arial"/>
          <w:b w:val="false"/>
          <w:bCs w:val="false"/>
          <w:i w:val="false"/>
          <w:iCs w:val="false"/>
          <w:sz w:val="22"/>
          <w:szCs w:val="22"/>
        </w:rPr>
        <w:t>This process creates or updates the following fields. See Section 4 (Data Reference) for full field-level detail.</w:t>
      </w:r>
    </w:p>
    <w:p>
      <w:pPr>
        <w:pStyle w:val="Normal"/>
        <w:spacing w:before="0" w:after="120"/>
        <w:rPr/>
      </w:pPr>
      <w:r>
        <w:rPr>
          <w:rFonts w:eastAsia="Arial" w:cs="Arial"/>
          <w:b w:val="false"/>
          <w:bCs w:val="false"/>
          <w:i w:val="false"/>
          <w:iCs w:val="false"/>
          <w:sz w:val="22"/>
          <w:szCs w:val="22"/>
        </w:rPr>
        <w:t>Engagement: Assigned Mentor (MN-MATCH-DAT-019), Status (DAT-020), Engagement Contacts (DAT-021), Primary Engagement Contact (DAT-023).</w:t>
      </w:r>
    </w:p>
    <w:p>
      <w:pPr>
        <w:pStyle w:val="Normal"/>
        <w:rPr/>
      </w:pPr>
      <w:r>
        <w:rPr/>
      </w:r>
      <w:r>
        <w:br w:type="page"/>
      </w:r>
    </w:p>
    <w:p>
      <w:pPr>
        <w:pStyle w:val="Heading2"/>
        <w:spacing w:before="0" w:after="120"/>
        <w:rPr/>
      </w:pPr>
      <w:r>
        <w:rPr>
          <w:rFonts w:eastAsia="Arial" w:cs="Arial" w:ascii="Arial" w:hAnsi="Arial"/>
          <w:b/>
          <w:bCs/>
          <w:i w:val="false"/>
          <w:iCs w:val="false"/>
          <w:sz w:val="28"/>
          <w:szCs w:val="28"/>
        </w:rPr>
        <w:t>3.3 Engagement Management (MN-ENGAGE)</w:t>
      </w:r>
    </w:p>
    <w:p>
      <w:pPr>
        <w:pStyle w:val="Normal"/>
        <w:spacing w:before="0" w:after="200"/>
        <w:rPr/>
      </w:pPr>
      <w:r>
        <w:rPr>
          <w:rFonts w:eastAsia="Arial" w:cs="Arial"/>
          <w:b w:val="false"/>
          <w:bCs w:val="false"/>
          <w:i/>
          <w:iCs/>
          <w:color w:val="888888"/>
          <w:sz w:val="22"/>
          <w:szCs w:val="22"/>
        </w:rPr>
        <w:t>Tier: Core | Version: 2.3 | Last Updated: 04-01-26 05:00</w:t>
      </w:r>
    </w:p>
    <w:p>
      <w:pPr>
        <w:pStyle w:val="Heading3"/>
        <w:spacing w:before="240" w:after="120"/>
        <w:rPr/>
      </w:pPr>
      <w:r>
        <w:rPr>
          <w:rFonts w:eastAsia="Arial" w:cs="Arial" w:ascii="Arial" w:hAnsi="Arial"/>
          <w:b/>
          <w:bCs/>
          <w:i w:val="false"/>
          <w:iCs w:val="false"/>
          <w:sz w:val="24"/>
          <w:szCs w:val="24"/>
        </w:rPr>
        <w:t>Process Purpose</w:t>
      </w:r>
    </w:p>
    <w:p>
      <w:pPr>
        <w:pStyle w:val="Normal"/>
        <w:spacing w:before="0" w:after="120"/>
        <w:rPr/>
      </w:pPr>
      <w:r>
        <w:rPr>
          <w:rFonts w:eastAsia="Arial" w:cs="Arial"/>
          <w:b w:val="false"/>
          <w:bCs w:val="false"/>
          <w:i w:val="false"/>
          <w:iCs w:val="false"/>
          <w:sz w:val="22"/>
          <w:szCs w:val="22"/>
        </w:rPr>
        <w:t>The Engagement Management process supports the ongoing delivery of mentoring services from the first scheduled session through the active engagement lifecycle. It covers session scheduling and recording, meeting cadence management, engagement health visibility, and the administrative tools needed to keep mentoring relationships on track.</w:t>
      </w:r>
    </w:p>
    <w:p>
      <w:pPr>
        <w:pStyle w:val="Normal"/>
        <w:spacing w:before="0" w:after="120"/>
        <w:rPr/>
      </w:pPr>
      <w:r>
        <w:rPr>
          <w:rFonts w:eastAsia="Arial" w:cs="Arial"/>
          <w:b w:val="false"/>
          <w:bCs w:val="false"/>
          <w:i w:val="false"/>
          <w:iCs w:val="false"/>
          <w:sz w:val="22"/>
          <w:szCs w:val="22"/>
        </w:rPr>
        <w:t>This process does not have a single completion point — it runs continuously for the duration of the engagement, which may span months or years. Exit occurs only through formal closure (MN-CLOSE) or inactivity monitoring (MN-INACTIVE).</w:t>
      </w:r>
    </w:p>
    <w:p>
      <w:pPr>
        <w:pStyle w:val="Heading3"/>
        <w:spacing w:before="240" w:after="120"/>
        <w:rPr/>
      </w:pPr>
      <w:r>
        <w:rPr>
          <w:rFonts w:eastAsia="Arial" w:cs="Arial" w:ascii="Arial" w:hAnsi="Arial"/>
          <w:b/>
          <w:bCs/>
          <w:i w:val="false"/>
          <w:iCs w:val="false"/>
          <w:sz w:val="24"/>
          <w:szCs w:val="24"/>
        </w:rPr>
        <w:t>Process Triggers</w:t>
      </w:r>
    </w:p>
    <w:p>
      <w:pPr>
        <w:pStyle w:val="Normal"/>
        <w:spacing w:before="0" w:after="40"/>
        <w:rPr/>
      </w:pPr>
      <w:r>
        <w:rPr>
          <w:rFonts w:eastAsia="Arial" w:cs="Arial"/>
          <w:b/>
          <w:bCs/>
          <w:i w:val="false"/>
          <w:iCs w:val="false"/>
          <w:sz w:val="22"/>
          <w:szCs w:val="22"/>
        </w:rPr>
        <w:t>Preconditions</w:t>
      </w:r>
    </w:p>
    <w:p>
      <w:pPr>
        <w:pStyle w:val="Normal"/>
        <w:spacing w:before="0" w:after="120"/>
        <w:rPr/>
      </w:pPr>
      <w:r>
        <w:rPr>
          <w:rFonts w:eastAsia="Arial" w:cs="Arial"/>
          <w:b w:val="false"/>
          <w:bCs w:val="false"/>
          <w:i w:val="false"/>
          <w:iCs w:val="false"/>
          <w:sz w:val="22"/>
          <w:szCs w:val="22"/>
        </w:rPr>
        <w:t>The Mentor Matching process (MN-MATCH) must have completed successfully — a mentor has accepted the assignment and personally introduced themselves to the client. The Engagement must exist with status Assigned. The Assigned Mentor must be set. The Primary Engagement Contact must be set (automatically assigned during Client Intake).</w:t>
      </w:r>
    </w:p>
    <w:p>
      <w:pPr>
        <w:pStyle w:val="Normal"/>
        <w:spacing w:before="0" w:after="40"/>
        <w:rPr/>
      </w:pPr>
      <w:r>
        <w:rPr>
          <w:rFonts w:eastAsia="Arial" w:cs="Arial"/>
          <w:b/>
          <w:bCs/>
          <w:i w:val="false"/>
          <w:iCs w:val="false"/>
          <w:sz w:val="22"/>
          <w:szCs w:val="22"/>
        </w:rPr>
        <w:t>Required Data</w:t>
      </w:r>
    </w:p>
    <w:p>
      <w:pPr>
        <w:pStyle w:val="Normal"/>
        <w:spacing w:before="0" w:after="120"/>
        <w:rPr/>
      </w:pPr>
      <w:r>
        <w:rPr>
          <w:rFonts w:eastAsia="Arial" w:cs="Arial"/>
          <w:b w:val="false"/>
          <w:bCs w:val="false"/>
          <w:i w:val="false"/>
          <w:iCs w:val="false"/>
          <w:sz w:val="22"/>
          <w:szCs w:val="22"/>
        </w:rPr>
        <w:t>Engagement: Status at Assigned (MN-ENGAGE-DAT-001), Assigned Mentor (DAT-002), Engagement Contacts (DAT-003), Primary Engagement Contact (DAT-037). Client Organization and Client Contact fields as supporting context.</w:t>
      </w:r>
    </w:p>
    <w:p>
      <w:pPr>
        <w:pStyle w:val="Normal"/>
        <w:spacing w:before="0" w:after="40"/>
        <w:rPr/>
      </w:pPr>
      <w:r>
        <w:rPr>
          <w:rFonts w:eastAsia="Arial" w:cs="Arial"/>
          <w:b/>
          <w:bCs/>
          <w:i w:val="false"/>
          <w:iCs w:val="false"/>
          <w:sz w:val="22"/>
          <w:szCs w:val="22"/>
        </w:rPr>
        <w:t>Initiation Mechanism</w:t>
      </w:r>
    </w:p>
    <w:p>
      <w:pPr>
        <w:pStyle w:val="Normal"/>
        <w:spacing w:before="0" w:after="120"/>
        <w:rPr/>
      </w:pPr>
      <w:r>
        <w:rPr>
          <w:rFonts w:eastAsia="Arial" w:cs="Arial"/>
          <w:b w:val="false"/>
          <w:bCs w:val="false"/>
          <w:i w:val="false"/>
          <w:iCs w:val="false"/>
          <w:sz w:val="22"/>
          <w:szCs w:val="22"/>
        </w:rPr>
        <w:t>Manual. The assigned mentor creates the first Session record with status Scheduled and a meeting date/time. The first session meeting request is handled manually — automated session chaining begins only after the first session is completed.</w:t>
      </w:r>
    </w:p>
    <w:p>
      <w:pPr>
        <w:pStyle w:val="Normal"/>
        <w:spacing w:before="0" w:after="40"/>
        <w:rPr/>
      </w:pPr>
      <w:r>
        <w:rPr>
          <w:rFonts w:eastAsia="Arial" w:cs="Arial"/>
          <w:b/>
          <w:bCs/>
          <w:i w:val="false"/>
          <w:iCs w:val="false"/>
          <w:sz w:val="22"/>
          <w:szCs w:val="22"/>
        </w:rPr>
        <w:t>Initiating Persona</w:t>
      </w:r>
    </w:p>
    <w:p>
      <w:pPr>
        <w:pStyle w:val="Normal"/>
        <w:spacing w:before="0" w:after="120"/>
        <w:rPr/>
      </w:pPr>
      <w:r>
        <w:rPr>
          <w:rFonts w:eastAsia="Arial" w:cs="Arial"/>
          <w:b w:val="false"/>
          <w:bCs w:val="false"/>
          <w:i w:val="false"/>
          <w:iCs w:val="false"/>
          <w:sz w:val="22"/>
          <w:szCs w:val="22"/>
        </w:rPr>
        <w:t>Mentor (MST-PER-011). The assigned mentor is solely responsible for initiating the engagement by scheduling the first session.</w:t>
      </w:r>
    </w:p>
    <w:p>
      <w:pPr>
        <w:pStyle w:val="Heading3"/>
        <w:spacing w:before="240" w:after="120"/>
        <w:rPr/>
      </w:pPr>
      <w:r>
        <w:rPr>
          <w:rFonts w:eastAsia="Arial" w:cs="Arial" w:ascii="Arial" w:hAnsi="Arial"/>
          <w:b/>
          <w:bCs/>
          <w:i w:val="false"/>
          <w:iCs w:val="false"/>
          <w:sz w:val="24"/>
          <w:szCs w:val="24"/>
        </w:rPr>
        <w:t>Personas Involved</w:t>
      </w:r>
    </w:p>
    <w:p>
      <w:pPr>
        <w:pStyle w:val="Normal"/>
        <w:spacing w:before="0" w:after="40"/>
        <w:rPr/>
      </w:pPr>
      <w:r>
        <w:rPr>
          <w:rFonts w:eastAsia="Arial" w:cs="Arial"/>
          <w:b/>
          <w:bCs/>
          <w:i w:val="false"/>
          <w:iCs w:val="false"/>
          <w:sz w:val="22"/>
          <w:szCs w:val="22"/>
        </w:rPr>
        <w:t>Mentor (MST-PER-011)</w:t>
      </w:r>
    </w:p>
    <w:p>
      <w:pPr>
        <w:pStyle w:val="Normal"/>
        <w:spacing w:before="0" w:after="120"/>
        <w:rPr/>
      </w:pPr>
      <w:r>
        <w:rPr>
          <w:rFonts w:eastAsia="Arial" w:cs="Arial"/>
          <w:b w:val="false"/>
          <w:bCs w:val="false"/>
          <w:i w:val="false"/>
          <w:iCs w:val="false"/>
          <w:sz w:val="22"/>
          <w:szCs w:val="22"/>
        </w:rPr>
        <w:t>Primary actor. Schedules and records sessions, sets meeting cadence, assigns additional mentors, reviews and sends session summaries, and can place the engagement on hold. Responsible for all session lifecycle management.</w:t>
      </w:r>
    </w:p>
    <w:p>
      <w:pPr>
        <w:pStyle w:val="Normal"/>
        <w:spacing w:before="0" w:after="40"/>
        <w:rPr/>
      </w:pPr>
      <w:r>
        <w:rPr>
          <w:rFonts w:eastAsia="Arial" w:cs="Arial"/>
          <w:b/>
          <w:bCs/>
          <w:i w:val="false"/>
          <w:iCs w:val="false"/>
          <w:sz w:val="22"/>
          <w:szCs w:val="22"/>
        </w:rPr>
        <w:t>Client Administrator (MST-PER-003)</w:t>
      </w:r>
    </w:p>
    <w:p>
      <w:pPr>
        <w:pStyle w:val="Normal"/>
        <w:spacing w:before="0" w:after="120"/>
        <w:rPr/>
      </w:pPr>
      <w:r>
        <w:rPr>
          <w:rFonts w:eastAsia="Arial" w:cs="Arial"/>
          <w:b w:val="false"/>
          <w:bCs w:val="false"/>
          <w:i w:val="false"/>
          <w:iCs w:val="false"/>
          <w:sz w:val="22"/>
          <w:szCs w:val="22"/>
        </w:rPr>
        <w:t>Passive observer. Monitors engagement activity and intervenes only when issues arise, such as mentor incapacitation. May update session status or send session summaries in exceptional cases.</w:t>
      </w:r>
    </w:p>
    <w:p>
      <w:pPr>
        <w:pStyle w:val="Normal"/>
        <w:spacing w:before="0" w:after="40"/>
        <w:rPr/>
      </w:pPr>
      <w:r>
        <w:rPr>
          <w:rFonts w:eastAsia="Arial" w:cs="Arial"/>
          <w:b/>
          <w:bCs/>
          <w:i w:val="false"/>
          <w:iCs w:val="false"/>
          <w:sz w:val="22"/>
          <w:szCs w:val="22"/>
        </w:rPr>
        <w:t>Client (MST-PER-013)</w:t>
      </w:r>
    </w:p>
    <w:p>
      <w:pPr>
        <w:pStyle w:val="Normal"/>
        <w:spacing w:before="0" w:after="120"/>
        <w:rPr/>
      </w:pPr>
      <w:r>
        <w:rPr>
          <w:rFonts w:eastAsia="Arial" w:cs="Arial"/>
          <w:b w:val="false"/>
          <w:bCs w:val="false"/>
          <w:i w:val="false"/>
          <w:iCs w:val="false"/>
          <w:sz w:val="22"/>
          <w:szCs w:val="22"/>
        </w:rPr>
        <w:t>Participates in mentoring sessions, receives meeting requests and session summary emails. Represented by one or more client contacts designated as engagement participants.</w:t>
      </w:r>
    </w:p>
    <w:p>
      <w:pPr>
        <w:pStyle w:val="Normal"/>
        <w:spacing w:before="0" w:after="120"/>
        <w:rPr/>
      </w:pPr>
      <w:r>
        <w:rPr>
          <w:rFonts w:eastAsia="Arial" w:cs="Arial"/>
          <w:b w:val="false"/>
          <w:bCs w:val="false"/>
          <w:i/>
          <w:iCs/>
          <w:sz w:val="22"/>
          <w:szCs w:val="22"/>
        </w:rPr>
        <w:t>Note: The Client Assignment Coordinator (MST-PER-004) does not have a formal role in this process.</w:t>
      </w:r>
    </w:p>
    <w:p>
      <w:pPr>
        <w:pStyle w:val="Heading3"/>
        <w:spacing w:before="240" w:after="120"/>
        <w:rPr/>
      </w:pPr>
      <w:r>
        <w:rPr>
          <w:rFonts w:eastAsia="Arial" w:cs="Arial" w:ascii="Arial" w:hAnsi="Arial"/>
          <w:b/>
          <w:bCs/>
          <w:i w:val="false"/>
          <w:iCs w:val="false"/>
          <w:sz w:val="24"/>
          <w:szCs w:val="24"/>
        </w:rPr>
        <w:t>Process Workflow</w:t>
      </w:r>
    </w:p>
    <w:p>
      <w:pPr>
        <w:pStyle w:val="Normal"/>
        <w:spacing w:before="0" w:after="60"/>
        <w:rPr/>
      </w:pPr>
      <w:r>
        <w:rPr>
          <w:rFonts w:eastAsia="Arial" w:cs="Arial"/>
          <w:b/>
          <w:bCs/>
          <w:i w:val="false"/>
          <w:iCs w:val="false"/>
          <w:sz w:val="22"/>
          <w:szCs w:val="22"/>
        </w:rPr>
        <w:t>Core Session Cycle</w:t>
      </w:r>
    </w:p>
    <w:p>
      <w:pPr>
        <w:pStyle w:val="ListParagraph"/>
        <w:numPr>
          <w:ilvl w:val="0"/>
          <w:numId w:val="9"/>
        </w:numPr>
        <w:spacing w:before="0" w:after="80"/>
        <w:rPr/>
      </w:pPr>
      <w:r>
        <w:rPr>
          <w:rFonts w:eastAsia="Arial" w:cs="Arial"/>
          <w:b w:val="false"/>
          <w:bCs w:val="false"/>
          <w:i w:val="false"/>
          <w:iCs w:val="false"/>
          <w:sz w:val="22"/>
          <w:szCs w:val="22"/>
        </w:rPr>
        <w:t>The mentor creates the first Session record with status Scheduled and a meeting date/time. The first session meeting request is handled manually.</w:t>
      </w:r>
    </w:p>
    <w:p>
      <w:pPr>
        <w:pStyle w:val="ListParagraph"/>
        <w:numPr>
          <w:ilvl w:val="0"/>
          <w:numId w:val="3"/>
        </w:numPr>
        <w:spacing w:before="0" w:after="80"/>
        <w:rPr/>
      </w:pPr>
      <w:r>
        <w:rPr>
          <w:rFonts w:eastAsia="Arial" w:cs="Arial"/>
          <w:b w:val="false"/>
          <w:bCs w:val="false"/>
          <w:i w:val="false"/>
          <w:iCs w:val="false"/>
          <w:sz w:val="22"/>
          <w:szCs w:val="22"/>
        </w:rPr>
        <w:t>The meeting takes place. The mentor updates the Session with details — duration, session type, topics covered, session notes, and next steps — and changes the Session status to Completed.</w:t>
      </w:r>
    </w:p>
    <w:p>
      <w:pPr>
        <w:pStyle w:val="ListParagraph"/>
        <w:numPr>
          <w:ilvl w:val="0"/>
          <w:numId w:val="3"/>
        </w:numPr>
        <w:spacing w:before="0" w:after="80"/>
        <w:rPr/>
      </w:pPr>
      <w:r>
        <w:rPr>
          <w:rFonts w:eastAsia="Arial" w:cs="Arial"/>
          <w:b w:val="false"/>
          <w:bCs w:val="false"/>
          <w:i w:val="false"/>
          <w:iCs w:val="false"/>
          <w:sz w:val="22"/>
          <w:szCs w:val="22"/>
        </w:rPr>
        <w:t>The first Session reaching Completed status automatically transitions the Engagement from Assigned to Active.</w:t>
      </w:r>
    </w:p>
    <w:p>
      <w:pPr>
        <w:pStyle w:val="ListParagraph"/>
        <w:numPr>
          <w:ilvl w:val="0"/>
          <w:numId w:val="3"/>
        </w:numPr>
        <w:spacing w:before="0" w:after="80"/>
        <w:rPr/>
      </w:pPr>
      <w:r>
        <w:rPr>
          <w:rFonts w:eastAsia="Arial" w:cs="Arial"/>
          <w:b w:val="false"/>
          <w:bCs w:val="false"/>
          <w:i w:val="false"/>
          <w:iCs w:val="false"/>
          <w:sz w:val="22"/>
          <w:szCs w:val="22"/>
        </w:rPr>
        <w:t>During the first session, the mentor and client discuss and agree on a meeting cadence. The mentor sets the Meeting Cadence on the Engagement record after the session.</w:t>
      </w:r>
    </w:p>
    <w:p>
      <w:pPr>
        <w:pStyle w:val="ListParagraph"/>
        <w:numPr>
          <w:ilvl w:val="0"/>
          <w:numId w:val="3"/>
        </w:numPr>
        <w:spacing w:before="0" w:after="80"/>
        <w:rPr/>
      </w:pPr>
      <w:r>
        <w:rPr>
          <w:rFonts w:eastAsia="Arial" w:cs="Arial"/>
          <w:b w:val="false"/>
          <w:bCs w:val="false"/>
          <w:i w:val="false"/>
          <w:iCs w:val="false"/>
          <w:sz w:val="22"/>
          <w:szCs w:val="22"/>
        </w:rPr>
        <w:t>The mentor sets the Next Session Date/Time on the completed Session. The system automatically creates a calendar event, sends a meeting request with a video conferencing link to the Primary Engagement Contact (with other Engagement Contacts, if any, as CC and all assigned mentors as attendees), and creates the next Session record at Scheduled status.</w:t>
      </w:r>
    </w:p>
    <w:p>
      <w:pPr>
        <w:pStyle w:val="ListParagraph"/>
        <w:numPr>
          <w:ilvl w:val="0"/>
          <w:numId w:val="3"/>
        </w:numPr>
        <w:spacing w:before="0" w:after="80"/>
        <w:rPr/>
      </w:pPr>
      <w:r>
        <w:rPr>
          <w:rFonts w:eastAsia="Arial" w:cs="Arial"/>
          <w:b w:val="false"/>
          <w:bCs w:val="false"/>
          <w:i w:val="false"/>
          <w:iCs w:val="false"/>
          <w:sz w:val="22"/>
          <w:szCs w:val="22"/>
        </w:rPr>
        <w:t>The mentor reviews and sends a system-drafted session summary email to the Primary Engagement Contact (with other Engagement Contacts, if any, as CC), populated from topics covered, next steps, and next session date.</w:t>
      </w:r>
    </w:p>
    <w:p>
      <w:pPr>
        <w:pStyle w:val="ListParagraph"/>
        <w:numPr>
          <w:ilvl w:val="0"/>
          <w:numId w:val="3"/>
        </w:numPr>
        <w:spacing w:before="0" w:after="80"/>
        <w:rPr/>
      </w:pPr>
      <w:r>
        <w:rPr>
          <w:rFonts w:eastAsia="Arial" w:cs="Arial"/>
          <w:b w:val="false"/>
          <w:bCs w:val="false"/>
          <w:i w:val="false"/>
          <w:iCs w:val="false"/>
          <w:sz w:val="22"/>
          <w:szCs w:val="22"/>
        </w:rPr>
        <w:t>For all subsequent sessions, the cycle repeats. The system calculates and updates roll-up analytics on the Engagement record: total sessions, total session hours, sessions in last 30 days, and last session date.</w:t>
      </w:r>
    </w:p>
    <w:p>
      <w:pPr>
        <w:pStyle w:val="Normal"/>
        <w:spacing w:before="0" w:after="120"/>
        <w:rPr/>
      </w:pPr>
      <w:r>
        <w:rPr/>
      </w:r>
    </w:p>
    <w:p>
      <w:pPr>
        <w:pStyle w:val="Normal"/>
        <w:spacing w:before="0" w:after="60"/>
        <w:rPr/>
      </w:pPr>
      <w:r>
        <w:rPr>
          <w:rFonts w:eastAsia="Arial" w:cs="Arial"/>
          <w:b/>
          <w:bCs/>
          <w:i w:val="false"/>
          <w:iCs w:val="false"/>
          <w:sz w:val="22"/>
          <w:szCs w:val="22"/>
        </w:rPr>
        <w:t>Additional Mentors</w:t>
      </w:r>
    </w:p>
    <w:p>
      <w:pPr>
        <w:pStyle w:val="Normal"/>
        <w:spacing w:before="0" w:after="120"/>
        <w:rPr/>
      </w:pPr>
      <w:r>
        <w:rPr>
          <w:rFonts w:eastAsia="Arial" w:cs="Arial"/>
          <w:b w:val="false"/>
          <w:bCs w:val="false"/>
          <w:i w:val="false"/>
          <w:iCs w:val="false"/>
          <w:sz w:val="22"/>
          <w:szCs w:val="22"/>
        </w:rPr>
        <w:t>The mentor may add additional mentors (co-mentors or subject matter experts) to the engagement at any time. The mentor coordinates informally outside the system to obtain agreement before adding them.</w:t>
      </w:r>
    </w:p>
    <w:p>
      <w:pPr>
        <w:pStyle w:val="Normal"/>
        <w:spacing w:before="0" w:after="60"/>
        <w:rPr/>
      </w:pPr>
      <w:r>
        <w:rPr>
          <w:rFonts w:eastAsia="Arial" w:cs="Arial"/>
          <w:b/>
          <w:bCs/>
          <w:i w:val="false"/>
          <w:iCs w:val="false"/>
          <w:sz w:val="22"/>
          <w:szCs w:val="22"/>
        </w:rPr>
        <w:t>On-Hold</w:t>
      </w:r>
    </w:p>
    <w:p>
      <w:pPr>
        <w:pStyle w:val="Normal"/>
        <w:spacing w:before="0" w:after="120"/>
        <w:rPr/>
      </w:pPr>
      <w:r>
        <w:rPr>
          <w:rFonts w:eastAsia="Arial" w:cs="Arial"/>
          <w:b w:val="false"/>
          <w:bCs w:val="false"/>
          <w:i w:val="false"/>
          <w:iCs w:val="false"/>
          <w:sz w:val="22"/>
          <w:szCs w:val="22"/>
        </w:rPr>
        <w:t>If the client requests a pause, the mentor places the Engagement On-Hold by changing the status, adding an Engagement Note explaining the reason, and setting the Hold End Date. The mentor manually changes the status back to Active when the client is ready to resume.</w:t>
      </w:r>
    </w:p>
    <w:p>
      <w:pPr>
        <w:pStyle w:val="Normal"/>
        <w:spacing w:before="0" w:after="60"/>
        <w:rPr/>
      </w:pPr>
      <w:r>
        <w:rPr>
          <w:rFonts w:eastAsia="Arial" w:cs="Arial"/>
          <w:b/>
          <w:bCs/>
          <w:i w:val="false"/>
          <w:iCs w:val="false"/>
          <w:sz w:val="22"/>
          <w:szCs w:val="22"/>
        </w:rPr>
        <w:t>Session Rescheduling and Cancellations</w:t>
      </w:r>
    </w:p>
    <w:p>
      <w:pPr>
        <w:pStyle w:val="Normal"/>
        <w:spacing w:before="0" w:after="120"/>
        <w:rPr/>
      </w:pPr>
      <w:r>
        <w:rPr>
          <w:rFonts w:eastAsia="Arial" w:cs="Arial"/>
          <w:b w:val="false"/>
          <w:bCs w:val="false"/>
          <w:i w:val="false"/>
          <w:iCs w:val="false"/>
          <w:sz w:val="22"/>
          <w:szCs w:val="22"/>
        </w:rPr>
        <w:t>When a session is rescheduled, the original Session record is preserved with a rescheduled status and a new Session is created with the new date. Sessions are never deleted. Canceled and missed statuses indicate unrescheduled sessions and may signal engagement health concerns.</w:t>
      </w:r>
    </w:p>
    <w:p>
      <w:pPr>
        <w:pStyle w:val="Heading3"/>
        <w:spacing w:before="240" w:after="120"/>
        <w:rPr/>
      </w:pPr>
      <w:r>
        <w:rPr>
          <w:rFonts w:eastAsia="Arial" w:cs="Arial" w:ascii="Arial" w:hAnsi="Arial"/>
          <w:b/>
          <w:bCs/>
          <w:i w:val="false"/>
          <w:iCs w:val="false"/>
          <w:sz w:val="24"/>
          <w:szCs w:val="24"/>
        </w:rPr>
        <w:t>Process Completion</w:t>
      </w:r>
    </w:p>
    <w:p>
      <w:pPr>
        <w:pStyle w:val="Normal"/>
        <w:spacing w:before="0" w:after="40"/>
        <w:rPr/>
      </w:pPr>
      <w:r>
        <w:rPr>
          <w:rFonts w:eastAsia="Arial" w:cs="Arial"/>
          <w:b/>
          <w:bCs/>
          <w:i w:val="false"/>
          <w:iCs w:val="false"/>
          <w:sz w:val="22"/>
          <w:szCs w:val="22"/>
        </w:rPr>
        <w:t>Normal Completion</w:t>
      </w:r>
    </w:p>
    <w:p>
      <w:pPr>
        <w:pStyle w:val="Normal"/>
        <w:spacing w:before="0" w:after="120"/>
        <w:rPr/>
      </w:pPr>
      <w:r>
        <w:rPr>
          <w:rFonts w:eastAsia="Arial" w:cs="Arial"/>
          <w:b w:val="false"/>
          <w:bCs w:val="false"/>
          <w:i w:val="false"/>
          <w:iCs w:val="false"/>
          <w:sz w:val="22"/>
          <w:szCs w:val="22"/>
        </w:rPr>
        <w:t>The Engagement Management process does not have a single completion point. It runs continuously for the duration of the active mentoring relationship.</w:t>
      </w:r>
    </w:p>
    <w:p>
      <w:pPr>
        <w:pStyle w:val="Normal"/>
        <w:spacing w:before="0" w:after="40"/>
        <w:rPr/>
      </w:pPr>
      <w:r>
        <w:rPr>
          <w:rFonts w:eastAsia="Arial" w:cs="Arial"/>
          <w:b/>
          <w:bCs/>
          <w:i w:val="false"/>
          <w:iCs w:val="false"/>
          <w:sz w:val="22"/>
          <w:szCs w:val="22"/>
        </w:rPr>
        <w:t>End State: Formal Closure (Completed)</w:t>
      </w:r>
    </w:p>
    <w:p>
      <w:pPr>
        <w:pStyle w:val="Normal"/>
        <w:spacing w:before="0" w:after="120"/>
        <w:rPr/>
      </w:pPr>
      <w:r>
        <w:rPr>
          <w:rFonts w:eastAsia="Arial" w:cs="Arial"/>
          <w:b w:val="false"/>
          <w:bCs w:val="false"/>
          <w:i w:val="false"/>
          <w:iCs w:val="false"/>
          <w:sz w:val="22"/>
          <w:szCs w:val="22"/>
        </w:rPr>
        <w:t>The engagement is formally closed through the Engagement Closure process (MN-CLOSE) when the mentor or Client Administrator determines the engagement has run its course. The Engagement status transitions to Completed.</w:t>
      </w:r>
    </w:p>
    <w:p>
      <w:pPr>
        <w:pStyle w:val="Normal"/>
        <w:spacing w:before="0" w:after="40"/>
        <w:rPr/>
      </w:pPr>
      <w:r>
        <w:rPr>
          <w:rFonts w:eastAsia="Arial" w:cs="Arial"/>
          <w:b/>
          <w:bCs/>
          <w:i w:val="false"/>
          <w:iCs w:val="false"/>
          <w:sz w:val="22"/>
          <w:szCs w:val="22"/>
        </w:rPr>
        <w:t>End State: System-Initiated Closure (Abandoned)</w:t>
      </w:r>
    </w:p>
    <w:p>
      <w:pPr>
        <w:pStyle w:val="Normal"/>
        <w:spacing w:before="0" w:after="120"/>
        <w:rPr/>
      </w:pPr>
      <w:r>
        <w:rPr>
          <w:rFonts w:eastAsia="Arial" w:cs="Arial"/>
          <w:b w:val="false"/>
          <w:bCs w:val="false"/>
          <w:i w:val="false"/>
          <w:iCs w:val="false"/>
          <w:sz w:val="22"/>
          <w:szCs w:val="22"/>
        </w:rPr>
        <w:t>If the engagement becomes inactive and progresses through the Dormant and Inactive stages without qualifying activity, the Activity Monitoring process (MN-INACTIVE) automatically transitions the Engagement to Abandoned status.</w:t>
      </w:r>
    </w:p>
    <w:p>
      <w:pPr>
        <w:pStyle w:val="Normal"/>
        <w:spacing w:before="0" w:after="40"/>
        <w:rPr/>
      </w:pPr>
      <w:r>
        <w:rPr>
          <w:rFonts w:eastAsia="Arial" w:cs="Arial"/>
          <w:b/>
          <w:bCs/>
          <w:i w:val="false"/>
          <w:iCs w:val="false"/>
          <w:sz w:val="22"/>
          <w:szCs w:val="22"/>
        </w:rPr>
        <w:t>On-Hold (Temporary Pause)</w:t>
      </w:r>
    </w:p>
    <w:p>
      <w:pPr>
        <w:pStyle w:val="Normal"/>
        <w:spacing w:before="0" w:after="120"/>
        <w:rPr/>
      </w:pPr>
      <w:r>
        <w:rPr>
          <w:rFonts w:eastAsia="Arial" w:cs="Arial"/>
          <w:b w:val="false"/>
          <w:bCs w:val="false"/>
          <w:i w:val="false"/>
          <w:iCs w:val="false"/>
          <w:sz w:val="22"/>
          <w:szCs w:val="22"/>
        </w:rPr>
        <w:t>On-Hold is not an end state — it is a temporary pause. The engagement remains in this process and resumes when the mentor returns the status to Active. If the pause extends indefinitely, the mentor may move the engagement to closure through MN-CLOSE.</w:t>
      </w:r>
    </w:p>
    <w:p>
      <w:pPr>
        <w:pStyle w:val="Normal"/>
        <w:spacing w:before="0" w:after="40"/>
        <w:rPr/>
      </w:pPr>
      <w:r>
        <w:rPr>
          <w:rFonts w:eastAsia="Arial" w:cs="Arial"/>
          <w:b/>
          <w:bCs/>
          <w:i w:val="false"/>
          <w:iCs w:val="false"/>
          <w:sz w:val="22"/>
          <w:szCs w:val="22"/>
        </w:rPr>
        <w:t>Who Declares Completion</w:t>
      </w:r>
    </w:p>
    <w:p>
      <w:pPr>
        <w:pStyle w:val="Normal"/>
        <w:spacing w:before="0" w:after="120"/>
        <w:rPr/>
      </w:pPr>
      <w:r>
        <w:rPr>
          <w:rFonts w:eastAsia="Arial" w:cs="Arial"/>
          <w:b w:val="false"/>
          <w:bCs w:val="false"/>
          <w:i w:val="false"/>
          <w:iCs w:val="false"/>
          <w:sz w:val="22"/>
          <w:szCs w:val="22"/>
        </w:rPr>
        <w:t>This process does not declare its own completion. Exit is triggered by other processes: the mentor or Client Administrator initiates closure (MN-CLOSE), or the system initiates closure through inactivity monitoring (MN-INACTIVE).</w:t>
      </w:r>
    </w:p>
    <w:p>
      <w:pPr>
        <w:pStyle w:val="Normal"/>
        <w:spacing w:before="0" w:after="40"/>
        <w:rPr/>
      </w:pPr>
      <w:r>
        <w:rPr>
          <w:rFonts w:eastAsia="Arial" w:cs="Arial"/>
          <w:b/>
          <w:bCs/>
          <w:i w:val="false"/>
          <w:iCs w:val="false"/>
          <w:sz w:val="22"/>
          <w:szCs w:val="22"/>
        </w:rPr>
        <w:t>Early Termination</w:t>
      </w:r>
    </w:p>
    <w:p>
      <w:pPr>
        <w:pStyle w:val="Normal"/>
        <w:spacing w:before="0" w:after="120"/>
        <w:rPr/>
      </w:pPr>
      <w:r>
        <w:rPr>
          <w:rFonts w:eastAsia="Arial" w:cs="Arial"/>
          <w:b w:val="false"/>
          <w:bCs w:val="false"/>
          <w:i w:val="false"/>
          <w:iCs w:val="false"/>
          <w:sz w:val="22"/>
          <w:szCs w:val="22"/>
        </w:rPr>
        <w:t>If a mentor becomes incapacitated, the Client Administrator intervenes. Reassignment is handled through MN-MATCH; termination through MN-CLOSE. All session records and engagement data are preserved regardless of how the engagement ends.</w:t>
      </w:r>
    </w:p>
    <w:p>
      <w:pPr>
        <w:pStyle w:val="Normal"/>
        <w:spacing w:before="0" w:after="40"/>
        <w:rPr/>
      </w:pPr>
      <w:r>
        <w:rPr>
          <w:rFonts w:eastAsia="Arial" w:cs="Arial"/>
          <w:b/>
          <w:bCs/>
          <w:i w:val="false"/>
          <w:iCs w:val="false"/>
          <w:sz w:val="22"/>
          <w:szCs w:val="22"/>
        </w:rPr>
        <w:t>Post-Completion Handoffs</w:t>
      </w:r>
    </w:p>
    <w:p>
      <w:pPr>
        <w:pStyle w:val="Normal"/>
        <w:spacing w:before="0" w:after="120"/>
        <w:rPr/>
      </w:pPr>
      <w:r>
        <w:rPr>
          <w:rFonts w:eastAsia="Arial" w:cs="Arial"/>
          <w:b w:val="false"/>
          <w:bCs w:val="false"/>
          <w:i w:val="false"/>
          <w:iCs w:val="false"/>
          <w:sz w:val="22"/>
          <w:szCs w:val="22"/>
        </w:rPr>
        <w:t>Engagement Closure (MN-CLOSE) handles formal closure, outcome documentation, and the Closed Engagement Survey. Activity Monitoring (MN-INACTIVE) runs concurrently and uses the roll-up analytics from this process. Client Satisfaction Tracking (MN-SURVEY) triggers surveys based on session counts from this process.</w:t>
      </w:r>
    </w:p>
    <w:p>
      <w:pPr>
        <w:pStyle w:val="Heading3"/>
        <w:spacing w:before="240" w:after="120"/>
        <w:rPr/>
      </w:pPr>
      <w:r>
        <w:rPr>
          <w:rFonts w:eastAsia="Arial" w:cs="Arial" w:ascii="Arial" w:hAnsi="Arial"/>
          <w:b/>
          <w:bCs/>
          <w:i w:val="false"/>
          <w:iCs w:val="false"/>
          <w:sz w:val="24"/>
          <w:szCs w:val="24"/>
        </w:rPr>
        <w:t>System Requirements</w:t>
      </w:r>
    </w:p>
    <w:tbl>
      <w:tblPr>
        <w:tblW w:w="9360" w:type="dxa"/>
        <w:jc w:val="left"/>
        <w:tblInd w:w="0" w:type="dxa"/>
        <w:tblLayout w:type="fixed"/>
        <w:tblCellMar>
          <w:top w:w="60" w:type="dxa"/>
          <w:left w:w="100" w:type="dxa"/>
          <w:bottom w:w="60" w:type="dxa"/>
          <w:right w:w="100" w:type="dxa"/>
        </w:tblCellMar>
      </w:tblPr>
      <w:tblGrid>
        <w:gridCol w:w="2000"/>
        <w:gridCol w:w="7359"/>
      </w:tblGrid>
      <w:tr>
        <w:trPr/>
        <w:tc>
          <w:tcPr>
            <w:tcW w:w="20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73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Requirement</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MN-ENGAGE-REQ-001</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transition Engagement status from Assigned to Active automatically when the first Session status is changed to Completed.</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MN-ENGAGE-REQ-002</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automatically create a new Session record, calendar event, and meeting request with video conferencing link when Next Session Date/Time is set on a completed Session. TO: Primary Engagement Contact, CC: other Engagement Contacts (if any), plus all assigned mentors as attendees.</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MN-ENGAGE-REQ-003</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generate a draft session summary email for mentor review before sending. TO: Primary Engagement Contact, CC: other Engagement Contacts (if any).</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MN-ENGAGE-REQ-004</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calculate and display roll-up analytics: total sessions, total session hours, sessions in last 30 days, and last session date.</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MN-ENGAGE-REQ-005</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support placing an Engagement On-Hold with a required Engagement Note and a required Hold End Date, and support manual return to Active.</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MN-ENGAGE-REQ-006</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support adding Additional Mentors to an Engagement at any time.</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MN-ENGAGE-REQ-007</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support Session statuses: Scheduled, Completed, Canceled by Client, Canceled by Mentor, Missed by Client, Rescheduled by Client, Rescheduled by Mentor. Sessions are never deleted.</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MN-ENGAGE-REQ-008</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preserve Session records on reschedule — original retains rescheduled status, new Session created.</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MN-ENGAGE-REQ-009</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assign the submitting contact from Client Intake as an Engagement Contact automatically at Engagement creation.</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MN-ENGAGE-REQ-010</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support multiple concurrent engagements per client organization and per mentor.</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MN-ENGAGE-REQ-011</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restrict Engagement Notes to Client Administrator, Mentor Administrator, and assigned mentors. Never visible to clients.</w:t>
            </w:r>
          </w:p>
        </w:tc>
      </w:tr>
    </w:tbl>
    <w:p>
      <w:pPr>
        <w:pStyle w:val="Heading3"/>
        <w:spacing w:before="240" w:after="120"/>
        <w:rPr/>
      </w:pPr>
      <w:r>
        <w:rPr>
          <w:rFonts w:eastAsia="Arial" w:cs="Arial" w:ascii="Arial" w:hAnsi="Arial"/>
          <w:b/>
          <w:bCs/>
          <w:i w:val="false"/>
          <w:iCs w:val="false"/>
          <w:sz w:val="24"/>
          <w:szCs w:val="24"/>
        </w:rPr>
        <w:t>Process Data</w:t>
      </w:r>
    </w:p>
    <w:p>
      <w:pPr>
        <w:pStyle w:val="Normal"/>
        <w:spacing w:before="0" w:after="120"/>
        <w:rPr/>
      </w:pPr>
      <w:r>
        <w:rPr>
          <w:rFonts w:eastAsia="Arial" w:cs="Arial"/>
          <w:b w:val="false"/>
          <w:bCs w:val="false"/>
          <w:i w:val="false"/>
          <w:iCs w:val="false"/>
          <w:sz w:val="22"/>
          <w:szCs w:val="22"/>
        </w:rPr>
        <w:t>This process reads the following fields as supporting context. See Section 4 (Data Reference) for full field-level detail.</w:t>
      </w:r>
    </w:p>
    <w:p>
      <w:pPr>
        <w:pStyle w:val="Normal"/>
        <w:spacing w:before="0" w:after="120"/>
        <w:rPr/>
      </w:pPr>
      <w:r>
        <w:rPr>
          <w:rFonts w:eastAsia="Arial" w:cs="Arial"/>
          <w:b w:val="false"/>
          <w:bCs w:val="false"/>
          <w:i w:val="false"/>
          <w:iCs w:val="false"/>
          <w:sz w:val="22"/>
          <w:szCs w:val="22"/>
        </w:rPr>
        <w:t>Client Organization: Business Name (MN-ENGAGE-DAT-004), Website (DAT-005), Address (DAT-006).</w:t>
      </w:r>
    </w:p>
    <w:p>
      <w:pPr>
        <w:pStyle w:val="Normal"/>
        <w:spacing w:before="0" w:after="120"/>
        <w:rPr/>
      </w:pPr>
      <w:r>
        <w:rPr>
          <w:rFonts w:eastAsia="Arial" w:cs="Arial"/>
          <w:b w:val="false"/>
          <w:bCs w:val="false"/>
          <w:i w:val="false"/>
          <w:iCs w:val="false"/>
          <w:sz w:val="22"/>
          <w:szCs w:val="22"/>
        </w:rPr>
        <w:t>Client Contact: First Name (MN-ENGAGE-DAT-007), Last Name (DAT-008), Preferred Name (DAT-009), Email (DAT-010), Phone (DAT-011).</w:t>
      </w:r>
    </w:p>
    <w:p>
      <w:pPr>
        <w:pStyle w:val="Normal"/>
        <w:spacing w:before="0" w:after="120"/>
        <w:rPr/>
      </w:pPr>
      <w:r>
        <w:rPr>
          <w:rFonts w:eastAsia="Arial" w:cs="Arial"/>
          <w:b w:val="false"/>
          <w:bCs w:val="false"/>
          <w:i w:val="false"/>
          <w:iCs w:val="false"/>
          <w:sz w:val="22"/>
          <w:szCs w:val="22"/>
        </w:rPr>
        <w:t>Engagement: Mentoring Focus Areas (MN-ENGAGE-DAT-012), Mentoring Needs Description (DAT-013).</w:t>
      </w:r>
    </w:p>
    <w:p>
      <w:pPr>
        <w:pStyle w:val="Heading3"/>
        <w:spacing w:before="240" w:after="120"/>
        <w:rPr/>
      </w:pPr>
      <w:r>
        <w:rPr>
          <w:rFonts w:eastAsia="Arial" w:cs="Arial" w:ascii="Arial" w:hAnsi="Arial"/>
          <w:b/>
          <w:bCs/>
          <w:i w:val="false"/>
          <w:iCs w:val="false"/>
          <w:sz w:val="24"/>
          <w:szCs w:val="24"/>
        </w:rPr>
        <w:t>Data Collected</w:t>
      </w:r>
    </w:p>
    <w:p>
      <w:pPr>
        <w:pStyle w:val="Normal"/>
        <w:spacing w:before="0" w:after="120"/>
        <w:rPr/>
      </w:pPr>
      <w:r>
        <w:rPr>
          <w:rFonts w:eastAsia="Arial" w:cs="Arial"/>
          <w:b w:val="false"/>
          <w:bCs w:val="false"/>
          <w:i w:val="false"/>
          <w:iCs w:val="false"/>
          <w:sz w:val="22"/>
          <w:szCs w:val="22"/>
        </w:rPr>
        <w:t>This process creates or updates the following fields. See Section 4 (Data Reference) for full field-level detail.</w:t>
      </w:r>
    </w:p>
    <w:p>
      <w:pPr>
        <w:pStyle w:val="Normal"/>
        <w:spacing w:before="0" w:after="120"/>
        <w:rPr/>
      </w:pPr>
      <w:r>
        <w:rPr>
          <w:rFonts w:eastAsia="Arial" w:cs="Arial"/>
          <w:b w:val="false"/>
          <w:bCs w:val="false"/>
          <w:i w:val="false"/>
          <w:iCs w:val="false"/>
          <w:sz w:val="22"/>
          <w:szCs w:val="22"/>
        </w:rPr>
        <w:t>Engagement: Meeting Cadence (MN-ENGAGE-DAT-014), Additional Mentors (DAT-015), Engagement Notes (DAT-016), Hold End Date (DAT-036), Status (DAT-017), Total Sessions (DAT-018), Total Sessions Last 30 Days (DAT-019), Last Session Date (DAT-020), Total Session Hours (DAT-021), Next Session Date/Time (DAT-022), Primary Engagement Contact (DAT-038).</w:t>
      </w:r>
    </w:p>
    <w:p>
      <w:pPr>
        <w:pStyle w:val="Normal"/>
        <w:spacing w:before="0" w:after="120"/>
        <w:rPr/>
      </w:pPr>
      <w:r>
        <w:rPr>
          <w:rFonts w:eastAsia="Arial" w:cs="Arial"/>
          <w:b w:val="false"/>
          <w:bCs w:val="false"/>
          <w:i w:val="false"/>
          <w:iCs w:val="false"/>
          <w:sz w:val="22"/>
          <w:szCs w:val="22"/>
        </w:rPr>
        <w:t>Session: Session Date/Time (MN-ENGAGE-DAT-023), Status (DAT-024), Duration (DAT-025), Session Type (DAT-026), Meeting Location Type (DAT-027), Location Details (DAT-028), Topics Covered (DAT-029), Session Notes (DAT-030), Next Steps (DAT-031), Next Session Date/Time (DAT-033), Mentor Attendees (DAT-034), Client Attendees (DAT-035).</w:t>
      </w:r>
    </w:p>
    <w:p>
      <w:pPr>
        <w:pStyle w:val="Normal"/>
        <w:rPr/>
      </w:pPr>
      <w:r>
        <w:rPr/>
      </w:r>
      <w:r>
        <w:br w:type="page"/>
      </w:r>
    </w:p>
    <w:p>
      <w:pPr>
        <w:pStyle w:val="Heading2"/>
        <w:spacing w:before="0" w:after="120"/>
        <w:rPr/>
      </w:pPr>
      <w:r>
        <w:rPr>
          <w:rFonts w:eastAsia="Arial" w:cs="Arial" w:ascii="Arial" w:hAnsi="Arial"/>
          <w:b/>
          <w:bCs/>
          <w:i w:val="false"/>
          <w:iCs w:val="false"/>
          <w:sz w:val="28"/>
          <w:szCs w:val="28"/>
        </w:rPr>
        <w:t>3.4 Activity Monitoring (MN-INACTIVE)</w:t>
      </w:r>
    </w:p>
    <w:p>
      <w:pPr>
        <w:pStyle w:val="Normal"/>
        <w:spacing w:before="0" w:after="200"/>
        <w:rPr/>
      </w:pPr>
      <w:r>
        <w:rPr>
          <w:rFonts w:eastAsia="Arial" w:cs="Arial"/>
          <w:b w:val="false"/>
          <w:bCs w:val="false"/>
          <w:i/>
          <w:iCs/>
          <w:color w:val="888888"/>
          <w:sz w:val="22"/>
          <w:szCs w:val="22"/>
        </w:rPr>
        <w:t>Tier: Core | Version: 1.2 | Last Updated: 04-01-26 05:00</w:t>
      </w:r>
    </w:p>
    <w:p>
      <w:pPr>
        <w:pStyle w:val="Heading3"/>
        <w:spacing w:before="240" w:after="120"/>
        <w:rPr/>
      </w:pPr>
      <w:r>
        <w:rPr>
          <w:rFonts w:eastAsia="Arial" w:cs="Arial" w:ascii="Arial" w:hAnsi="Arial"/>
          <w:b/>
          <w:bCs/>
          <w:i w:val="false"/>
          <w:iCs w:val="false"/>
          <w:sz w:val="24"/>
          <w:szCs w:val="24"/>
        </w:rPr>
        <w:t>Process Purpose</w:t>
      </w:r>
    </w:p>
    <w:p>
      <w:pPr>
        <w:pStyle w:val="Normal"/>
        <w:spacing w:before="0" w:after="120"/>
        <w:rPr/>
      </w:pPr>
      <w:r>
        <w:rPr>
          <w:rFonts w:eastAsia="Arial" w:cs="Arial"/>
          <w:b w:val="false"/>
          <w:bCs w:val="false"/>
          <w:i w:val="false"/>
          <w:iCs w:val="false"/>
          <w:sz w:val="22"/>
          <w:szCs w:val="22"/>
        </w:rPr>
        <w:t>The Activity Monitoring process ensures that client engagements continue to be serviced in a timely manner. It runs as a continuous background process that monitors all Active and On-Hold engagements for inactivity, and takes automated escalation actions when engagements stall.</w:t>
      </w:r>
    </w:p>
    <w:p>
      <w:pPr>
        <w:pStyle w:val="Normal"/>
        <w:spacing w:before="0" w:after="120"/>
        <w:rPr/>
      </w:pPr>
      <w:r>
        <w:rPr>
          <w:rFonts w:eastAsia="Arial" w:cs="Arial"/>
          <w:b w:val="false"/>
          <w:bCs w:val="false"/>
          <w:i w:val="false"/>
          <w:iCs w:val="false"/>
          <w:sz w:val="22"/>
          <w:szCs w:val="22"/>
        </w:rPr>
        <w:t>The process uses cadence-based thresholds to detect inactivity and progresses engagements through three escalation stages — Dormant, Inactive, and Abandoned — providing visible warning periods during which the Assigned Mentor or Client Administrator can intervene.</w:t>
      </w:r>
    </w:p>
    <w:p>
      <w:pPr>
        <w:pStyle w:val="Heading3"/>
        <w:spacing w:before="240" w:after="120"/>
        <w:rPr/>
      </w:pPr>
      <w:r>
        <w:rPr>
          <w:rFonts w:eastAsia="Arial" w:cs="Arial" w:ascii="Arial" w:hAnsi="Arial"/>
          <w:b/>
          <w:bCs/>
          <w:i w:val="false"/>
          <w:iCs w:val="false"/>
          <w:sz w:val="24"/>
          <w:szCs w:val="24"/>
        </w:rPr>
        <w:t>Process Triggers</w:t>
      </w:r>
    </w:p>
    <w:p>
      <w:pPr>
        <w:pStyle w:val="Normal"/>
        <w:spacing w:before="0" w:after="40"/>
        <w:rPr/>
      </w:pPr>
      <w:r>
        <w:rPr>
          <w:rFonts w:eastAsia="Arial" w:cs="Arial"/>
          <w:b/>
          <w:bCs/>
          <w:i w:val="false"/>
          <w:iCs w:val="false"/>
          <w:sz w:val="22"/>
          <w:szCs w:val="22"/>
        </w:rPr>
        <w:t>Preconditions</w:t>
      </w:r>
    </w:p>
    <w:p>
      <w:pPr>
        <w:pStyle w:val="Normal"/>
        <w:spacing w:before="0" w:after="120"/>
        <w:rPr/>
      </w:pPr>
      <w:r>
        <w:rPr>
          <w:rFonts w:eastAsia="Arial" w:cs="Arial"/>
          <w:b w:val="false"/>
          <w:bCs w:val="false"/>
          <w:i w:val="false"/>
          <w:iCs w:val="false"/>
          <w:sz w:val="22"/>
          <w:szCs w:val="22"/>
        </w:rPr>
        <w:t>The Activity Monitoring process runs concurrently with active engagements. It does not require a specific prior process to complete. Any Engagement at Active or On-Hold status is subject to monitoring.</w:t>
      </w:r>
    </w:p>
    <w:p>
      <w:pPr>
        <w:pStyle w:val="Normal"/>
        <w:spacing w:before="0" w:after="40"/>
        <w:rPr/>
      </w:pPr>
      <w:r>
        <w:rPr>
          <w:rFonts w:eastAsia="Arial" w:cs="Arial"/>
          <w:b/>
          <w:bCs/>
          <w:i w:val="false"/>
          <w:iCs w:val="false"/>
          <w:sz w:val="22"/>
          <w:szCs w:val="22"/>
        </w:rPr>
        <w:t>Required Data</w:t>
      </w:r>
    </w:p>
    <w:p>
      <w:pPr>
        <w:pStyle w:val="Normal"/>
        <w:spacing w:before="0" w:after="120"/>
        <w:rPr/>
      </w:pPr>
      <w:r>
        <w:rPr>
          <w:rFonts w:eastAsia="Arial" w:cs="Arial"/>
          <w:b w:val="false"/>
          <w:bCs w:val="false"/>
          <w:i w:val="false"/>
          <w:iCs w:val="false"/>
          <w:sz w:val="22"/>
          <w:szCs w:val="22"/>
        </w:rPr>
        <w:t>The daily scan requires: Status must be Active or On-Hold. Meeting Cadence must be set (Weekly, Bi-Weekly, Monthly, or As Needed). Next Session Date/Time must be populated (for Active engagements) or Hold End Date must be populated (for On-Hold engagements).</w:t>
      </w:r>
    </w:p>
    <w:p>
      <w:pPr>
        <w:pStyle w:val="Normal"/>
        <w:spacing w:before="0" w:after="40"/>
        <w:rPr/>
      </w:pPr>
      <w:r>
        <w:rPr>
          <w:rFonts w:eastAsia="Arial" w:cs="Arial"/>
          <w:b/>
          <w:bCs/>
          <w:i w:val="false"/>
          <w:iCs w:val="false"/>
          <w:sz w:val="22"/>
          <w:szCs w:val="22"/>
        </w:rPr>
        <w:t>Initiation Mechanism</w:t>
      </w:r>
    </w:p>
    <w:p>
      <w:pPr>
        <w:pStyle w:val="Normal"/>
        <w:spacing w:before="0" w:after="120"/>
        <w:rPr/>
      </w:pPr>
      <w:r>
        <w:rPr>
          <w:rFonts w:eastAsia="Arial" w:cs="Arial"/>
          <w:b w:val="false"/>
          <w:bCs w:val="false"/>
          <w:i w:val="false"/>
          <w:iCs w:val="false"/>
          <w:sz w:val="22"/>
          <w:szCs w:val="22"/>
        </w:rPr>
        <w:t>Automatic. The system runs a daily automated scan of all qualifying engagements. No manual action is required.</w:t>
      </w:r>
    </w:p>
    <w:p>
      <w:pPr>
        <w:pStyle w:val="Normal"/>
        <w:spacing w:before="0" w:after="40"/>
        <w:rPr/>
      </w:pPr>
      <w:r>
        <w:rPr>
          <w:rFonts w:eastAsia="Arial" w:cs="Arial"/>
          <w:b/>
          <w:bCs/>
          <w:i w:val="false"/>
          <w:iCs w:val="false"/>
          <w:sz w:val="22"/>
          <w:szCs w:val="22"/>
        </w:rPr>
        <w:t>Initiating Persona</w:t>
      </w:r>
    </w:p>
    <w:p>
      <w:pPr>
        <w:pStyle w:val="Normal"/>
        <w:spacing w:before="0" w:after="120"/>
        <w:rPr/>
      </w:pPr>
      <w:r>
        <w:rPr>
          <w:rFonts w:eastAsia="Arial" w:cs="Arial"/>
          <w:b w:val="false"/>
          <w:bCs w:val="false"/>
          <w:i w:val="false"/>
          <w:iCs w:val="false"/>
          <w:sz w:val="22"/>
          <w:szCs w:val="22"/>
        </w:rPr>
        <w:t>System. The daily scan is initiated automatically with no human intervention.</w:t>
      </w:r>
    </w:p>
    <w:p>
      <w:pPr>
        <w:pStyle w:val="Heading3"/>
        <w:spacing w:before="240" w:after="120"/>
        <w:rPr/>
      </w:pPr>
      <w:r>
        <w:rPr>
          <w:rFonts w:eastAsia="Arial" w:cs="Arial" w:ascii="Arial" w:hAnsi="Arial"/>
          <w:b/>
          <w:bCs/>
          <w:i w:val="false"/>
          <w:iCs w:val="false"/>
          <w:sz w:val="24"/>
          <w:szCs w:val="24"/>
        </w:rPr>
        <w:t>Personas Involved</w:t>
      </w:r>
    </w:p>
    <w:p>
      <w:pPr>
        <w:pStyle w:val="Normal"/>
        <w:spacing w:before="0" w:after="40"/>
        <w:rPr/>
      </w:pPr>
      <w:r>
        <w:rPr>
          <w:rFonts w:eastAsia="Arial" w:cs="Arial"/>
          <w:b/>
          <w:bCs/>
          <w:i w:val="false"/>
          <w:iCs w:val="false"/>
          <w:sz w:val="22"/>
          <w:szCs w:val="22"/>
        </w:rPr>
        <w:t>System</w:t>
      </w:r>
    </w:p>
    <w:p>
      <w:pPr>
        <w:pStyle w:val="Normal"/>
        <w:spacing w:before="0" w:after="120"/>
        <w:rPr/>
      </w:pPr>
      <w:r>
        <w:rPr>
          <w:rFonts w:eastAsia="Arial" w:cs="Arial"/>
          <w:b w:val="false"/>
          <w:bCs w:val="false"/>
          <w:i w:val="false"/>
          <w:iCs w:val="false"/>
          <w:sz w:val="22"/>
          <w:szCs w:val="22"/>
        </w:rPr>
        <w:t>Runs the daily inactivity scan, calculates thresholds, transitions statuses, and sends notifications at the Dormant and Inactive transitions.</w:t>
      </w:r>
    </w:p>
    <w:p>
      <w:pPr>
        <w:pStyle w:val="Normal"/>
        <w:spacing w:before="0" w:after="40"/>
        <w:rPr/>
      </w:pPr>
      <w:r>
        <w:rPr>
          <w:rFonts w:eastAsia="Arial" w:cs="Arial"/>
          <w:b/>
          <w:bCs/>
          <w:i w:val="false"/>
          <w:iCs w:val="false"/>
          <w:sz w:val="22"/>
          <w:szCs w:val="22"/>
        </w:rPr>
        <w:t>Assigned Mentor (MST-PER-011)</w:t>
      </w:r>
    </w:p>
    <w:p>
      <w:pPr>
        <w:pStyle w:val="Normal"/>
        <w:spacing w:before="0" w:after="120"/>
        <w:rPr/>
      </w:pPr>
      <w:r>
        <w:rPr>
          <w:rFonts w:eastAsia="Arial" w:cs="Arial"/>
          <w:b w:val="false"/>
          <w:bCs w:val="false"/>
          <w:i w:val="false"/>
          <w:iCs w:val="false"/>
          <w:sz w:val="22"/>
          <w:szCs w:val="22"/>
        </w:rPr>
        <w:t>Receives Dormant/Inactive notifications. Can schedule or complete sessions to reset the inactivity clock, or manually revert the status to Active.</w:t>
      </w:r>
    </w:p>
    <w:p>
      <w:pPr>
        <w:pStyle w:val="Normal"/>
        <w:spacing w:before="0" w:after="40"/>
        <w:rPr/>
      </w:pPr>
      <w:r>
        <w:rPr>
          <w:rFonts w:eastAsia="Arial" w:cs="Arial"/>
          <w:b/>
          <w:bCs/>
          <w:i w:val="false"/>
          <w:iCs w:val="false"/>
          <w:sz w:val="22"/>
          <w:szCs w:val="22"/>
        </w:rPr>
        <w:t>Client Administrator (MST-PER-003)</w:t>
      </w:r>
    </w:p>
    <w:p>
      <w:pPr>
        <w:pStyle w:val="Normal"/>
        <w:spacing w:before="0" w:after="120"/>
        <w:rPr/>
      </w:pPr>
      <w:r>
        <w:rPr>
          <w:rFonts w:eastAsia="Arial" w:cs="Arial"/>
          <w:b w:val="false"/>
          <w:bCs w:val="false"/>
          <w:i w:val="false"/>
          <w:iCs w:val="false"/>
          <w:sz w:val="22"/>
          <w:szCs w:val="22"/>
        </w:rPr>
        <w:t>Receives Dormant/Inactive notifications. Has full authority to override any status transition, revert statuses, or push an engagement directly to closure.</w:t>
      </w:r>
    </w:p>
    <w:p>
      <w:pPr>
        <w:pStyle w:val="Normal"/>
        <w:spacing w:before="0" w:after="40"/>
        <w:rPr/>
      </w:pPr>
      <w:r>
        <w:rPr>
          <w:rFonts w:eastAsia="Arial" w:cs="Arial"/>
          <w:b/>
          <w:bCs/>
          <w:i w:val="false"/>
          <w:iCs w:val="false"/>
          <w:sz w:val="22"/>
          <w:szCs w:val="22"/>
        </w:rPr>
        <w:t>Mentor Administrator (MST-PER-005)</w:t>
      </w:r>
    </w:p>
    <w:p>
      <w:pPr>
        <w:pStyle w:val="Normal"/>
        <w:spacing w:before="0" w:after="120"/>
        <w:rPr/>
      </w:pPr>
      <w:r>
        <w:rPr>
          <w:rFonts w:eastAsia="Arial" w:cs="Arial"/>
          <w:b w:val="false"/>
          <w:bCs w:val="false"/>
          <w:i w:val="false"/>
          <w:iCs w:val="false"/>
          <w:sz w:val="22"/>
          <w:szCs w:val="22"/>
        </w:rPr>
        <w:t>Has access to filtered views and the Engagement Health dashboard for trend monitoring across mentors. Does not receive automated notifications.</w:t>
      </w:r>
    </w:p>
    <w:p>
      <w:pPr>
        <w:pStyle w:val="Normal"/>
        <w:spacing w:before="0" w:after="40"/>
        <w:rPr/>
      </w:pPr>
      <w:r>
        <w:rPr>
          <w:rFonts w:eastAsia="Arial" w:cs="Arial"/>
          <w:b/>
          <w:bCs/>
          <w:i w:val="false"/>
          <w:iCs w:val="false"/>
          <w:sz w:val="22"/>
          <w:szCs w:val="22"/>
        </w:rPr>
        <w:t>Executive Member (MST-PER-002)</w:t>
      </w:r>
    </w:p>
    <w:p>
      <w:pPr>
        <w:pStyle w:val="Normal"/>
        <w:spacing w:before="0" w:after="120"/>
        <w:rPr/>
      </w:pPr>
      <w:r>
        <w:rPr>
          <w:rFonts w:eastAsia="Arial" w:cs="Arial"/>
          <w:b w:val="false"/>
          <w:bCs w:val="false"/>
          <w:i w:val="false"/>
          <w:iCs w:val="false"/>
          <w:sz w:val="22"/>
          <w:szCs w:val="22"/>
        </w:rPr>
        <w:t>Has access to the Engagement Health dashboard for organizational health monitoring. Does not receive notifications or participate in individual interventions.</w:t>
      </w:r>
    </w:p>
    <w:p>
      <w:pPr>
        <w:pStyle w:val="Heading3"/>
        <w:spacing w:before="240" w:after="120"/>
        <w:rPr/>
      </w:pPr>
      <w:r>
        <w:rPr>
          <w:rFonts w:eastAsia="Arial" w:cs="Arial" w:ascii="Arial" w:hAnsi="Arial"/>
          <w:b/>
          <w:bCs/>
          <w:i w:val="false"/>
          <w:iCs w:val="false"/>
          <w:sz w:val="24"/>
          <w:szCs w:val="24"/>
        </w:rPr>
        <w:t>Process Workflow</w:t>
      </w:r>
    </w:p>
    <w:p>
      <w:pPr>
        <w:pStyle w:val="ListParagraph"/>
        <w:numPr>
          <w:ilvl w:val="0"/>
          <w:numId w:val="10"/>
        </w:numPr>
        <w:spacing w:before="0" w:after="80"/>
        <w:rPr/>
      </w:pPr>
      <w:r>
        <w:rPr>
          <w:rFonts w:eastAsia="Arial" w:cs="Arial"/>
          <w:b w:val="false"/>
          <w:bCs w:val="false"/>
          <w:i w:val="false"/>
          <w:iCs w:val="false"/>
          <w:sz w:val="22"/>
          <w:szCs w:val="22"/>
        </w:rPr>
        <w:t>The system runs a daily automated scan of all engagements at Active or On-Hold status.</w:t>
      </w:r>
    </w:p>
    <w:p>
      <w:pPr>
        <w:pStyle w:val="ListParagraph"/>
        <w:numPr>
          <w:ilvl w:val="0"/>
          <w:numId w:val="4"/>
        </w:numPr>
        <w:spacing w:before="0" w:after="80"/>
        <w:rPr/>
      </w:pPr>
      <w:r>
        <w:rPr>
          <w:rFonts w:eastAsia="Arial" w:cs="Arial"/>
          <w:b w:val="false"/>
          <w:bCs w:val="false"/>
          <w:i w:val="false"/>
          <w:iCs w:val="false"/>
          <w:sz w:val="22"/>
          <w:szCs w:val="22"/>
        </w:rPr>
        <w:t>For Active engagements, the system compares today’s date against Next Session Date/Time using the Meeting Cadence as the base period (Weekly = 7 days, Bi-Weekly = 14 days, Monthly = 30 days, As Needed = configurable system default). For On-Hold engagements, the comparison uses Hold End Date. The escalation multiplier is a configurable system variable (default: 2x).</w:t>
      </w:r>
    </w:p>
    <w:p>
      <w:pPr>
        <w:pStyle w:val="ListParagraph"/>
        <w:numPr>
          <w:ilvl w:val="0"/>
          <w:numId w:val="4"/>
        </w:numPr>
        <w:spacing w:before="0" w:after="80"/>
        <w:rPr/>
      </w:pPr>
      <w:r>
        <w:rPr>
          <w:rFonts w:eastAsia="Arial" w:cs="Arial"/>
          <w:b w:val="false"/>
          <w:bCs w:val="false"/>
          <w:i w:val="false"/>
          <w:iCs w:val="false"/>
          <w:sz w:val="22"/>
          <w:szCs w:val="22"/>
        </w:rPr>
        <w:t>If elapsed time exceeds 1x the multiplier times cadence: status transitions to Dormant. Notification sent to Assigned Mentor and Client Administrator with stage name, Business Name, Primary Engagement Contact name, and direct link to the Engagement record.</w:t>
      </w:r>
    </w:p>
    <w:p>
      <w:pPr>
        <w:pStyle w:val="ListParagraph"/>
        <w:numPr>
          <w:ilvl w:val="0"/>
          <w:numId w:val="4"/>
        </w:numPr>
        <w:spacing w:before="0" w:after="80"/>
        <w:rPr/>
      </w:pPr>
      <w:r>
        <w:rPr>
          <w:rFonts w:eastAsia="Arial" w:cs="Arial"/>
          <w:b w:val="false"/>
          <w:bCs w:val="false"/>
          <w:i w:val="false"/>
          <w:iCs w:val="false"/>
          <w:sz w:val="22"/>
          <w:szCs w:val="22"/>
        </w:rPr>
        <w:t>If elapsed time exceeds 2x the multiplier times cadence: status transitions from Dormant to Inactive. Same notification content.</w:t>
      </w:r>
    </w:p>
    <w:p>
      <w:pPr>
        <w:pStyle w:val="ListParagraph"/>
        <w:numPr>
          <w:ilvl w:val="0"/>
          <w:numId w:val="4"/>
        </w:numPr>
        <w:spacing w:before="0" w:after="80"/>
        <w:rPr/>
      </w:pPr>
      <w:r>
        <w:rPr>
          <w:rFonts w:eastAsia="Arial" w:cs="Arial"/>
          <w:b w:val="false"/>
          <w:bCs w:val="false"/>
          <w:i w:val="false"/>
          <w:iCs w:val="false"/>
          <w:sz w:val="22"/>
          <w:szCs w:val="22"/>
        </w:rPr>
        <w:t>If elapsed time exceeds 3x the multiplier times cadence: status transitions from Inactive to Abandoned. Close Date is populated and Close Reason set to “Inactive / No Response.” No notification is sent.</w:t>
      </w:r>
    </w:p>
    <w:p>
      <w:pPr>
        <w:pStyle w:val="ListParagraph"/>
        <w:numPr>
          <w:ilvl w:val="0"/>
          <w:numId w:val="4"/>
        </w:numPr>
        <w:spacing w:before="0" w:after="80"/>
        <w:rPr/>
      </w:pPr>
      <w:r>
        <w:rPr>
          <w:rFonts w:eastAsia="Arial" w:cs="Arial"/>
          <w:b w:val="false"/>
          <w:bCs w:val="false"/>
          <w:i w:val="false"/>
          <w:iCs w:val="false"/>
          <w:sz w:val="22"/>
          <w:szCs w:val="22"/>
        </w:rPr>
        <w:t>At any point during Dormant or Inactive, the Assigned Mentor or Client Administrator may schedule or complete a session, which updates Next Session Date/Time and returns the Engagement to Active.</w:t>
      </w:r>
    </w:p>
    <w:p>
      <w:pPr>
        <w:pStyle w:val="ListParagraph"/>
        <w:numPr>
          <w:ilvl w:val="0"/>
          <w:numId w:val="4"/>
        </w:numPr>
        <w:spacing w:before="0" w:after="80"/>
        <w:rPr/>
      </w:pPr>
      <w:r>
        <w:rPr>
          <w:rFonts w:eastAsia="Arial" w:cs="Arial"/>
          <w:b w:val="false"/>
          <w:bCs w:val="false"/>
          <w:i w:val="false"/>
          <w:iCs w:val="false"/>
          <w:sz w:val="22"/>
          <w:szCs w:val="22"/>
        </w:rPr>
        <w:t>If the Assigned Mentor manually reverts status to Active without scheduling a session, the system displays a warning message.</w:t>
      </w:r>
    </w:p>
    <w:p>
      <w:pPr>
        <w:pStyle w:val="Heading3"/>
        <w:spacing w:before="240" w:after="120"/>
        <w:rPr/>
      </w:pPr>
      <w:r>
        <w:rPr>
          <w:rFonts w:eastAsia="Arial" w:cs="Arial" w:ascii="Arial" w:hAnsi="Arial"/>
          <w:b/>
          <w:bCs/>
          <w:i w:val="false"/>
          <w:iCs w:val="false"/>
          <w:sz w:val="24"/>
          <w:szCs w:val="24"/>
        </w:rPr>
        <w:t>Process Completion</w:t>
      </w:r>
    </w:p>
    <w:p>
      <w:pPr>
        <w:pStyle w:val="Normal"/>
        <w:spacing w:before="0" w:after="40"/>
        <w:rPr/>
      </w:pPr>
      <w:r>
        <w:rPr>
          <w:rFonts w:eastAsia="Arial" w:cs="Arial"/>
          <w:b/>
          <w:bCs/>
          <w:i w:val="false"/>
          <w:iCs w:val="false"/>
          <w:sz w:val="22"/>
          <w:szCs w:val="22"/>
        </w:rPr>
        <w:t>Normal Completion</w:t>
      </w:r>
    </w:p>
    <w:p>
      <w:pPr>
        <w:pStyle w:val="Normal"/>
        <w:spacing w:before="0" w:after="120"/>
        <w:rPr/>
      </w:pPr>
      <w:r>
        <w:rPr>
          <w:rFonts w:eastAsia="Arial" w:cs="Arial"/>
          <w:b w:val="false"/>
          <w:bCs w:val="false"/>
          <w:i w:val="false"/>
          <w:iCs w:val="false"/>
          <w:sz w:val="22"/>
          <w:szCs w:val="22"/>
        </w:rPr>
        <w:t>The Activity Monitoring process is a continuous background process that runs daily. It does not have a single completion point.</w:t>
      </w:r>
    </w:p>
    <w:p>
      <w:pPr>
        <w:pStyle w:val="Normal"/>
        <w:spacing w:before="0" w:after="40"/>
        <w:rPr/>
      </w:pPr>
      <w:r>
        <w:rPr>
          <w:rFonts w:eastAsia="Arial" w:cs="Arial"/>
          <w:b/>
          <w:bCs/>
          <w:i w:val="false"/>
          <w:iCs w:val="false"/>
          <w:sz w:val="22"/>
          <w:szCs w:val="22"/>
        </w:rPr>
        <w:t>End State: Reset to Active (Per Engagement)</w:t>
      </w:r>
    </w:p>
    <w:p>
      <w:pPr>
        <w:pStyle w:val="Normal"/>
        <w:spacing w:before="0" w:after="120"/>
        <w:rPr/>
      </w:pPr>
      <w:r>
        <w:rPr>
          <w:rFonts w:eastAsia="Arial" w:cs="Arial"/>
          <w:b w:val="false"/>
          <w:bCs w:val="false"/>
          <w:i w:val="false"/>
          <w:iCs w:val="false"/>
          <w:sz w:val="22"/>
          <w:szCs w:val="22"/>
        </w:rPr>
        <w:t>Qualifying activity (completed session or scheduled future session) updates Next Session Date/Time and returns the engagement to Active. The inactivity calculation resets.</w:t>
      </w:r>
    </w:p>
    <w:p>
      <w:pPr>
        <w:pStyle w:val="Normal"/>
        <w:spacing w:before="0" w:after="40"/>
        <w:rPr/>
      </w:pPr>
      <w:r>
        <w:rPr>
          <w:rFonts w:eastAsia="Arial" w:cs="Arial"/>
          <w:b/>
          <w:bCs/>
          <w:i w:val="false"/>
          <w:iCs w:val="false"/>
          <w:sz w:val="22"/>
          <w:szCs w:val="22"/>
        </w:rPr>
        <w:t>End State: Abandoned (Per Engagement)</w:t>
      </w:r>
    </w:p>
    <w:p>
      <w:pPr>
        <w:pStyle w:val="Normal"/>
        <w:spacing w:before="0" w:after="120"/>
        <w:rPr/>
      </w:pPr>
      <w:r>
        <w:rPr>
          <w:rFonts w:eastAsia="Arial" w:cs="Arial"/>
          <w:b w:val="false"/>
          <w:bCs w:val="false"/>
          <w:i w:val="false"/>
          <w:iCs w:val="false"/>
          <w:sz w:val="22"/>
          <w:szCs w:val="22"/>
        </w:rPr>
        <w:t>The engagement progresses through all three escalation stages without qualifying activity. The system sets status to Abandoned, populates Close Date, and sets Close Reason to “Inactive / No Response.”</w:t>
      </w:r>
    </w:p>
    <w:p>
      <w:pPr>
        <w:pStyle w:val="Normal"/>
        <w:spacing w:before="0" w:after="40"/>
        <w:rPr/>
      </w:pPr>
      <w:r>
        <w:rPr>
          <w:rFonts w:eastAsia="Arial" w:cs="Arial"/>
          <w:b/>
          <w:bCs/>
          <w:i w:val="false"/>
          <w:iCs w:val="false"/>
          <w:sz w:val="22"/>
          <w:szCs w:val="22"/>
        </w:rPr>
        <w:t>End State: External Closure (Per Engagement)</w:t>
      </w:r>
    </w:p>
    <w:p>
      <w:pPr>
        <w:pStyle w:val="Normal"/>
        <w:spacing w:before="0" w:after="120"/>
        <w:rPr/>
      </w:pPr>
      <w:r>
        <w:rPr>
          <w:rFonts w:eastAsia="Arial" w:cs="Arial"/>
          <w:b w:val="false"/>
          <w:bCs w:val="false"/>
          <w:i w:val="false"/>
          <w:iCs w:val="false"/>
          <w:sz w:val="22"/>
          <w:szCs w:val="22"/>
        </w:rPr>
        <w:t>The engagement is closed through MN-CLOSE before the inactivity pipeline completes. Status transitions to Completed, removing it from the monitoring pool.</w:t>
      </w:r>
    </w:p>
    <w:p>
      <w:pPr>
        <w:pStyle w:val="Normal"/>
        <w:spacing w:before="0" w:after="40"/>
        <w:rPr/>
      </w:pPr>
      <w:r>
        <w:rPr>
          <w:rFonts w:eastAsia="Arial" w:cs="Arial"/>
          <w:b/>
          <w:bCs/>
          <w:i w:val="false"/>
          <w:iCs w:val="false"/>
          <w:sz w:val="22"/>
          <w:szCs w:val="22"/>
        </w:rPr>
        <w:t>Post-Completion Handoffs</w:t>
      </w:r>
    </w:p>
    <w:p>
      <w:pPr>
        <w:pStyle w:val="Normal"/>
        <w:spacing w:before="0" w:after="120"/>
        <w:rPr/>
      </w:pPr>
      <w:r>
        <w:rPr>
          <w:rFonts w:eastAsia="Arial" w:cs="Arial"/>
          <w:b w:val="false"/>
          <w:bCs w:val="false"/>
          <w:i w:val="false"/>
          <w:iCs w:val="false"/>
          <w:sz w:val="22"/>
          <w:szCs w:val="22"/>
        </w:rPr>
        <w:t>Engagements reaching Abandoned are closed by this process with no further handoff. Engagements closed through MN-CLOSE exit the monitoring pool and are handled by MN-CLOSE.</w:t>
      </w:r>
    </w:p>
    <w:p>
      <w:pPr>
        <w:pStyle w:val="Heading3"/>
        <w:spacing w:before="240" w:after="120"/>
        <w:rPr/>
      </w:pPr>
      <w:r>
        <w:rPr>
          <w:rFonts w:eastAsia="Arial" w:cs="Arial" w:ascii="Arial" w:hAnsi="Arial"/>
          <w:b/>
          <w:bCs/>
          <w:i w:val="false"/>
          <w:iCs w:val="false"/>
          <w:sz w:val="24"/>
          <w:szCs w:val="24"/>
        </w:rPr>
        <w:t>System Requirements</w:t>
      </w:r>
    </w:p>
    <w:tbl>
      <w:tblPr>
        <w:tblW w:w="9360" w:type="dxa"/>
        <w:jc w:val="left"/>
        <w:tblInd w:w="0" w:type="dxa"/>
        <w:tblLayout w:type="fixed"/>
        <w:tblCellMar>
          <w:top w:w="60" w:type="dxa"/>
          <w:left w:w="100" w:type="dxa"/>
          <w:bottom w:w="60" w:type="dxa"/>
          <w:right w:w="100" w:type="dxa"/>
        </w:tblCellMar>
      </w:tblPr>
      <w:tblGrid>
        <w:gridCol w:w="2000"/>
        <w:gridCol w:w="7359"/>
      </w:tblGrid>
      <w:tr>
        <w:trPr/>
        <w:tc>
          <w:tcPr>
            <w:tcW w:w="20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73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Requirement</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MN-INACTIVE-REQ-001</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run a daily automated scan of all engagements at Active or On-Hold status.</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MN-INACTIVE-REQ-002</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calculate inactivity thresholds using Meeting Cadence as the base period and a configurable escalation multiplier (default: 2x). Dormant at 1x multiplier, Inactive at 2x, Abandoned at 3x.</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MN-INACTIVE-REQ-003</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transition to Dormant and notify with Business Name and Primary Engagement Contact name.</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MN-INACTIVE-REQ-004</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transition to Inactive and notify with the same content.</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MN-INACTIVE-REQ-005</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transition to Abandoned, populate Close Date, and set Close Reason. No notification.</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MN-INACTIVE-REQ-006</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allow manual revert from Dormant/Inactive to Active with a warning if no session is scheduled.</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MN-INACTIVE-REQ-007</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reset the inactivity calculation when Next Session Date/Time is updated to a future date.</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MN-INACTIVE-REQ-008</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provide filtered views of Dormant and Inactive engagements for Client Administrator and Mentor Administrator.</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MN-INACTIVE-REQ-009</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provide a configurable default cadence period for As Needed engagements.</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MN-INACTIVE-REQ-010</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provide a configurable escalation multiplier (default: 2x).</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MN-INACTIVE-REQ-011</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provide two configurable notification templates (Dormant and Inactive) with stage name and direct link.</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MN-INACTIVE-REQ-012</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provide an Engagement Health dashboard with pipeline status counts, accessible to Client Administrator, Mentor Administrator, and Executive Member.</w:t>
            </w:r>
          </w:p>
        </w:tc>
      </w:tr>
    </w:tbl>
    <w:p>
      <w:pPr>
        <w:pStyle w:val="Heading3"/>
        <w:spacing w:before="240" w:after="120"/>
        <w:rPr/>
      </w:pPr>
      <w:r>
        <w:rPr>
          <w:rFonts w:eastAsia="Arial" w:cs="Arial" w:ascii="Arial" w:hAnsi="Arial"/>
          <w:b/>
          <w:bCs/>
          <w:i w:val="false"/>
          <w:iCs w:val="false"/>
          <w:sz w:val="24"/>
          <w:szCs w:val="24"/>
        </w:rPr>
        <w:t>Process Data</w:t>
      </w:r>
    </w:p>
    <w:p>
      <w:pPr>
        <w:pStyle w:val="Normal"/>
        <w:spacing w:before="0" w:after="120"/>
        <w:rPr/>
      </w:pPr>
      <w:r>
        <w:rPr>
          <w:rFonts w:eastAsia="Arial" w:cs="Arial"/>
          <w:b w:val="false"/>
          <w:bCs w:val="false"/>
          <w:i w:val="false"/>
          <w:iCs w:val="false"/>
          <w:sz w:val="22"/>
          <w:szCs w:val="22"/>
        </w:rPr>
        <w:t>This process reads the following fields during the daily scan. See Section 4 (Data Reference) for full field-level detail.</w:t>
      </w:r>
    </w:p>
    <w:p>
      <w:pPr>
        <w:pStyle w:val="Normal"/>
        <w:spacing w:before="0" w:after="120"/>
        <w:rPr/>
      </w:pPr>
      <w:r>
        <w:rPr>
          <w:rFonts w:eastAsia="Arial" w:cs="Arial"/>
          <w:b w:val="false"/>
          <w:bCs w:val="false"/>
          <w:i w:val="false"/>
          <w:iCs w:val="false"/>
          <w:sz w:val="22"/>
          <w:szCs w:val="22"/>
        </w:rPr>
        <w:t>Engagement: Status (MN-INACTIVE-DAT-001), Meeting Cadence (DAT-002), Next Session Date/Time (DAT-003), Hold End Date (DAT-004), Assigned Mentor (DAT-005), Last Session Date (DAT-006), Total Sessions Last 30 Days (DAT-007), Total Sessions (DAT-008), Primary Engagement Contact (DAT-015).</w:t>
      </w:r>
    </w:p>
    <w:p>
      <w:pPr>
        <w:pStyle w:val="Normal"/>
        <w:spacing w:before="0" w:after="120"/>
        <w:rPr/>
      </w:pPr>
      <w:r>
        <w:rPr>
          <w:rFonts w:eastAsia="Arial" w:cs="Arial"/>
          <w:b w:val="false"/>
          <w:bCs w:val="false"/>
          <w:i w:val="false"/>
          <w:iCs w:val="false"/>
          <w:sz w:val="22"/>
          <w:szCs w:val="22"/>
        </w:rPr>
        <w:t>Client Organization: Business Name (MN-INACTIVE-DAT-009).</w:t>
      </w:r>
    </w:p>
    <w:p>
      <w:pPr>
        <w:pStyle w:val="Normal"/>
        <w:spacing w:before="0" w:after="120"/>
        <w:rPr/>
      </w:pPr>
      <w:r>
        <w:rPr>
          <w:rFonts w:eastAsia="Arial" w:cs="Arial"/>
          <w:b w:val="false"/>
          <w:bCs w:val="false"/>
          <w:i w:val="false"/>
          <w:iCs w:val="false"/>
          <w:sz w:val="22"/>
          <w:szCs w:val="22"/>
        </w:rPr>
        <w:t>Client Contact: First Name (MN-INACTIVE-DAT-010), Last Name (DAT-011).</w:t>
      </w:r>
    </w:p>
    <w:p>
      <w:pPr>
        <w:pStyle w:val="Heading3"/>
        <w:spacing w:before="240" w:after="120"/>
        <w:rPr/>
      </w:pPr>
      <w:r>
        <w:rPr>
          <w:rFonts w:eastAsia="Arial" w:cs="Arial" w:ascii="Arial" w:hAnsi="Arial"/>
          <w:b/>
          <w:bCs/>
          <w:i w:val="false"/>
          <w:iCs w:val="false"/>
          <w:sz w:val="24"/>
          <w:szCs w:val="24"/>
        </w:rPr>
        <w:t>Data Collected</w:t>
      </w:r>
    </w:p>
    <w:p>
      <w:pPr>
        <w:pStyle w:val="Normal"/>
        <w:spacing w:before="0" w:after="120"/>
        <w:rPr/>
      </w:pPr>
      <w:r>
        <w:rPr>
          <w:rFonts w:eastAsia="Arial" w:cs="Arial"/>
          <w:b w:val="false"/>
          <w:bCs w:val="false"/>
          <w:i w:val="false"/>
          <w:iCs w:val="false"/>
          <w:sz w:val="22"/>
          <w:szCs w:val="22"/>
        </w:rPr>
        <w:t>This process updates the following fields. See Section 4 (Data Reference) for full field-level detail.</w:t>
      </w:r>
    </w:p>
    <w:p>
      <w:pPr>
        <w:pStyle w:val="Normal"/>
        <w:spacing w:before="0" w:after="120"/>
        <w:rPr/>
      </w:pPr>
      <w:r>
        <w:rPr>
          <w:rFonts w:eastAsia="Arial" w:cs="Arial"/>
          <w:b w:val="false"/>
          <w:bCs w:val="false"/>
          <w:i w:val="false"/>
          <w:iCs w:val="false"/>
          <w:sz w:val="22"/>
          <w:szCs w:val="22"/>
        </w:rPr>
        <w:t>Engagement: Status (MN-INACTIVE-DAT-012), Close Date (DAT-013), Close Reason (DAT-014).</w:t>
      </w:r>
    </w:p>
    <w:p>
      <w:pPr>
        <w:pStyle w:val="Normal"/>
        <w:rPr/>
      </w:pPr>
      <w:r>
        <w:rPr/>
      </w:r>
      <w:r>
        <w:br w:type="page"/>
      </w:r>
    </w:p>
    <w:p>
      <w:pPr>
        <w:pStyle w:val="Heading2"/>
        <w:spacing w:before="0" w:after="120"/>
        <w:rPr/>
      </w:pPr>
      <w:r>
        <w:rPr>
          <w:rFonts w:eastAsia="Arial" w:cs="Arial" w:ascii="Arial" w:hAnsi="Arial"/>
          <w:b/>
          <w:bCs/>
          <w:i w:val="false"/>
          <w:iCs w:val="false"/>
          <w:sz w:val="28"/>
          <w:szCs w:val="28"/>
        </w:rPr>
        <w:t>3.5 Engagement Closure (MN-CLOSE)</w:t>
      </w:r>
    </w:p>
    <w:p>
      <w:pPr>
        <w:pStyle w:val="Normal"/>
        <w:spacing w:before="0" w:after="200"/>
        <w:rPr/>
      </w:pPr>
      <w:r>
        <w:rPr>
          <w:rFonts w:eastAsia="Arial" w:cs="Arial"/>
          <w:b w:val="false"/>
          <w:bCs w:val="false"/>
          <w:i/>
          <w:iCs/>
          <w:color w:val="888888"/>
          <w:sz w:val="22"/>
          <w:szCs w:val="22"/>
        </w:rPr>
        <w:t>Tier: Important | Version: 1.1 | Last Updated: 04-01-26 05:00</w:t>
      </w:r>
    </w:p>
    <w:p>
      <w:pPr>
        <w:pStyle w:val="Heading3"/>
        <w:spacing w:before="240" w:after="120"/>
        <w:rPr/>
      </w:pPr>
      <w:r>
        <w:rPr>
          <w:rFonts w:eastAsia="Arial" w:cs="Arial" w:ascii="Arial" w:hAnsi="Arial"/>
          <w:b/>
          <w:bCs/>
          <w:i w:val="false"/>
          <w:iCs w:val="false"/>
          <w:sz w:val="24"/>
          <w:szCs w:val="24"/>
        </w:rPr>
        <w:t>Process Purpose</w:t>
      </w:r>
    </w:p>
    <w:p>
      <w:pPr>
        <w:pStyle w:val="Normal"/>
        <w:spacing w:before="0" w:after="120"/>
        <w:rPr/>
      </w:pPr>
      <w:r>
        <w:rPr>
          <w:rFonts w:eastAsia="Arial" w:cs="Arial"/>
          <w:b w:val="false"/>
          <w:bCs w:val="false"/>
          <w:i w:val="false"/>
          <w:iCs w:val="false"/>
          <w:sz w:val="22"/>
          <w:szCs w:val="22"/>
        </w:rPr>
        <w:t>The Engagement Closure process handles the formal closure of mentoring engagements. Its primary purpose is to document the results and outcomes of the engagement to support analytics, performance analysis, and funder impact reporting.</w:t>
      </w:r>
    </w:p>
    <w:p>
      <w:pPr>
        <w:pStyle w:val="Normal"/>
        <w:spacing w:before="0" w:after="120"/>
        <w:rPr/>
      </w:pPr>
      <w:r>
        <w:rPr>
          <w:rFonts w:eastAsia="Arial" w:cs="Arial"/>
          <w:b w:val="false"/>
          <w:bCs w:val="false"/>
          <w:i w:val="false"/>
          <w:iCs w:val="false"/>
          <w:sz w:val="22"/>
          <w:szCs w:val="22"/>
        </w:rPr>
        <w:t>The process is complete when the Engagement status has transitioned to Completed, the Close Reason has been recorded, engagement outcome data has been reviewed (and optionally completed), a Closed Engagement Survey has been sent to the Primary Engagement Contact, and the mentor has sent a thank-you communication.</w:t>
      </w:r>
    </w:p>
    <w:p>
      <w:pPr>
        <w:pStyle w:val="Heading3"/>
        <w:spacing w:before="240" w:after="120"/>
        <w:rPr/>
      </w:pPr>
      <w:r>
        <w:rPr>
          <w:rFonts w:eastAsia="Arial" w:cs="Arial" w:ascii="Arial" w:hAnsi="Arial"/>
          <w:b/>
          <w:bCs/>
          <w:i w:val="false"/>
          <w:iCs w:val="false"/>
          <w:sz w:val="24"/>
          <w:szCs w:val="24"/>
        </w:rPr>
        <w:t>Process Triggers</w:t>
      </w:r>
    </w:p>
    <w:p>
      <w:pPr>
        <w:pStyle w:val="Normal"/>
        <w:spacing w:before="0" w:after="40"/>
        <w:rPr/>
      </w:pPr>
      <w:r>
        <w:rPr>
          <w:rFonts w:eastAsia="Arial" w:cs="Arial"/>
          <w:b/>
          <w:bCs/>
          <w:i w:val="false"/>
          <w:iCs w:val="false"/>
          <w:sz w:val="22"/>
          <w:szCs w:val="22"/>
        </w:rPr>
        <w:t>Preconditions</w:t>
      </w:r>
    </w:p>
    <w:p>
      <w:pPr>
        <w:pStyle w:val="Normal"/>
        <w:spacing w:before="0" w:after="120"/>
        <w:rPr/>
      </w:pPr>
      <w:r>
        <w:rPr>
          <w:rFonts w:eastAsia="Arial" w:cs="Arial"/>
          <w:b w:val="false"/>
          <w:bCs w:val="false"/>
          <w:i w:val="false"/>
          <w:iCs w:val="false"/>
          <w:sz w:val="22"/>
          <w:szCs w:val="22"/>
        </w:rPr>
        <w:t>The Engagement must be at one of the following statuses: Active, On-Hold, Dormant, or Inactive. These are the only statuses eligible for closure through this process. Engagements at Submitted, Declined, Pending Acceptance, or Assigned have never been active and have no measurable outcomes. Engagements at Abandoned or Completed are already closed.</w:t>
      </w:r>
    </w:p>
    <w:p>
      <w:pPr>
        <w:pStyle w:val="Normal"/>
        <w:spacing w:before="0" w:after="40"/>
        <w:rPr/>
      </w:pPr>
      <w:r>
        <w:rPr>
          <w:rFonts w:eastAsia="Arial" w:cs="Arial"/>
          <w:b/>
          <w:bCs/>
          <w:i w:val="false"/>
          <w:iCs w:val="false"/>
          <w:sz w:val="22"/>
          <w:szCs w:val="22"/>
        </w:rPr>
        <w:t>Required Data</w:t>
      </w:r>
    </w:p>
    <w:p>
      <w:pPr>
        <w:pStyle w:val="Normal"/>
        <w:spacing w:before="0" w:after="120"/>
        <w:rPr/>
      </w:pPr>
      <w:r>
        <w:rPr>
          <w:rFonts w:eastAsia="Arial" w:cs="Arial"/>
          <w:b w:val="false"/>
          <w:bCs w:val="false"/>
          <w:i w:val="false"/>
          <w:iCs w:val="false"/>
          <w:sz w:val="22"/>
          <w:szCs w:val="22"/>
        </w:rPr>
        <w:t>The Engagement record must exist with one of the eligible statuses. No additional data is required to initiate closure, though Close Reason must be provided during the closure action.</w:t>
      </w:r>
    </w:p>
    <w:p>
      <w:pPr>
        <w:pStyle w:val="Normal"/>
        <w:spacing w:before="0" w:after="40"/>
        <w:rPr/>
      </w:pPr>
      <w:r>
        <w:rPr>
          <w:rFonts w:eastAsia="Arial" w:cs="Arial"/>
          <w:b/>
          <w:bCs/>
          <w:i w:val="false"/>
          <w:iCs w:val="false"/>
          <w:sz w:val="22"/>
          <w:szCs w:val="22"/>
        </w:rPr>
        <w:t>Initiation Mechanism</w:t>
      </w:r>
    </w:p>
    <w:p>
      <w:pPr>
        <w:pStyle w:val="Normal"/>
        <w:spacing w:before="0" w:after="120"/>
        <w:rPr/>
      </w:pPr>
      <w:r>
        <w:rPr>
          <w:rFonts w:eastAsia="Arial" w:cs="Arial"/>
          <w:b w:val="false"/>
          <w:bCs w:val="false"/>
          <w:i w:val="false"/>
          <w:iCs w:val="false"/>
          <w:sz w:val="22"/>
          <w:szCs w:val="22"/>
        </w:rPr>
        <w:t>Manual. The mentor or Client Administrator changes the Engagement status to Completed. The system requires a Close Reason before the status change is accepted.</w:t>
      </w:r>
    </w:p>
    <w:p>
      <w:pPr>
        <w:pStyle w:val="Normal"/>
        <w:spacing w:before="0" w:after="40"/>
        <w:rPr/>
      </w:pPr>
      <w:r>
        <w:rPr>
          <w:rFonts w:eastAsia="Arial" w:cs="Arial"/>
          <w:b/>
          <w:bCs/>
          <w:i w:val="false"/>
          <w:iCs w:val="false"/>
          <w:sz w:val="22"/>
          <w:szCs w:val="22"/>
        </w:rPr>
        <w:t>Initiating Persona</w:t>
      </w:r>
    </w:p>
    <w:p>
      <w:pPr>
        <w:pStyle w:val="Normal"/>
        <w:spacing w:before="0" w:after="120"/>
        <w:rPr/>
      </w:pPr>
      <w:r>
        <w:rPr>
          <w:rFonts w:eastAsia="Arial" w:cs="Arial"/>
          <w:b w:val="false"/>
          <w:bCs w:val="false"/>
          <w:i w:val="false"/>
          <w:iCs w:val="false"/>
          <w:sz w:val="22"/>
          <w:szCs w:val="22"/>
        </w:rPr>
        <w:t>Mentor (MST-PER-011) is the typical initiator. Client Administrator (MST-PER-003) may also initiate closure, including in cases of mentor incapacitation. No special approval is required.</w:t>
      </w:r>
    </w:p>
    <w:p>
      <w:pPr>
        <w:pStyle w:val="Heading3"/>
        <w:spacing w:before="240" w:after="120"/>
        <w:rPr/>
      </w:pPr>
      <w:r>
        <w:rPr>
          <w:rFonts w:eastAsia="Arial" w:cs="Arial" w:ascii="Arial" w:hAnsi="Arial"/>
          <w:b/>
          <w:bCs/>
          <w:i w:val="false"/>
          <w:iCs w:val="false"/>
          <w:sz w:val="24"/>
          <w:szCs w:val="24"/>
        </w:rPr>
        <w:t>Personas Involved</w:t>
      </w:r>
    </w:p>
    <w:p>
      <w:pPr>
        <w:pStyle w:val="Normal"/>
        <w:spacing w:before="0" w:after="40"/>
        <w:rPr/>
      </w:pPr>
      <w:r>
        <w:rPr>
          <w:rFonts w:eastAsia="Arial" w:cs="Arial"/>
          <w:b/>
          <w:bCs/>
          <w:i w:val="false"/>
          <w:iCs w:val="false"/>
          <w:sz w:val="22"/>
          <w:szCs w:val="22"/>
        </w:rPr>
        <w:t>Mentor (MST-PER-011)</w:t>
      </w:r>
    </w:p>
    <w:p>
      <w:pPr>
        <w:pStyle w:val="Normal"/>
        <w:spacing w:before="0" w:after="120"/>
        <w:rPr/>
      </w:pPr>
      <w:r>
        <w:rPr>
          <w:rFonts w:eastAsia="Arial" w:cs="Arial"/>
          <w:b w:val="false"/>
          <w:bCs w:val="false"/>
          <w:i w:val="false"/>
          <w:iCs w:val="false"/>
          <w:sz w:val="22"/>
          <w:szCs w:val="22"/>
        </w:rPr>
        <w:t>Primary actor. Initiates closure, provides Close Reason, reviews and completes engagement outcome data, and sends the thank-you communication. Selects recipients and adds personal comments to the system-generated email template.</w:t>
      </w:r>
    </w:p>
    <w:p>
      <w:pPr>
        <w:pStyle w:val="Normal"/>
        <w:spacing w:before="0" w:after="40"/>
        <w:rPr/>
      </w:pPr>
      <w:r>
        <w:rPr>
          <w:rFonts w:eastAsia="Arial" w:cs="Arial"/>
          <w:b/>
          <w:bCs/>
          <w:i w:val="false"/>
          <w:iCs w:val="false"/>
          <w:sz w:val="22"/>
          <w:szCs w:val="22"/>
        </w:rPr>
        <w:t>Client Administrator (MST-PER-003)</w:t>
      </w:r>
    </w:p>
    <w:p>
      <w:pPr>
        <w:pStyle w:val="Normal"/>
        <w:spacing w:before="0" w:after="120"/>
        <w:rPr/>
      </w:pPr>
      <w:r>
        <w:rPr>
          <w:rFonts w:eastAsia="Arial" w:cs="Arial"/>
          <w:b w:val="false"/>
          <w:bCs w:val="false"/>
          <w:i w:val="false"/>
          <w:iCs w:val="false"/>
          <w:sz w:val="22"/>
          <w:szCs w:val="22"/>
        </w:rPr>
        <w:t>Alternate initiator. May close an engagement using the same workflow as the mentor, including in cases of mentor incapacitation. No difference in workflow regardless of who initiates.</w:t>
      </w:r>
    </w:p>
    <w:p>
      <w:pPr>
        <w:pStyle w:val="Normal"/>
        <w:spacing w:before="0" w:after="40"/>
        <w:rPr/>
      </w:pPr>
      <w:r>
        <w:rPr>
          <w:rFonts w:eastAsia="Arial" w:cs="Arial"/>
          <w:b/>
          <w:bCs/>
          <w:i w:val="false"/>
          <w:iCs w:val="false"/>
          <w:sz w:val="22"/>
          <w:szCs w:val="22"/>
        </w:rPr>
        <w:t>Client (MST-PER-013)</w:t>
      </w:r>
    </w:p>
    <w:p>
      <w:pPr>
        <w:pStyle w:val="Normal"/>
        <w:spacing w:before="0" w:after="120"/>
        <w:rPr/>
      </w:pPr>
      <w:r>
        <w:rPr>
          <w:rFonts w:eastAsia="Arial" w:cs="Arial"/>
          <w:b w:val="false"/>
          <w:bCs w:val="false"/>
          <w:i w:val="false"/>
          <w:iCs w:val="false"/>
          <w:sz w:val="22"/>
          <w:szCs w:val="22"/>
        </w:rPr>
        <w:t>Receives the Closed Engagement Survey automatically and receives the thank-you communication. Does not actively participate in the closure workflow.</w:t>
      </w:r>
    </w:p>
    <w:p>
      <w:pPr>
        <w:pStyle w:val="Heading3"/>
        <w:spacing w:before="240" w:after="120"/>
        <w:rPr/>
      </w:pPr>
      <w:r>
        <w:rPr>
          <w:rFonts w:eastAsia="Arial" w:cs="Arial" w:ascii="Arial" w:hAnsi="Arial"/>
          <w:b/>
          <w:bCs/>
          <w:i w:val="false"/>
          <w:iCs w:val="false"/>
          <w:sz w:val="24"/>
          <w:szCs w:val="24"/>
        </w:rPr>
        <w:t>Process Workflow</w:t>
      </w:r>
    </w:p>
    <w:p>
      <w:pPr>
        <w:pStyle w:val="ListParagraph"/>
        <w:numPr>
          <w:ilvl w:val="0"/>
          <w:numId w:val="11"/>
        </w:numPr>
        <w:spacing w:before="0" w:after="80"/>
        <w:rPr/>
      </w:pPr>
      <w:r>
        <w:rPr>
          <w:rFonts w:eastAsia="Arial" w:cs="Arial"/>
          <w:b w:val="false"/>
          <w:bCs w:val="false"/>
          <w:i w:val="false"/>
          <w:iCs w:val="false"/>
          <w:sz w:val="22"/>
          <w:szCs w:val="22"/>
        </w:rPr>
        <w:t>The mentor (or Client Administrator) changes the Engagement status to Completed. The system validates the eligible status.</w:t>
      </w:r>
    </w:p>
    <w:p>
      <w:pPr>
        <w:pStyle w:val="ListParagraph"/>
        <w:numPr>
          <w:ilvl w:val="0"/>
          <w:numId w:val="5"/>
        </w:numPr>
        <w:spacing w:before="0" w:after="80"/>
        <w:rPr/>
      </w:pPr>
      <w:r>
        <w:rPr>
          <w:rFonts w:eastAsia="Arial" w:cs="Arial"/>
          <w:b w:val="false"/>
          <w:bCs w:val="false"/>
          <w:i w:val="false"/>
          <w:iCs w:val="false"/>
          <w:sz w:val="22"/>
          <w:szCs w:val="22"/>
        </w:rPr>
        <w:t>The system requires a Close Reason before the status change is accepted. Available values: Goals Achieved, Client Withdrew, Inactive / No Response, Other, and any additional values defined by organizational leadership.</w:t>
      </w:r>
    </w:p>
    <w:p>
      <w:pPr>
        <w:pStyle w:val="ListParagraph"/>
        <w:numPr>
          <w:ilvl w:val="0"/>
          <w:numId w:val="5"/>
        </w:numPr>
        <w:spacing w:before="0" w:after="80"/>
        <w:rPr/>
      </w:pPr>
      <w:r>
        <w:rPr>
          <w:rFonts w:eastAsia="Arial" w:cs="Arial"/>
          <w:b w:val="false"/>
          <w:bCs w:val="false"/>
          <w:i w:val="false"/>
          <w:iCs w:val="false"/>
          <w:sz w:val="22"/>
          <w:szCs w:val="22"/>
        </w:rPr>
        <w:t>The system automatically populates the Close Date with today’s date.</w:t>
      </w:r>
    </w:p>
    <w:p>
      <w:pPr>
        <w:pStyle w:val="ListParagraph"/>
        <w:numPr>
          <w:ilvl w:val="0"/>
          <w:numId w:val="5"/>
        </w:numPr>
        <w:spacing w:before="0" w:after="80"/>
        <w:rPr/>
      </w:pPr>
      <w:r>
        <w:rPr>
          <w:rFonts w:eastAsia="Arial" w:cs="Arial"/>
          <w:b w:val="false"/>
          <w:bCs w:val="false"/>
          <w:i w:val="false"/>
          <w:iCs w:val="false"/>
          <w:sz w:val="22"/>
          <w:szCs w:val="22"/>
        </w:rPr>
        <w:t>The system presents the engagement outcome fields for review and completion: New Business Started, New Location Opened, Significant Revenue Increase, Revenue Increase Percentage, Significant Employment Increase, and Employment Increase Percentage. Completion is encouraged but not enforced.</w:t>
      </w:r>
    </w:p>
    <w:p>
      <w:pPr>
        <w:pStyle w:val="ListParagraph"/>
        <w:numPr>
          <w:ilvl w:val="0"/>
          <w:numId w:val="5"/>
        </w:numPr>
        <w:spacing w:before="0" w:after="80"/>
        <w:rPr/>
      </w:pPr>
      <w:r>
        <w:rPr>
          <w:rFonts w:eastAsia="Arial" w:cs="Arial"/>
          <w:b w:val="false"/>
          <w:bCs w:val="false"/>
          <w:i w:val="false"/>
          <w:iCs w:val="false"/>
          <w:sz w:val="22"/>
          <w:szCs w:val="22"/>
        </w:rPr>
        <w:t>The system automatically sends a Closed Engagement Survey to the Primary Engagement Contact.</w:t>
      </w:r>
    </w:p>
    <w:p>
      <w:pPr>
        <w:pStyle w:val="ListParagraph"/>
        <w:numPr>
          <w:ilvl w:val="0"/>
          <w:numId w:val="5"/>
        </w:numPr>
        <w:spacing w:before="0" w:after="80"/>
        <w:rPr/>
      </w:pPr>
      <w:r>
        <w:rPr>
          <w:rFonts w:eastAsia="Arial" w:cs="Arial"/>
          <w:b w:val="false"/>
          <w:bCs w:val="false"/>
          <w:i w:val="false"/>
          <w:iCs w:val="false"/>
          <w:sz w:val="22"/>
          <w:szCs w:val="22"/>
        </w:rPr>
        <w:t>The system generates a thank-you email from a configurable template, defaulting TO the Primary Engagement Contact with other Engagement Contacts (if any) as CC. The mentor adds personal comments, may modify recipients, and sends it.</w:t>
      </w:r>
    </w:p>
    <w:p>
      <w:pPr>
        <w:pStyle w:val="ListParagraph"/>
        <w:numPr>
          <w:ilvl w:val="0"/>
          <w:numId w:val="5"/>
        </w:numPr>
        <w:spacing w:before="0" w:after="80"/>
        <w:rPr/>
      </w:pPr>
      <w:r>
        <w:rPr>
          <w:rFonts w:eastAsia="Arial" w:cs="Arial"/>
          <w:b w:val="false"/>
          <w:bCs w:val="false"/>
          <w:i w:val="false"/>
          <w:iCs w:val="false"/>
          <w:sz w:val="22"/>
          <w:szCs w:val="22"/>
        </w:rPr>
        <w:t>Remaining Scheduled sessions are not automatically canceled. The mentor handles them at their discretion.</w:t>
      </w:r>
    </w:p>
    <w:p>
      <w:pPr>
        <w:pStyle w:val="Heading3"/>
        <w:spacing w:before="240" w:after="120"/>
        <w:rPr/>
      </w:pPr>
      <w:r>
        <w:rPr>
          <w:rFonts w:eastAsia="Arial" w:cs="Arial" w:ascii="Arial" w:hAnsi="Arial"/>
          <w:b/>
          <w:bCs/>
          <w:i w:val="false"/>
          <w:iCs w:val="false"/>
          <w:sz w:val="24"/>
          <w:szCs w:val="24"/>
        </w:rPr>
        <w:t>Process Completion</w:t>
      </w:r>
    </w:p>
    <w:p>
      <w:pPr>
        <w:pStyle w:val="Normal"/>
        <w:spacing w:before="0" w:after="40"/>
        <w:rPr/>
      </w:pPr>
      <w:r>
        <w:rPr>
          <w:rFonts w:eastAsia="Arial" w:cs="Arial"/>
          <w:b/>
          <w:bCs/>
          <w:i w:val="false"/>
          <w:iCs w:val="false"/>
          <w:sz w:val="22"/>
          <w:szCs w:val="22"/>
        </w:rPr>
        <w:t>Normal Completion</w:t>
      </w:r>
    </w:p>
    <w:p>
      <w:pPr>
        <w:pStyle w:val="Normal"/>
        <w:spacing w:before="0" w:after="120"/>
        <w:rPr/>
      </w:pPr>
      <w:r>
        <w:rPr>
          <w:rFonts w:eastAsia="Arial" w:cs="Arial"/>
          <w:b w:val="false"/>
          <w:bCs w:val="false"/>
          <w:i w:val="false"/>
          <w:iCs w:val="false"/>
          <w:sz w:val="22"/>
          <w:szCs w:val="22"/>
        </w:rPr>
        <w:t>The Engagement status transitions to Completed with a recorded Close Reason and system-populated Close Date. The Closed Engagement Survey has been sent and the thank-you communication has been sent by the mentor. Outcome data has been reviewed (completion is encouraged but not enforced).</w:t>
      </w:r>
    </w:p>
    <w:p>
      <w:pPr>
        <w:pStyle w:val="Normal"/>
        <w:spacing w:before="0" w:after="40"/>
        <w:rPr/>
      </w:pPr>
      <w:r>
        <w:rPr>
          <w:rFonts w:eastAsia="Arial" w:cs="Arial"/>
          <w:b/>
          <w:bCs/>
          <w:i w:val="false"/>
          <w:iCs w:val="false"/>
          <w:sz w:val="22"/>
          <w:szCs w:val="22"/>
        </w:rPr>
        <w:t>Reopening</w:t>
      </w:r>
    </w:p>
    <w:p>
      <w:pPr>
        <w:pStyle w:val="Normal"/>
        <w:spacing w:before="0" w:after="120"/>
        <w:rPr/>
      </w:pPr>
      <w:r>
        <w:rPr>
          <w:rFonts w:eastAsia="Arial" w:cs="Arial"/>
          <w:b w:val="false"/>
          <w:bCs w:val="false"/>
          <w:i w:val="false"/>
          <w:iCs w:val="false"/>
          <w:sz w:val="22"/>
          <w:szCs w:val="22"/>
        </w:rPr>
        <w:t>A Completed engagement may be reopened by the mentor at their discretion by changing the status back to Active. This is expected to be rare. Outcome data, Close Reason, and Close Date are retained on the record. The mentor may manually update these fields if appropriate. The system does not automatically clear any data on reopening.</w:t>
      </w:r>
    </w:p>
    <w:p>
      <w:pPr>
        <w:pStyle w:val="Normal"/>
        <w:spacing w:before="0" w:after="40"/>
        <w:rPr/>
      </w:pPr>
      <w:r>
        <w:rPr>
          <w:rFonts w:eastAsia="Arial" w:cs="Arial"/>
          <w:b/>
          <w:bCs/>
          <w:i w:val="false"/>
          <w:iCs w:val="false"/>
          <w:sz w:val="22"/>
          <w:szCs w:val="22"/>
        </w:rPr>
        <w:t>Record Retention</w:t>
      </w:r>
    </w:p>
    <w:p>
      <w:pPr>
        <w:pStyle w:val="Normal"/>
        <w:spacing w:before="0" w:after="120"/>
        <w:rPr/>
      </w:pPr>
      <w:r>
        <w:rPr>
          <w:rFonts w:eastAsia="Arial" w:cs="Arial"/>
          <w:b w:val="false"/>
          <w:bCs w:val="false"/>
          <w:i w:val="false"/>
          <w:iCs w:val="false"/>
          <w:sz w:val="22"/>
          <w:szCs w:val="22"/>
        </w:rPr>
        <w:t>All Engagement records, Session records, and closure data are retained permanently. Closure data remains on the record even if the engagement is later reopened.</w:t>
      </w:r>
    </w:p>
    <w:p>
      <w:pPr>
        <w:pStyle w:val="Normal"/>
        <w:spacing w:before="0" w:after="40"/>
        <w:rPr/>
      </w:pPr>
      <w:r>
        <w:rPr>
          <w:rFonts w:eastAsia="Arial" w:cs="Arial"/>
          <w:b/>
          <w:bCs/>
          <w:i w:val="false"/>
          <w:iCs w:val="false"/>
          <w:sz w:val="22"/>
          <w:szCs w:val="22"/>
        </w:rPr>
        <w:t>Post-Completion Handoffs</w:t>
      </w:r>
    </w:p>
    <w:p>
      <w:pPr>
        <w:pStyle w:val="Normal"/>
        <w:spacing w:before="0" w:after="120"/>
        <w:rPr/>
      </w:pPr>
      <w:r>
        <w:rPr>
          <w:rFonts w:eastAsia="Arial" w:cs="Arial"/>
          <w:b w:val="false"/>
          <w:bCs w:val="false"/>
          <w:i w:val="false"/>
          <w:iCs w:val="false"/>
          <w:sz w:val="22"/>
          <w:szCs w:val="22"/>
        </w:rPr>
        <w:t>The Closed Engagement Survey is specific to this process and distinct from periodic satisfaction surveys managed by MN-SURVEY. No other downstream processes are triggered by engagement closure.</w:t>
      </w:r>
    </w:p>
    <w:p>
      <w:pPr>
        <w:pStyle w:val="Heading3"/>
        <w:spacing w:before="240" w:after="120"/>
        <w:rPr/>
      </w:pPr>
      <w:r>
        <w:rPr>
          <w:rFonts w:eastAsia="Arial" w:cs="Arial" w:ascii="Arial" w:hAnsi="Arial"/>
          <w:b/>
          <w:bCs/>
          <w:i w:val="false"/>
          <w:iCs w:val="false"/>
          <w:sz w:val="24"/>
          <w:szCs w:val="24"/>
        </w:rPr>
        <w:t>System Requirements</w:t>
      </w:r>
    </w:p>
    <w:tbl>
      <w:tblPr>
        <w:tblW w:w="9360" w:type="dxa"/>
        <w:jc w:val="left"/>
        <w:tblInd w:w="0" w:type="dxa"/>
        <w:tblLayout w:type="fixed"/>
        <w:tblCellMar>
          <w:top w:w="60" w:type="dxa"/>
          <w:left w:w="100" w:type="dxa"/>
          <w:bottom w:w="60" w:type="dxa"/>
          <w:right w:w="100" w:type="dxa"/>
        </w:tblCellMar>
      </w:tblPr>
      <w:tblGrid>
        <w:gridCol w:w="2000"/>
        <w:gridCol w:w="7359"/>
      </w:tblGrid>
      <w:tr>
        <w:trPr/>
        <w:tc>
          <w:tcPr>
            <w:tcW w:w="20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73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Requirement</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MN-CLOSE-REQ-001</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allow closure by changing status to Completed. Only Active, On-Hold, Dormant, or Inactive engagements are eligible.</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MN-CLOSE-REQ-002</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require a Close Reason before the status change is accepted.</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MN-CLOSE-REQ-003</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automatically populate Close Date on transition to Completed.</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MN-CLOSE-REQ-004</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present engagement outcome fields at closure. Completion encouraged but not enforced.</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MN-CLOSE-REQ-005</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automatically send a Closed Engagement Survey to the Primary Engagement Contact.</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MN-CLOSE-REQ-006</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provide a configurable thank-you email template. Default TO: Primary Engagement Contact, CC: other Engagement Contacts. Mentor may modify.</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MN-CLOSE-REQ-007</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allow reopening a Completed engagement. Outcome data and Close Reason retained.</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MN-CLOSE-REQ-008</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Engagement outcome fields must be accessible at any time during the lifecycle, not only at closure.</w:t>
            </w:r>
          </w:p>
        </w:tc>
      </w:tr>
    </w:tbl>
    <w:p>
      <w:pPr>
        <w:pStyle w:val="Heading3"/>
        <w:spacing w:before="240" w:after="120"/>
        <w:rPr/>
      </w:pPr>
      <w:r>
        <w:rPr>
          <w:rFonts w:eastAsia="Arial" w:cs="Arial" w:ascii="Arial" w:hAnsi="Arial"/>
          <w:b/>
          <w:bCs/>
          <w:i w:val="false"/>
          <w:iCs w:val="false"/>
          <w:sz w:val="24"/>
          <w:szCs w:val="24"/>
        </w:rPr>
        <w:t>Process Data</w:t>
      </w:r>
    </w:p>
    <w:p>
      <w:pPr>
        <w:pStyle w:val="Normal"/>
        <w:spacing w:before="0" w:after="120"/>
        <w:rPr/>
      </w:pPr>
      <w:r>
        <w:rPr>
          <w:rFonts w:eastAsia="Arial" w:cs="Arial"/>
          <w:b w:val="false"/>
          <w:bCs w:val="false"/>
          <w:i w:val="false"/>
          <w:iCs w:val="false"/>
          <w:sz w:val="22"/>
          <w:szCs w:val="22"/>
        </w:rPr>
        <w:t>This process reads the following fields as supporting context. See Section 4 (Data Reference) for full field-level detail.</w:t>
      </w:r>
    </w:p>
    <w:p>
      <w:pPr>
        <w:pStyle w:val="Normal"/>
        <w:spacing w:before="0" w:after="120"/>
        <w:rPr/>
      </w:pPr>
      <w:r>
        <w:rPr>
          <w:rFonts w:eastAsia="Arial" w:cs="Arial"/>
          <w:b w:val="false"/>
          <w:bCs w:val="false"/>
          <w:i w:val="false"/>
          <w:iCs w:val="false"/>
          <w:sz w:val="22"/>
          <w:szCs w:val="22"/>
        </w:rPr>
        <w:t>Engagement: Status (MN-CLOSE-DAT-001), Assigned Mentor (DAT-002), Additional Mentors (DAT-003), Engagement Contacts (DAT-004), Primary Engagement Contact (DAT-019).</w:t>
      </w:r>
    </w:p>
    <w:p>
      <w:pPr>
        <w:pStyle w:val="Normal"/>
        <w:spacing w:before="0" w:after="120"/>
        <w:rPr/>
      </w:pPr>
      <w:r>
        <w:rPr>
          <w:rFonts w:eastAsia="Arial" w:cs="Arial"/>
          <w:b w:val="false"/>
          <w:bCs w:val="false"/>
          <w:i w:val="false"/>
          <w:iCs w:val="false"/>
          <w:sz w:val="22"/>
          <w:szCs w:val="22"/>
        </w:rPr>
        <w:t>Client Organization: Business Name (MN-CLOSE-DAT-005).</w:t>
      </w:r>
    </w:p>
    <w:p>
      <w:pPr>
        <w:pStyle w:val="Normal"/>
        <w:spacing w:before="0" w:after="120"/>
        <w:rPr/>
      </w:pPr>
      <w:r>
        <w:rPr>
          <w:rFonts w:eastAsia="Arial" w:cs="Arial"/>
          <w:b w:val="false"/>
          <w:bCs w:val="false"/>
          <w:i w:val="false"/>
          <w:iCs w:val="false"/>
          <w:sz w:val="22"/>
          <w:szCs w:val="22"/>
        </w:rPr>
        <w:t>Client Contact: First Name (MN-CLOSE-DAT-006), Last Name (DAT-007), Email (DAT-008), Primary Contact (DAT-009).</w:t>
      </w:r>
    </w:p>
    <w:p>
      <w:pPr>
        <w:pStyle w:val="Heading3"/>
        <w:spacing w:before="240" w:after="120"/>
        <w:rPr/>
      </w:pPr>
      <w:r>
        <w:rPr>
          <w:rFonts w:eastAsia="Arial" w:cs="Arial" w:ascii="Arial" w:hAnsi="Arial"/>
          <w:b/>
          <w:bCs/>
          <w:i w:val="false"/>
          <w:iCs w:val="false"/>
          <w:sz w:val="24"/>
          <w:szCs w:val="24"/>
        </w:rPr>
        <w:t>Data Collected</w:t>
      </w:r>
    </w:p>
    <w:p>
      <w:pPr>
        <w:pStyle w:val="Normal"/>
        <w:spacing w:before="0" w:after="120"/>
        <w:rPr/>
      </w:pPr>
      <w:r>
        <w:rPr>
          <w:rFonts w:eastAsia="Arial" w:cs="Arial"/>
          <w:b w:val="false"/>
          <w:bCs w:val="false"/>
          <w:i w:val="false"/>
          <w:iCs w:val="false"/>
          <w:sz w:val="22"/>
          <w:szCs w:val="22"/>
        </w:rPr>
        <w:t>This process creates or updates the following fields. See Section 4 (Data Reference) for full field-level detail.</w:t>
      </w:r>
    </w:p>
    <w:p>
      <w:pPr>
        <w:pStyle w:val="Normal"/>
        <w:spacing w:before="0" w:after="120"/>
        <w:rPr/>
      </w:pPr>
      <w:r>
        <w:rPr>
          <w:rFonts w:eastAsia="Arial" w:cs="Arial"/>
          <w:b w:val="false"/>
          <w:bCs w:val="false"/>
          <w:i w:val="false"/>
          <w:iCs w:val="false"/>
          <w:sz w:val="22"/>
          <w:szCs w:val="22"/>
        </w:rPr>
        <w:t>Engagement: Status (MN-CLOSE-DAT-010), Close Date (DAT-011), Close Reason (DAT-012), New Business Started (DAT-013), New Location Opened (DAT-014), Significant Revenue Increase (DAT-015), Revenue Increase Percentage (DAT-016), Significant Employment Increase (DAT-017), Employment Increase Percentage (DAT-018).</w:t>
      </w:r>
    </w:p>
    <w:p>
      <w:pPr>
        <w:pStyle w:val="Normal"/>
        <w:rPr/>
      </w:pPr>
      <w:r>
        <w:rPr/>
      </w:r>
      <w:r>
        <w:br w:type="page"/>
      </w:r>
    </w:p>
    <w:p>
      <w:pPr>
        <w:pStyle w:val="Heading1"/>
        <w:spacing w:before="0" w:after="120"/>
        <w:rPr/>
      </w:pPr>
      <w:r>
        <w:rPr>
          <w:rFonts w:eastAsia="Arial" w:cs="Arial" w:ascii="Arial" w:hAnsi="Arial"/>
          <w:b/>
          <w:bCs/>
          <w:i w:val="false"/>
          <w:iCs w:val="false"/>
          <w:sz w:val="32"/>
          <w:szCs w:val="32"/>
        </w:rPr>
        <w:t>4. Data Reference</w:t>
      </w:r>
    </w:p>
    <w:p>
      <w:pPr>
        <w:pStyle w:val="Normal"/>
        <w:spacing w:before="0" w:after="120"/>
        <w:rPr/>
      </w:pPr>
      <w:r>
        <w:rPr>
          <w:rFonts w:eastAsia="Arial" w:cs="Arial"/>
          <w:b w:val="false"/>
          <w:bCs w:val="false"/>
          <w:i w:val="false"/>
          <w:iCs w:val="false"/>
          <w:sz w:val="22"/>
          <w:szCs w:val="22"/>
        </w:rPr>
        <w:t>This section provides a consolidated view of all data in the Mentoring domain, organized by entity. Each field is listed once with its authoritative definition and a reference to all processes that define or use it. The “Defined In” column traces each field to its originating process document(s).</w:t>
      </w:r>
    </w:p>
    <w:p>
      <w:pPr>
        <w:pStyle w:val="Normal"/>
        <w:spacing w:before="0" w:after="120"/>
        <w:rPr/>
      </w:pPr>
      <w:r>
        <w:rPr/>
      </w:r>
    </w:p>
    <w:p>
      <w:pPr>
        <w:pStyle w:val="Heading2"/>
        <w:spacing w:before="240" w:after="120"/>
        <w:rPr/>
      </w:pPr>
      <w:r>
        <w:rPr>
          <w:rFonts w:eastAsia="Arial" w:cs="Arial" w:ascii="Arial" w:hAnsi="Arial"/>
          <w:b/>
          <w:bCs/>
          <w:i w:val="false"/>
          <w:iCs w:val="false"/>
          <w:sz w:val="28"/>
          <w:szCs w:val="28"/>
        </w:rPr>
        <w:t>Entity: Client Organization</w:t>
      </w:r>
    </w:p>
    <w:p>
      <w:pPr>
        <w:pStyle w:val="Normal"/>
        <w:spacing w:before="0" w:after="120"/>
        <w:rPr/>
      </w:pPr>
      <w:r>
        <w:rPr>
          <w:rFonts w:eastAsia="Arial" w:cs="Arial"/>
          <w:b w:val="false"/>
          <w:bCs w:val="false"/>
          <w:i w:val="false"/>
          <w:iCs w:val="false"/>
          <w:sz w:val="22"/>
          <w:szCs w:val="22"/>
        </w:rPr>
        <w:t>The client business receiving mentoring services. Created during Client Intake.</w:t>
      </w:r>
    </w:p>
    <w:tbl>
      <w:tblPr>
        <w:tblW w:w="9360" w:type="dxa"/>
        <w:jc w:val="left"/>
        <w:tblInd w:w="0" w:type="dxa"/>
        <w:tblLayout w:type="fixed"/>
        <w:tblCellMar>
          <w:top w:w="60" w:type="dxa"/>
          <w:left w:w="100" w:type="dxa"/>
          <w:bottom w:w="60" w:type="dxa"/>
          <w:right w:w="100" w:type="dxa"/>
        </w:tblCellMar>
      </w:tblPr>
      <w:tblGrid>
        <w:gridCol w:w="1799"/>
        <w:gridCol w:w="1000"/>
        <w:gridCol w:w="700"/>
        <w:gridCol w:w="2000"/>
        <w:gridCol w:w="801"/>
        <w:gridCol w:w="1599"/>
        <w:gridCol w:w="1460"/>
      </w:tblGrid>
      <w:tr>
        <w:trPr/>
        <w:tc>
          <w:tcPr>
            <w:tcW w:w="1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10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w:t>
            </w:r>
          </w:p>
        </w:tc>
        <w:tc>
          <w:tcPr>
            <w:tcW w:w="20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8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5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146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Defined In</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Business Name</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varchar</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MN-INTAKE-DAT-001</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INTAKE, MATCH, ENGAGE, INACTIVE, CLOSE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The legal or operating name of the client business. Optional because pre-startup applicants may not yet have a business name.</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Website</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url</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MN-INTAKE-DAT-002</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INTAKE, MATCH, ENGAGE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The client business website address, if one exists.</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Address</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address</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MN-INTAKE-DAT-003</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INTAKE, MATCH, ENGAGE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The primary business address (street, city, state, zip). Used for geographic reporting and service area tracking.</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Organization Type</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enum</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For-Profit, Non-Profit</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MN-INTAKE-DAT-004</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INTAKE, MATCH</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Whether the organization operates as a for-profit business or a nonprofit. Drives funder reporting categories.</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Business Stage</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enum</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Pre-Startup, Startup, Early Stage, Growth Stage, Established</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MN-INTAKE-DAT-005</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INTAKE, MATCH</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The stage of business development the client organization is in. Used for mentor matching and funder reporting.</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Industry Sector</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enum</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20 top-level NAICS sectors</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MN-INTAKE-DAT-006</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INTAKE, MATCH</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The primary industry sector based on NAICS. Used for mentor matching and impact reporting. Drives the Industry Subsector filter.</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Industry Subsector</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enum</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~100 subsectors filtered by Industry Sector</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MN-INTAKE-DAT-007</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INTAKE, MATCH</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The specific industry subsector within the selected Industry Sector.</w:t>
            </w:r>
          </w:p>
        </w:tc>
      </w:tr>
    </w:tbl>
    <w:p>
      <w:pPr>
        <w:pStyle w:val="Normal"/>
        <w:spacing w:before="0" w:after="120"/>
        <w:rPr/>
      </w:pPr>
      <w:r>
        <w:rPr/>
      </w:r>
    </w:p>
    <w:p>
      <w:pPr>
        <w:pStyle w:val="Heading2"/>
        <w:spacing w:before="240" w:after="120"/>
        <w:rPr/>
      </w:pPr>
      <w:r>
        <w:rPr>
          <w:rFonts w:eastAsia="Arial" w:cs="Arial" w:ascii="Arial" w:hAnsi="Arial"/>
          <w:b/>
          <w:bCs/>
          <w:i w:val="false"/>
          <w:iCs w:val="false"/>
          <w:sz w:val="28"/>
          <w:szCs w:val="28"/>
        </w:rPr>
        <w:t>Entity: Client Contact</w:t>
      </w:r>
    </w:p>
    <w:p>
      <w:pPr>
        <w:pStyle w:val="Normal"/>
        <w:spacing w:before="0" w:after="120"/>
        <w:rPr/>
      </w:pPr>
      <w:r>
        <w:rPr>
          <w:rFonts w:eastAsia="Arial" w:cs="Arial"/>
          <w:b w:val="false"/>
          <w:bCs w:val="false"/>
          <w:i w:val="false"/>
          <w:iCs w:val="false"/>
          <w:sz w:val="22"/>
          <w:szCs w:val="22"/>
        </w:rPr>
        <w:t>Individuals at the client business. Created during Client Intake; referenced across all processes for communications and session tracking.</w:t>
      </w:r>
    </w:p>
    <w:tbl>
      <w:tblPr>
        <w:tblW w:w="9360" w:type="dxa"/>
        <w:jc w:val="left"/>
        <w:tblInd w:w="0" w:type="dxa"/>
        <w:tblLayout w:type="fixed"/>
        <w:tblCellMar>
          <w:top w:w="60" w:type="dxa"/>
          <w:left w:w="100" w:type="dxa"/>
          <w:bottom w:w="60" w:type="dxa"/>
          <w:right w:w="100" w:type="dxa"/>
        </w:tblCellMar>
      </w:tblPr>
      <w:tblGrid>
        <w:gridCol w:w="1799"/>
        <w:gridCol w:w="1000"/>
        <w:gridCol w:w="700"/>
        <w:gridCol w:w="2000"/>
        <w:gridCol w:w="801"/>
        <w:gridCol w:w="1599"/>
        <w:gridCol w:w="1460"/>
      </w:tblGrid>
      <w:tr>
        <w:trPr/>
        <w:tc>
          <w:tcPr>
            <w:tcW w:w="1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10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w:t>
            </w:r>
          </w:p>
        </w:tc>
        <w:tc>
          <w:tcPr>
            <w:tcW w:w="20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8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5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146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Defined In</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First Name</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varchar</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MN-INTAKE-DAT-008</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INTAKE, ENGAGE, INACTIVE, CLOSE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The contact’s first name.</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Last Name</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varchar</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MN-INTAKE-DAT-009</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INTAKE, ENGAGE, INACTIVE, CLOSE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The contact’s last name.</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Middle Name</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varchar</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MN-INTAKE-DAT-010</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INTAKE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The contact’s middle name.</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Preferred Name</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varchar</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MN-INTAKE-DAT-011</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INTAKE, ENGAGE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The name the contact prefers to be called. Used in communications when provided.</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Email</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email</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MN-INTAKE-DAT-012</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INTAKE, ENGAGE, CLOSE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The contact’s primary email address. Used for all communications including meeting requests and surveys.</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Phone</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phone</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MN-INTAKE-DAT-013</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INTAKE, ENGAGE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The contact’s primary phone number.</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Zip Code</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varchar</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MN-INTAKE-DAT-014</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INTAKE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The contact’s zip code. Used for geographic service area reporting.</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LinkedIn Profile</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url</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MN-INTAKE-DAT-015</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INTAKE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The contact’s LinkedIn profile URL. Provides professional background context for mentors.</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Primary Contact</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bool</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MN-INTAKE-DAT-016</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INTAKE, CLOSE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Identifies this contact as the primary point of contact for the Client Organization. Distinct from the engagement-level Primary Engagement Contact.</w:t>
            </w:r>
          </w:p>
        </w:tc>
      </w:tr>
    </w:tbl>
    <w:p>
      <w:pPr>
        <w:pStyle w:val="Normal"/>
        <w:spacing w:before="0" w:after="120"/>
        <w:rPr/>
      </w:pPr>
      <w:r>
        <w:rPr/>
      </w:r>
    </w:p>
    <w:p>
      <w:pPr>
        <w:pStyle w:val="Heading2"/>
        <w:spacing w:before="240" w:after="120"/>
        <w:rPr/>
      </w:pPr>
      <w:r>
        <w:rPr>
          <w:rFonts w:eastAsia="Arial" w:cs="Arial" w:ascii="Arial" w:hAnsi="Arial"/>
          <w:b/>
          <w:bCs/>
          <w:i w:val="false"/>
          <w:iCs w:val="false"/>
          <w:sz w:val="28"/>
          <w:szCs w:val="28"/>
        </w:rPr>
        <w:t>Entity: Engagement</w:t>
      </w:r>
    </w:p>
    <w:p>
      <w:pPr>
        <w:pStyle w:val="Normal"/>
        <w:spacing w:before="0" w:after="120"/>
        <w:rPr/>
      </w:pPr>
      <w:r>
        <w:rPr>
          <w:rFonts w:eastAsia="Arial" w:cs="Arial"/>
          <w:b w:val="false"/>
          <w:bCs w:val="false"/>
          <w:i w:val="false"/>
          <w:iCs w:val="false"/>
          <w:sz w:val="22"/>
          <w:szCs w:val="22"/>
        </w:rPr>
        <w:t>The mentoring relationship linking a client to a mentor. The heaviest field set in the domain, with fields defined across all five processes.</w:t>
      </w:r>
    </w:p>
    <w:tbl>
      <w:tblPr>
        <w:tblW w:w="9360" w:type="dxa"/>
        <w:jc w:val="left"/>
        <w:tblInd w:w="0" w:type="dxa"/>
        <w:tblLayout w:type="fixed"/>
        <w:tblCellMar>
          <w:top w:w="60" w:type="dxa"/>
          <w:left w:w="100" w:type="dxa"/>
          <w:bottom w:w="60" w:type="dxa"/>
          <w:right w:w="100" w:type="dxa"/>
        </w:tblCellMar>
      </w:tblPr>
      <w:tblGrid>
        <w:gridCol w:w="1799"/>
        <w:gridCol w:w="1000"/>
        <w:gridCol w:w="700"/>
        <w:gridCol w:w="2000"/>
        <w:gridCol w:w="801"/>
        <w:gridCol w:w="1599"/>
        <w:gridCol w:w="1460"/>
      </w:tblGrid>
      <w:tr>
        <w:trPr/>
        <w:tc>
          <w:tcPr>
            <w:tcW w:w="1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10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w:t>
            </w:r>
          </w:p>
        </w:tc>
        <w:tc>
          <w:tcPr>
            <w:tcW w:w="20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8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5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146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Defined In</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Status</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enum</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Submitted, Declined, Pending Acceptance, Assigned, Active, On-Hold, Dormant, Inactive, Abandoned, Completed</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Submitted</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MN-INTAKE-DAT-017</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ALL</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The current lifecycle stage. Created at Submitted; transitions governed by all five processes. Full transition rules documented in each process.</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Primary Engagement Contact</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relationship</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MN-INTAKE-DAT-020</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ALL</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The single client contact who is the primary point of contact for this engagement. Auto-set to the submitting contact at creation. All system-generated communications TO this contact; other Engagement Contacts (if any) CC’d. Changeable by mentor or Client Administrator.</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Engagement Contacts</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relationship (many)</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MN-MATCH-DAT-021</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INTAKE, MATCH, ENGAGE, CLOSE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Additional client contacts participating beyond the Primary Engagement Contact. Optional — many engagements will have only the Primary Engagement Contact.</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Mentoring Focus Areas</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multiEnum</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TBD — see MN-INTAKE-ISS-001</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MN-INTAKE-DAT-018</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INTAKE, MATCH, ENGAGE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Areas where the client seeks mentoring assistance. Primary matching criterion. Values must align with the Mentor profile field.</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Mentoring Needs Description</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wysiwyg</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MN-INTAKE-DAT-019</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INTAKE, MATCH, ENGAGE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The client’s own description of what they are looking for in this engagement.</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Assigned Mentor</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relationship</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MN-MATCH-DAT-019</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MATCH, ENGAGE, INACTIVE, CLOSE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The primary volunteer mentor assigned to this engagement. Set during Mentor Matching.</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Additional Mentors</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relationship (many)</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MN-ENGAGE-DAT-015</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ENGAGE, CLOSE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Co-mentors or subject matter experts added by the mentor after informal coordination outside the system.</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Meeting Cadence</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enum</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Weekly, Bi-Weekly, Monthly, As Needed</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MN-ENGAGE-DAT-014</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ENGAGE, INACTIVE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Expected meeting frequency. Set after the first session. Drives inactivity monitoring thresholds.</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Engagement Notes</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wysiwyg</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MN-ENGAGE-DAT-016</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ENGAGE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Private notes by the mentor. Restricted to administrators and assigned mentors. Never visible to clients. Also documents On-Hold reasons.</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Hold End Date</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date</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MN-ENGAGE-DAT-036</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ENGAGE, INACTIVE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Expected end date for On-Hold period. Required when On-Hold. Used by Activity Monitoring as the comparison date for On-Hold engagements.</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Next Session Date/Time</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datetime</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MN-ENGAGE-DAT-022</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ENGAGE, INACTIVE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Scheduled date/time of the next meeting. Updated automatically when set on a completed Session. Resets the inactivity monitoring clock.</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Total Sessions</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int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MN-ENGAGE-DAT-018</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ENGAGE, INACTIVE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Total completed sessions. System-calculated. Read-only.</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Total Sessions (Last 30 Days)</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int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MN-ENGAGE-DAT-019</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ENGAGE, INACTIVE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Completed sessions in last 30 days. System-calculated. Read-only.</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Last Session Date</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date</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MN-ENGAGE-DAT-020</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ENGAGE, INACTIVE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Date of most recently completed session. System-calculated. Read-only.</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Total Session Hours</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float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MN-ENGAGE-DAT-021</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ENGAGE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Total hours of mentoring delivered. Calculated from Duration across completed Sessions. Read-only.</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Close Date</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date</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MN-CLOSE-DAT-011</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INTAKE, INACTIVE, CLOSE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Date the engagement was formally closed. System-populated on transition to Declined, Abandoned, or Completed. Retained on reopening.</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Close Reason</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enum</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Goals Achieved, Client Withdrew, Inactive / No Response, Other, TBD</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MN-CLOSE-DAT-012</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INACTIVE, CLOSE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Reason for closure. Required at Completed transition. “Inactive / No Response” set automatically for Abandoned. Additional values TBD (MN-CLOSE-ISS-001).</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New Business Started</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bool</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MN-CLOSE-DAT-013</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CLOSE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Whether the engagement helped the client start a new business. Accessible throughout lifecycle; closure is the final prompt.</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New Location Opened</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bool</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MN-CLOSE-DAT-014</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CLOSE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Whether the engagement resulted in a new business location.</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Significant Revenue Increase</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bool</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MN-CLOSE-DAT-015</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CLOSE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Whether the engagement resulted in a significant revenue increase.</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Revenue Increase Percentage</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float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MN-CLOSE-DAT-016</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CLOSE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Percentage increase in revenue. Independent of the yes/no field.</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Significant Employment Increase</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bool</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MN-CLOSE-DAT-017</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CLOSE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Whether the engagement resulted in a significant employment increase.</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Employment Increase Percentage</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float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MN-CLOSE-DAT-018</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CLOSE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Percentage increase in employees. Independent of the yes/no field.</w:t>
            </w:r>
          </w:p>
        </w:tc>
      </w:tr>
    </w:tbl>
    <w:p>
      <w:pPr>
        <w:pStyle w:val="Normal"/>
        <w:spacing w:before="0" w:after="120"/>
        <w:rPr/>
      </w:pPr>
      <w:r>
        <w:rPr/>
      </w:r>
    </w:p>
    <w:p>
      <w:pPr>
        <w:pStyle w:val="Heading2"/>
        <w:spacing w:before="240" w:after="120"/>
        <w:rPr/>
      </w:pPr>
      <w:r>
        <w:rPr>
          <w:rFonts w:eastAsia="Arial" w:cs="Arial" w:ascii="Arial" w:hAnsi="Arial"/>
          <w:b/>
          <w:bCs/>
          <w:i w:val="false"/>
          <w:iCs w:val="false"/>
          <w:sz w:val="28"/>
          <w:szCs w:val="28"/>
        </w:rPr>
        <w:t>Entity: Session</w:t>
      </w:r>
    </w:p>
    <w:p>
      <w:pPr>
        <w:pStyle w:val="Normal"/>
        <w:spacing w:before="0" w:after="120"/>
        <w:rPr/>
      </w:pPr>
      <w:r>
        <w:rPr>
          <w:rFonts w:eastAsia="Arial" w:cs="Arial"/>
          <w:b w:val="false"/>
          <w:bCs w:val="false"/>
          <w:i w:val="false"/>
          <w:iCs w:val="false"/>
          <w:sz w:val="22"/>
          <w:szCs w:val="22"/>
        </w:rPr>
        <w:t>Individual mentoring meetings within an engagement. Created and managed during Engagement Management.</w:t>
      </w:r>
    </w:p>
    <w:tbl>
      <w:tblPr>
        <w:tblW w:w="9360" w:type="dxa"/>
        <w:jc w:val="left"/>
        <w:tblInd w:w="0" w:type="dxa"/>
        <w:tblLayout w:type="fixed"/>
        <w:tblCellMar>
          <w:top w:w="60" w:type="dxa"/>
          <w:left w:w="100" w:type="dxa"/>
          <w:bottom w:w="60" w:type="dxa"/>
          <w:right w:w="100" w:type="dxa"/>
        </w:tblCellMar>
      </w:tblPr>
      <w:tblGrid>
        <w:gridCol w:w="1799"/>
        <w:gridCol w:w="1000"/>
        <w:gridCol w:w="700"/>
        <w:gridCol w:w="2000"/>
        <w:gridCol w:w="801"/>
        <w:gridCol w:w="1599"/>
        <w:gridCol w:w="1460"/>
      </w:tblGrid>
      <w:tr>
        <w:trPr/>
        <w:tc>
          <w:tcPr>
            <w:tcW w:w="1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10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w:t>
            </w:r>
          </w:p>
        </w:tc>
        <w:tc>
          <w:tcPr>
            <w:tcW w:w="20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8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5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146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Defined In</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Session Date/Time</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datetime</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MN-ENGAGE-DAT-023</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ENGAGE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Date and time the session is scheduled for or took place.</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Status</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enum</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Scheduled, Completed, Canceled by Client, Canceled by Mentor, Missed by Client, Rescheduled by Client, Rescheduled by Mentor</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Scheduled</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MN-ENGAGE-DAT-024</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ENGAGE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The current state of the session. Sessions are never deleted.</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Duration</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int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MN-ENGAGE-DAT-025</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ENGAGE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Session length in minutes. Required when Completed. Used to calculate Total Session Hours.</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Session Type</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enum</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In-Person, Video Call, Phone Call</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MN-ENGAGE-DAT-026</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ENGAGE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How the session was conducted. Required when Completed. Drives conditional display of location fields.</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Meeting Location Type</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enum</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Organization Office, Client’s Place of Business, Other</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MN-ENGAGE-DAT-027</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ENGAGE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Where an in-person session took place. Required when Session Type is In-Person.</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Location Details</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varchar</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MN-ENGAGE-DAT-028</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ENGAGE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Free-text description of meeting location. Shown only when Meeting Location Type is Other.</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Topics Covered</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multiEnum</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TBD — see MN-ENGAGE-ISS-002</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MN-ENGAGE-DAT-029</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ENGAGE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Topics discussed during the session. May be included in session summary email. Values TBD.</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Session Notes</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wysiwyg</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MN-ENGAGE-DAT-030</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ENGAGE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Notes entered by the mentor. May be shared with the client in the session summary at the mentor’s discretion.</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Next Steps</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wysiwyg</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MN-ENGAGE-DAT-031</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ENGAGE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Agreed-upon actions and follow-up items. May be included in the session summary email.</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Next Session Date/Time</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datetime</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MN-ENGAGE-DAT-033</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ENGAGE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When set on a Completed session, triggers automatic calendar event, meeting request, and next Session creation.</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Mentor Attendees</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relationship (many)</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MN-ENGAGE-DAT-034</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ENGAGE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Mentors present at the session. At least one required for Completed status.</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Client Attendees</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relationship (many)</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MN-ENGAGE-DAT-035</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ENGAGE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Client contacts present at the session. At least one required for Completed status.</w:t>
            </w:r>
          </w:p>
        </w:tc>
      </w:tr>
    </w:tbl>
    <w:p>
      <w:pPr>
        <w:pStyle w:val="Normal"/>
        <w:spacing w:before="0" w:after="120"/>
        <w:rPr/>
      </w:pPr>
      <w:r>
        <w:rPr/>
      </w:r>
    </w:p>
    <w:p>
      <w:pPr>
        <w:pStyle w:val="Heading2"/>
        <w:spacing w:before="240" w:after="120"/>
        <w:rPr/>
      </w:pPr>
      <w:r>
        <w:rPr>
          <w:rFonts w:eastAsia="Arial" w:cs="Arial" w:ascii="Arial" w:hAnsi="Arial"/>
          <w:b/>
          <w:bCs/>
          <w:i w:val="false"/>
          <w:iCs w:val="false"/>
          <w:sz w:val="28"/>
          <w:szCs w:val="28"/>
        </w:rPr>
        <w:t>Entity: Mentor Contact (Referenced from Mentor Recruitment Domain)</w:t>
      </w:r>
    </w:p>
    <w:p>
      <w:pPr>
        <w:pStyle w:val="Normal"/>
        <w:spacing w:before="0" w:after="120"/>
        <w:rPr/>
      </w:pPr>
      <w:r>
        <w:rPr>
          <w:rFonts w:eastAsia="Arial" w:cs="Arial"/>
          <w:b w:val="false"/>
          <w:bCs w:val="false"/>
          <w:i w:val="false"/>
          <w:iCs w:val="false"/>
          <w:sz w:val="22"/>
          <w:szCs w:val="22"/>
        </w:rPr>
        <w:t>The following fields are defined and owned by the Mentor Recruitment (MR) domain. They are referenced here as read-only process data for the Mentor Matching process.</w:t>
      </w:r>
    </w:p>
    <w:tbl>
      <w:tblPr>
        <w:tblW w:w="9360" w:type="dxa"/>
        <w:jc w:val="left"/>
        <w:tblInd w:w="0" w:type="dxa"/>
        <w:tblLayout w:type="fixed"/>
        <w:tblCellMar>
          <w:top w:w="60" w:type="dxa"/>
          <w:left w:w="100" w:type="dxa"/>
          <w:bottom w:w="60" w:type="dxa"/>
          <w:right w:w="100" w:type="dxa"/>
        </w:tblCellMar>
      </w:tblPr>
      <w:tblGrid>
        <w:gridCol w:w="1799"/>
        <w:gridCol w:w="1000"/>
        <w:gridCol w:w="700"/>
        <w:gridCol w:w="2000"/>
        <w:gridCol w:w="801"/>
        <w:gridCol w:w="1599"/>
        <w:gridCol w:w="1460"/>
      </w:tblGrid>
      <w:tr>
        <w:trPr/>
        <w:tc>
          <w:tcPr>
            <w:tcW w:w="1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10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w:t>
            </w:r>
          </w:p>
        </w:tc>
        <w:tc>
          <w:tcPr>
            <w:tcW w:w="20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8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5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146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Defined In</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Industry Sectors</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multiEnum</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Same as Client Org Industry Sector</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MN-MATCH-DAT-011</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MATCH (ref MR)</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Industry sectors where the mentor has experience. Compared against client’s Industry Sector.</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Mentoring Focus Areas</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multiEnum</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Same as Engagement Focus Areas</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MN-MATCH-DAT-012</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MATCH (ref MR)</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Areas where the mentor can provide guidance. Compared against client’s Mentoring Focus Areas.</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Skills and Expertise Tags</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multiEnum</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TBD — see MR-ISS-001</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MN-MATCH-DAT-013</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MATCH (ref MR)</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Finer-grained expertise tags for advanced matching.</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Fluent Languages</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multiEnum</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MN-MATCH-DAT-014</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MATCH (ref MR)</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Languages the mentor is fluent in. For matching clients who prefer a non-English language.</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Mentor Status</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enum</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Submitted, In Review, Provisional, Active, Paused, Inactive, Resigned, Departed, Declined</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MN-MATCH-DAT-015</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MATCH (ref MR)</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Only Active mentors are eligible for new assignments.</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Accepting New Clients</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bool</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MN-MATCH-DAT-016</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MATCH (ref MR)</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Whether the mentor is available for new assignments.</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Maximum Client Capacity</w:t>
            </w:r>
          </w:p>
        </w:tc>
        <w:tc>
          <w:tcPr>
            <w:tcW w:w="1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int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MN-MATCH-DAT-017</w:t>
            </w:r>
          </w:p>
        </w:tc>
        <w:tc>
          <w:tcPr>
            <w:tcW w:w="14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MATCH (ref MR)</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val="false"/>
                <w:iCs w:val="false"/>
                <w:color w:val="888888"/>
                <w:sz w:val="20"/>
                <w:szCs w:val="20"/>
              </w:rPr>
              <w:t>Maximum simultaneous active engagements.</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Available Capacity</w:t>
            </w:r>
          </w:p>
        </w:tc>
        <w:tc>
          <w:tcPr>
            <w:tcW w:w="1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int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MN-MATCH-DAT-018</w:t>
            </w:r>
          </w:p>
        </w:tc>
        <w:tc>
          <w:tcPr>
            <w:tcW w:w="14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MATCH (ref MR)</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val="false"/>
                <w:iCs w:val="false"/>
                <w:color w:val="888888"/>
                <w:sz w:val="20"/>
                <w:szCs w:val="20"/>
              </w:rPr>
              <w:t>Additional engagements the mentor can accept. System-calculated.</w:t>
            </w:r>
          </w:p>
        </w:tc>
      </w:tr>
    </w:tbl>
    <w:p>
      <w:pPr>
        <w:pStyle w:val="Normal"/>
        <w:rPr/>
      </w:pPr>
      <w:r>
        <w:rPr/>
      </w:r>
      <w:r>
        <w:br w:type="page"/>
      </w:r>
    </w:p>
    <w:p>
      <w:pPr>
        <w:pStyle w:val="Heading1"/>
        <w:spacing w:before="0" w:after="120"/>
        <w:rPr/>
      </w:pPr>
      <w:r>
        <w:rPr>
          <w:rFonts w:eastAsia="Arial" w:cs="Arial" w:ascii="Arial" w:hAnsi="Arial"/>
          <w:b/>
          <w:bCs/>
          <w:i w:val="false"/>
          <w:iCs w:val="false"/>
          <w:sz w:val="32"/>
          <w:szCs w:val="32"/>
        </w:rPr>
        <w:t>5. Decisions Made</w:t>
      </w:r>
    </w:p>
    <w:p>
      <w:pPr>
        <w:pStyle w:val="Normal"/>
        <w:spacing w:before="0" w:after="120"/>
        <w:rPr/>
      </w:pPr>
      <w:r>
        <w:rPr>
          <w:rFonts w:eastAsia="Arial" w:cs="Arial"/>
          <w:b w:val="false"/>
          <w:bCs w:val="false"/>
          <w:i w:val="false"/>
          <w:iCs w:val="false"/>
          <w:sz w:val="22"/>
          <w:szCs w:val="22"/>
        </w:rPr>
        <w:t>The following decisions were made during the process definition conversations and during domain reconciliation. Decisions from process interviews are compiled from the Interview Transcript sections of each process document. Reconciliation decisions were made during this Domain PRD assembly.</w:t>
      </w:r>
    </w:p>
    <w:p>
      <w:pPr>
        <w:pStyle w:val="Normal"/>
        <w:spacing w:before="0" w:after="120"/>
        <w:rPr/>
      </w:pPr>
      <w:r>
        <w:rPr/>
      </w:r>
    </w:p>
    <w:tbl>
      <w:tblPr>
        <w:tblW w:w="9360" w:type="dxa"/>
        <w:jc w:val="left"/>
        <w:tblInd w:w="0" w:type="dxa"/>
        <w:tblLayout w:type="fixed"/>
        <w:tblCellMar>
          <w:top w:w="60" w:type="dxa"/>
          <w:left w:w="100" w:type="dxa"/>
          <w:bottom w:w="60" w:type="dxa"/>
          <w:right w:w="100" w:type="dxa"/>
        </w:tblCellMar>
      </w:tblPr>
      <w:tblGrid>
        <w:gridCol w:w="1799"/>
        <w:gridCol w:w="3500"/>
        <w:gridCol w:w="2201"/>
        <w:gridCol w:w="1859"/>
      </w:tblGrid>
      <w:tr>
        <w:trPr/>
        <w:tc>
          <w:tcPr>
            <w:tcW w:w="1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35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Decision</w:t>
            </w:r>
          </w:p>
        </w:tc>
        <w:tc>
          <w:tcPr>
            <w:tcW w:w="22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Rationale</w:t>
            </w:r>
          </w:p>
        </w:tc>
        <w:tc>
          <w:tcPr>
            <w:tcW w:w="18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Made During</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MN-RECON-DEC-001</w:t>
            </w:r>
          </w:p>
        </w:tc>
        <w:tc>
          <w:tcPr>
            <w:tcW w:w="35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Primary Engagement Contact added as a required field on Engagement, separate from the optional Engagement Contacts relationship.</w:t>
            </w:r>
          </w:p>
        </w:tc>
        <w:tc>
          <w:tcPr>
            <w:tcW w:w="2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Structural gap discovered during reconciliation: no way to identify which contact is the primary for a specific engagement. Engagement Contacts became optional additional contacts.</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Reconciliation</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MN-RECON-DEC-002</w:t>
            </w:r>
          </w:p>
        </w:tc>
        <w:tc>
          <w:tcPr>
            <w:tcW w:w="35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Engagement Contacts required status resolved as No across all processes.</w:t>
            </w:r>
          </w:p>
        </w:tc>
        <w:tc>
          <w:tcPr>
            <w:tcW w:w="2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With Primary Engagement Contact as a separate required field, additional contacts are optional. Many engagements will have only one contact.</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Reconciliation</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MN-RECON-DEC-003</w:t>
            </w:r>
          </w:p>
        </w:tc>
        <w:tc>
          <w:tcPr>
            <w:tcW w:w="35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All system-generated client-facing communications follow TO/CC pattern: TO Primary Engagement Contact, CC other Engagement Contacts if any.</w:t>
            </w:r>
          </w:p>
        </w:tc>
        <w:tc>
          <w:tcPr>
            <w:tcW w:w="2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Establishes a consistent communication addressing rule across all processes.</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Reconciliation</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MN-RECON-DEC-004</w:t>
            </w:r>
          </w:p>
        </w:tc>
        <w:tc>
          <w:tcPr>
            <w:tcW w:w="35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MN-MATCH Engagement Contacts description corrected in Data Reference.</w:t>
            </w:r>
          </w:p>
        </w:tc>
        <w:tc>
          <w:tcPr>
            <w:tcW w:w="2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MN-MATCH v2.1 retained stale description referencing “defaults to Primary Contact if empty.” Corrected to reflect the new Primary Engagement Contact field.</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Reconciliation</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MN-INTAKE-DEC</w:t>
            </w:r>
          </w:p>
        </w:tc>
        <w:tc>
          <w:tcPr>
            <w:tcW w:w="35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Mentoring Focus Areas and Mentoring Needs Description placed on Engagement, not Client Organization.</w:t>
            </w:r>
          </w:p>
        </w:tc>
        <w:tc>
          <w:tcPr>
            <w:tcW w:w="2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These describe engagement-specific needs, not business characteristics.</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MN-INTAKE</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MN-INTAKE-DEC</w:t>
            </w:r>
          </w:p>
        </w:tc>
        <w:tc>
          <w:tcPr>
            <w:tcW w:w="35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Close Date and Close Reason removed from MN-INTAKE; defined in MN-CLOSE.</w:t>
            </w:r>
          </w:p>
        </w:tc>
        <w:tc>
          <w:tcPr>
            <w:tcW w:w="2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Only relevant at formal closure.</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MN-INTAKE</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MN-MATCH-DEC</w:t>
            </w:r>
          </w:p>
        </w:tc>
        <w:tc>
          <w:tcPr>
            <w:tcW w:w="35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Replaced system verification with a list filter that does not prevent override.</w:t>
            </w:r>
          </w:p>
        </w:tc>
        <w:tc>
          <w:tcPr>
            <w:tcW w:w="2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Better UX — coordinator sees eligible mentors upfront but retains discretion.</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MN-MATCH</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MN-MATCH-DEC</w:t>
            </w:r>
          </w:p>
        </w:tc>
        <w:tc>
          <w:tcPr>
            <w:tcW w:w="35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Merged nomination, status transition, and notification into a single workflow step.</w:t>
            </w:r>
          </w:p>
        </w:tc>
        <w:tc>
          <w:tcPr>
            <w:tcW w:w="2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Status change and notification are consequences of the coordinator’s action.</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MN-MATCH</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MN-ENGAGE-DEC</w:t>
            </w:r>
          </w:p>
        </w:tc>
        <w:tc>
          <w:tcPr>
            <w:tcW w:w="35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On-Hold set by Mentor only, not Client Administrator.</w:t>
            </w:r>
          </w:p>
        </w:tc>
        <w:tc>
          <w:tcPr>
            <w:tcW w:w="2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Reflects actual workflow — the mentor manages the relationship.</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MN-ENGAGE</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MN-ENGAGE-DEC</w:t>
            </w:r>
          </w:p>
        </w:tc>
        <w:tc>
          <w:tcPr>
            <w:tcW w:w="35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Co-mentors and SMEs stored as a single Additional Mentors relationship.</w:t>
            </w:r>
          </w:p>
        </w:tc>
        <w:tc>
          <w:tcPr>
            <w:tcW w:w="2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 need to distinguish types in the data model.</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MN-ENGAGE</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MN-ENGAGE-DEC</w:t>
            </w:r>
          </w:p>
        </w:tc>
        <w:tc>
          <w:tcPr>
            <w:tcW w:w="35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Engagement Notes (private) and Session Notes (shareable) are separate fields.</w:t>
            </w:r>
          </w:p>
        </w:tc>
        <w:tc>
          <w:tcPr>
            <w:tcW w:w="2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Different visibility rules and usage patterns.</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MN-ENGAGE</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MN-ENGAGE-DEC</w:t>
            </w:r>
          </w:p>
        </w:tc>
        <w:tc>
          <w:tcPr>
            <w:tcW w:w="35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Capacity enforcement is MN-MATCH’s responsibility, not MN-ENGAGE’s.</w:t>
            </w:r>
          </w:p>
        </w:tc>
        <w:tc>
          <w:tcPr>
            <w:tcW w:w="2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MN-ENGAGE only needs multi-engagement support, not limit enforcement.</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MN-ENGAGE</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MN-INACTIVE-DEC</w:t>
            </w:r>
          </w:p>
        </w:tc>
        <w:tc>
          <w:tcPr>
            <w:tcW w:w="35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Hold End Date required when placing an engagement On-Hold.</w:t>
            </w:r>
          </w:p>
        </w:tc>
        <w:tc>
          <w:tcPr>
            <w:tcW w:w="2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Prevents indefinite holds; gives Activity Monitoring a comparison date.</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MN-INACTIVE</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MN-INACTIVE-DEC</w:t>
            </w:r>
          </w:p>
        </w:tc>
        <w:tc>
          <w:tcPr>
            <w:tcW w:w="35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As Needed cadence uses a configurable system default in days.</w:t>
            </w:r>
          </w:p>
        </w:tc>
        <w:tc>
          <w:tcPr>
            <w:tcW w:w="2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 obvious numeric base for As Needed; configurable default is flexible.</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MN-INACTIVE</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MN-INACTIVE-DEC</w:t>
            </w:r>
          </w:p>
        </w:tc>
        <w:tc>
          <w:tcPr>
            <w:tcW w:w="35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 client-facing notifications from Activity Monitoring.</w:t>
            </w:r>
          </w:p>
        </w:tc>
        <w:tc>
          <w:tcPr>
            <w:tcW w:w="2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Client outreach is a human decision, not automated.</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MN-INACTIVE</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MN-INACTIVE-DEC</w:t>
            </w:r>
          </w:p>
        </w:tc>
        <w:tc>
          <w:tcPr>
            <w:tcW w:w="35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Configurable escalation multiplier (default 2x) and configurable notification templates added.</w:t>
            </w:r>
          </w:p>
        </w:tc>
        <w:tc>
          <w:tcPr>
            <w:tcW w:w="2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Allows CBM to tune thresholds and messaging without process revision.</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MN-INACTIVE</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MN-CLOSE-DEC</w:t>
            </w:r>
          </w:p>
        </w:tc>
        <w:tc>
          <w:tcPr>
            <w:tcW w:w="35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Eligible statuses for closure are strictly Active, On-Hold, Dormant, and Inactive.</w:t>
            </w:r>
          </w:p>
        </w:tc>
        <w:tc>
          <w:tcPr>
            <w:tcW w:w="2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Engagements that were never active have no measurable outcomes.</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MN-CLOSE</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MN-CLOSE-DEC</w:t>
            </w:r>
          </w:p>
        </w:tc>
        <w:tc>
          <w:tcPr>
            <w:tcW w:w="35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New Business Started moved from Session to Engagement entity.</w:t>
            </w:r>
          </w:p>
        </w:tc>
        <w:tc>
          <w:tcPr>
            <w:tcW w:w="2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Tracking per-session is not important; it’s an overall engagement outcome.</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MN-CLOSE</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MN-CLOSE-DEC</w:t>
            </w:r>
          </w:p>
        </w:tc>
        <w:tc>
          <w:tcPr>
            <w:tcW w:w="35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Outcome fields are optional and accessible throughout the lifecycle.</w:t>
            </w:r>
          </w:p>
        </w:tc>
        <w:tc>
          <w:tcPr>
            <w:tcW w:w="2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Mentor can enter at any time; closure is the final prompt.</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MN-CLOSE</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MN-CLOSE-DEC</w:t>
            </w:r>
          </w:p>
        </w:tc>
        <w:tc>
          <w:tcPr>
            <w:tcW w:w="35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Reopening retains all closure data; mentor may manually update.</w:t>
            </w:r>
          </w:p>
        </w:tc>
        <w:tc>
          <w:tcPr>
            <w:tcW w:w="2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Data integrity preferred over convenience; expected to be rare.</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MN-CLOSE</w:t>
            </w:r>
          </w:p>
        </w:tc>
      </w:tr>
    </w:tbl>
    <w:p>
      <w:pPr>
        <w:pStyle w:val="Normal"/>
        <w:rPr/>
      </w:pPr>
      <w:r>
        <w:rPr/>
      </w:r>
      <w:r>
        <w:br w:type="page"/>
      </w:r>
    </w:p>
    <w:p>
      <w:pPr>
        <w:pStyle w:val="Heading1"/>
        <w:spacing w:before="0" w:after="120"/>
        <w:rPr/>
      </w:pPr>
      <w:r>
        <w:rPr>
          <w:rFonts w:eastAsia="Arial" w:cs="Arial" w:ascii="Arial" w:hAnsi="Arial"/>
          <w:b/>
          <w:bCs/>
          <w:i w:val="false"/>
          <w:iCs w:val="false"/>
          <w:sz w:val="32"/>
          <w:szCs w:val="32"/>
        </w:rPr>
        <w:t>6. Open Issues</w:t>
      </w:r>
    </w:p>
    <w:p>
      <w:pPr>
        <w:pStyle w:val="Normal"/>
        <w:spacing w:before="0" w:after="120"/>
        <w:rPr/>
      </w:pPr>
      <w:r>
        <w:rPr>
          <w:rFonts w:eastAsia="Arial" w:cs="Arial"/>
          <w:b w:val="false"/>
          <w:bCs w:val="false"/>
          <w:i w:val="false"/>
          <w:iCs w:val="false"/>
          <w:sz w:val="22"/>
          <w:szCs w:val="22"/>
        </w:rPr>
        <w:t>The following unresolved issues were identified across the process definition conversations. All must be resolved before implementation.</w:t>
      </w:r>
    </w:p>
    <w:p>
      <w:pPr>
        <w:pStyle w:val="Normal"/>
        <w:spacing w:before="0" w:after="120"/>
        <w:rPr/>
      </w:pPr>
      <w:r>
        <w:rPr/>
      </w:r>
    </w:p>
    <w:tbl>
      <w:tblPr>
        <w:tblW w:w="9360" w:type="dxa"/>
        <w:jc w:val="left"/>
        <w:tblInd w:w="0" w:type="dxa"/>
        <w:tblLayout w:type="fixed"/>
        <w:tblCellMar>
          <w:top w:w="60" w:type="dxa"/>
          <w:left w:w="100" w:type="dxa"/>
          <w:bottom w:w="60" w:type="dxa"/>
          <w:right w:w="100" w:type="dxa"/>
        </w:tblCellMar>
      </w:tblPr>
      <w:tblGrid>
        <w:gridCol w:w="1799"/>
        <w:gridCol w:w="2801"/>
        <w:gridCol w:w="2400"/>
        <w:gridCol w:w="2359"/>
      </w:tblGrid>
      <w:tr>
        <w:trPr/>
        <w:tc>
          <w:tcPr>
            <w:tcW w:w="1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28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Issue</w:t>
            </w:r>
          </w:p>
        </w:tc>
        <w:tc>
          <w:tcPr>
            <w:tcW w:w="24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Question</w:t>
            </w:r>
          </w:p>
        </w:tc>
        <w:tc>
          <w:tcPr>
            <w:tcW w:w="23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Needs Input From</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MN-INTAKE-ISS-001</w:t>
            </w:r>
          </w:p>
        </w:tc>
        <w:tc>
          <w:tcPr>
            <w:tcW w:w="2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Mentoring Focus Areas: complete list of allowed values not defined.</w:t>
            </w:r>
          </w:p>
        </w:tc>
        <w:tc>
          <w:tcPr>
            <w:tcW w:w="2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What are the allowed values? Must align with the corresponding field on the Mentor profile.</w:t>
            </w:r>
          </w:p>
        </w:tc>
        <w:tc>
          <w:tcPr>
            <w:tcW w:w="2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CBM program leadership + MR domain definition</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MN-ENGAGE-ISS-001</w:t>
            </w:r>
          </w:p>
        </w:tc>
        <w:tc>
          <w:tcPr>
            <w:tcW w:w="2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Automatic video conferencing link generation for meeting requests.</w:t>
            </w:r>
          </w:p>
        </w:tc>
        <w:tc>
          <w:tcPr>
            <w:tcW w:w="24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How can the system automatically generate a video conferencing link when creating a meeting request from Next Session Date/Time?</w:t>
            </w:r>
          </w:p>
        </w:tc>
        <w:tc>
          <w:tcPr>
            <w:tcW w:w="2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Technology Administrator</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MN-ENGAGE-ISS-002</w:t>
            </w:r>
          </w:p>
        </w:tc>
        <w:tc>
          <w:tcPr>
            <w:tcW w:w="2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Topics Covered: complete list of allowed values not defined.</w:t>
            </w:r>
          </w:p>
        </w:tc>
        <w:tc>
          <w:tcPr>
            <w:tcW w:w="2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What topics should be available for session tracking?</w:t>
            </w:r>
          </w:p>
        </w:tc>
        <w:tc>
          <w:tcPr>
            <w:tcW w:w="2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CBM program leadership</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MN-CLOSE-ISS-001</w:t>
            </w:r>
          </w:p>
        </w:tc>
        <w:tc>
          <w:tcPr>
            <w:tcW w:w="2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Close Reason: complete list of allowed values needs finalization.</w:t>
            </w:r>
          </w:p>
        </w:tc>
        <w:tc>
          <w:tcPr>
            <w:tcW w:w="24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Are Goals Achieved, Client Withdrew, Inactive / No Response, and Other sufficient, or are additional values needed?</w:t>
            </w:r>
          </w:p>
        </w:tc>
        <w:tc>
          <w:tcPr>
            <w:tcW w:w="2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CBM program leadership</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MN-CLOSE-ISS-002</w:t>
            </w:r>
          </w:p>
        </w:tc>
        <w:tc>
          <w:tcPr>
            <w:tcW w:w="28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Additional engagement outcome metrics may be needed.</w:t>
            </w:r>
          </w:p>
        </w:tc>
        <w:tc>
          <w:tcPr>
            <w:tcW w:w="2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Beyond the six defined outcome fields, are there additional metrics for analytics?</w:t>
            </w:r>
          </w:p>
        </w:tc>
        <w:tc>
          <w:tcPr>
            <w:tcW w:w="2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CBM program leadership</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MN-CLOSE-ISS-003</w:t>
            </w:r>
          </w:p>
        </w:tc>
        <w:tc>
          <w:tcPr>
            <w:tcW w:w="28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Closed Engagement Survey response tracking: CRM or external tool?</w:t>
            </w:r>
          </w:p>
        </w:tc>
        <w:tc>
          <w:tcPr>
            <w:tcW w:w="24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Should survey responses be captured as CRM fields or handled by an external survey tool?</w:t>
            </w:r>
          </w:p>
        </w:tc>
        <w:tc>
          <w:tcPr>
            <w:tcW w:w="2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CBM program leadership + Technology Administrator</w:t>
            </w:r>
          </w:p>
        </w:tc>
      </w:tr>
    </w:tbl>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1F3864"/>
      </w:pBdr>
      <w:spacing w:before="0" w:after="0"/>
      <w:rPr/>
    </w:pPr>
    <w:r>
      <w:rPr>
        <w:rFonts w:eastAsia="Arial" w:cs="Arial"/>
        <w:b w:val="false"/>
        <w:bCs w:val="false"/>
        <w:i w:val="false"/>
        <w:iCs w:val="false"/>
        <w:color w:val="999999"/>
        <w:sz w:val="16"/>
        <w:szCs w:val="16"/>
      </w:rPr>
      <w:t>Domain PRD — Mentoring Domain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1F3864"/>
      </w:pBdr>
      <w:spacing w:before="0" w:after="0"/>
      <w:rPr/>
    </w:pPr>
    <w:r>
      <w:rPr>
        <w:rFonts w:eastAsia="Arial" w:cs="Arial"/>
        <w:b w:val="false"/>
        <w:bCs w:val="false"/>
        <w:i w:val="false"/>
        <w:iCs w:val="false"/>
        <w:color w:val="999999"/>
        <w:sz w:val="16"/>
        <w:szCs w:val="16"/>
      </w:rPr>
      <w:t>Domain PRD — Mentoring Domain</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3864"/>
      </w:pBdr>
      <w:spacing w:before="0" w:after="0"/>
      <w:rPr/>
    </w:pPr>
    <w:r>
      <w:rPr>
        <w:rFonts w:eastAsia="Arial" w:cs="Arial"/>
        <w:b w:val="false"/>
        <w:bCs w:val="false"/>
        <w:i w:val="false"/>
        <w:iCs w:val="false"/>
        <w:color w:val="666666"/>
        <w:sz w:val="18"/>
        <w:szCs w:val="18"/>
      </w:rPr>
      <w:t>Cleveland Business Mentors</w:t>
    </w:r>
    <w:r>
      <w:rPr/>
      <w:tab/>
    </w:r>
    <w:r>
      <w:rPr>
        <w:rFonts w:eastAsia="Arial" w:cs="Arial"/>
        <w:b w:val="false"/>
        <w:bCs w:val="false"/>
        <w:i w:val="false"/>
        <w:iCs w:val="false"/>
        <w:color w:val="666666"/>
        <w:sz w:val="18"/>
        <w:szCs w:val="18"/>
      </w:rPr>
      <w:t>Mentoring Domain PRD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3864"/>
      </w:pBdr>
      <w:spacing w:before="0" w:after="0"/>
      <w:rPr/>
    </w:pPr>
    <w:r>
      <w:rPr>
        <w:rFonts w:eastAsia="Arial" w:cs="Arial"/>
        <w:b w:val="false"/>
        <w:bCs w:val="false"/>
        <w:i w:val="false"/>
        <w:iCs w:val="false"/>
        <w:color w:val="666666"/>
        <w:sz w:val="18"/>
        <w:szCs w:val="18"/>
      </w:rPr>
      <w:t>Cleveland Business Mentors</w:t>
    </w:r>
    <w:r>
      <w:rPr/>
      <w:tab/>
    </w:r>
    <w:r>
      <w:rPr>
        <w:rFonts w:eastAsia="Arial" w:cs="Arial"/>
        <w:b w:val="false"/>
        <w:bCs w:val="false"/>
        <w:i w:val="false"/>
        <w:iCs w:val="false"/>
        <w:color w:val="666666"/>
        <w:sz w:val="18"/>
        <w:szCs w:val="18"/>
      </w:rPr>
      <w:t>Mentoring Domain PRD</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5"/>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F3864"/>
      <w:sz w:val="32"/>
      <w:szCs w:val="32"/>
    </w:rPr>
  </w:style>
  <w:style w:type="paragraph" w:styleId="Heading2">
    <w:name w:val="Heading 2"/>
    <w:basedOn w:val="Heading"/>
    <w:qFormat/>
    <w:pPr>
      <w:spacing w:before="240" w:after="120"/>
      <w:outlineLvl w:val="1"/>
    </w:pPr>
    <w:rPr>
      <w:rFonts w:ascii="Arial" w:hAnsi="Arial" w:eastAsia="Arial" w:cs="Arial"/>
      <w:b/>
      <w:bCs/>
      <w:color w:val="1F3864"/>
      <w:sz w:val="28"/>
      <w:szCs w:val="28"/>
    </w:rPr>
  </w:style>
  <w:style w:type="paragraph" w:styleId="Heading3">
    <w:name w:val="Heading 3"/>
    <w:basedOn w:val="Heading"/>
    <w:qFormat/>
    <w:pPr>
      <w:spacing w:before="200" w:after="100"/>
      <w:outlineLvl w:val="2"/>
    </w:pPr>
    <w:rPr>
      <w:rFonts w:ascii="Arial" w:hAnsi="Arial" w:eastAsia="Arial" w:cs="Arial"/>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30</Pages>
  <Words>7610</Words>
  <Characters>48942</Characters>
  <CharactersWithSpaces>55602</CharactersWithSpaces>
  <Paragraphs>1032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2026-04-01T05:24:56Z</dcterms:created>
  <dc:creator>Un-named</dc:creator>
  <dc:description/>
  <dc:language>en-US</dc:language>
  <cp:lastModifiedBy/>
  <dcterms:modified xsi:type="dcterms:W3CDTF">2026-04-06T12:27:18Z</dcterms:modified>
  <cp:revision>2</cp:revision>
  <dc:subject/>
  <dc:title/>
</cp:coreProperties>
</file>