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val="false"/>
          <w:bCs w:val="false"/>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8"/>
          <w:szCs w:val="48"/>
        </w:rPr>
        <w:t xml:space="preserve">Entity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Inventory</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 (CBM)</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Target Platform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EspoCRM</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t>1.4</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t>04-09-26 23:42</w:t>
            </w:r>
          </w:p>
        </w:tc>
      </w:tr>
    </w:tbl>
    <w:p>
      <w:pPr>
        <w:spacing w:after="120"/>
      </w:pPr>
      <w:r>
        <w:rPr>
          <w:rFonts w:ascii="Arial" w:cs="Arial" w:eastAsia="Arial" w:hAnsi="Arial"/>
          <w:b w:val="false"/>
          <w:bCs w:val="false"/>
          <w:i w:val="false"/>
          <w:iCs w:val="false"/>
          <w:sz w:val="22"/>
          <w:szCs w:val="22"/>
        </w:rP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i w:val="false"/>
          <w:iCs w:val="false"/>
          <w:color w:val="1F3864"/>
          <w:sz w:val="32"/>
          <w:szCs w:val="32"/>
        </w:rPr>
        <w:t xml:space="preserve">1. Overview</w:t>
      </w:r>
    </w:p>
    <w:p>
      <w:pPr>
        <w:spacing w:after="120"/>
      </w:pPr>
      <w:r>
        <w:rPr>
          <w:rFonts w:ascii="Arial" w:cs="Arial" w:eastAsia="Arial" w:hAnsi="Arial"/>
          <w:b w:val="false"/>
          <w:bCs w:val="false"/>
          <w:i w:val="false"/>
          <w:iCs w:val="false"/>
          <w:sz w:val="22"/>
          <w:szCs w:val="22"/>
        </w:rPr>
        <w:t xml:space="preserve">This document maps every business entity concept identified in the CBM Master PRD and completed domain documents to actual CRM entities on the EspoCRM platform. It establishes which entities are native (already exist on the platform) and which must be created as custom entities, how shared entities distinguish between types using discriminator fields, and which domains contribute fields to each entity.</w:t>
      </w:r>
    </w:p>
    <w:p>
      <w:pPr>
        <w:spacing w:after="120"/>
      </w:pPr>
      <w:r>
        <w:rPr>
          <w:rFonts w:ascii="Arial" w:cs="Arial" w:eastAsia="Arial" w:hAnsi="Arial"/>
          <w:b w:val="false"/>
          <w:bCs w:val="false"/>
          <w:i w:val="false"/>
          <w:iCs w:val="false"/>
          <w:sz w:val="22"/>
          <w:szCs w:val="22"/>
        </w:rPr>
        <w:t xml:space="preserve">The Entity Inventory is the bridge between business language (used in PRDs and process documents) and CRM implementation (used in YAML program files and Entity PRDs). Without this mapping, process documents treat concepts like Client Contact and Mentor Contact as separate entities when they actually map to the same CRM entity.</w:t>
      </w:r>
    </w:p>
    <w:p>
      <w:pPr>
        <w:spacing w:after="120"/>
      </w:pPr>
      <w:r>
        <w:rPr>
          <w:rFonts w:ascii="Arial" w:cs="Arial" w:eastAsia="Arial" w:hAnsi="Arial"/>
          <w:b/>
          <w:bCs/>
          <w:i w:val="false"/>
          <w:iCs w:val="false"/>
          <w:sz w:val="22"/>
          <w:szCs w:val="22"/>
        </w:rPr>
        <w:t xml:space="preserve">Target Platform: </w:t>
      </w:r>
      <w:r>
        <w:rPr>
          <w:rFonts w:ascii="Arial" w:cs="Arial" w:eastAsia="Arial" w:hAnsi="Arial"/>
          <w:b w:val="false"/>
          <w:bCs w:val="false"/>
          <w:i w:val="false"/>
          <w:iCs w:val="false"/>
          <w:sz w:val="22"/>
          <w:szCs w:val="22"/>
        </w:rPr>
        <w:t xml:space="preserve">EspoCRM</w:t>
      </w:r>
    </w:p>
    <w:p>
      <w:pPr>
        <w:spacing w:after="120"/>
      </w:pPr>
      <w:r>
        <w:t xml:space="preserve">Total CRM Entities: 17 (2 native, 12 custom, 3 TBD)</w:t>
      </w:r>
    </w:p>
    <w:p>
      <w:pPr>
        <w:spacing w:after="120"/>
      </w:pPr>
      <w:r>
        <w:t xml:space="preserve">Total Business Entity Concepts: 28</w:t>
      </w:r>
    </w:p>
    <w:p>
      <w:pPr>
        <w:spacing w:after="120"/>
      </w:pPr>
      <w:r>
        <w:rPr>
          <w:rFonts w:ascii="Arial" w:cs="Arial" w:eastAsia="Arial" w:hAnsi="Arial"/>
          <w:b/>
          <w:bCs/>
          <w:i w:val="false"/>
          <w:iCs w:val="false"/>
          <w:sz w:val="22"/>
          <w:szCs w:val="22"/>
        </w:rPr>
        <w:t xml:space="preserve">Source Documents: </w:t>
      </w:r>
      <w:r>
        <w:rPr>
          <w:rFonts w:ascii="Arial" w:cs="Arial" w:eastAsia="Arial" w:hAnsi="Arial"/>
          <w:b w:val="false"/>
          <w:bCs w:val="false"/>
          <w:i w:val="false"/>
          <w:iCs w:val="false"/>
          <w:sz w:val="22"/>
          <w:szCs w:val="22"/>
        </w:rPr>
        <w:t xml:space="preserve">Master PRD v2.1 (includes Cross-Domain Services); Mentoring Domain PRD v1.0 (MN-INTAKE v2.1, MN-MATCH v2.1, MN-ENGAGE v2.3, MN-INACTIVE v1.2, MN-CLOSE v1.1). Mentor Recruitment Domain PRD v1.0 (MR-RECRUIT v1.0, MR-APPLY v1.0, MR-ONBOARD v1.0, MR-MANAGE v1.0, MR-DEPART v1.0). Client Recruiting and Fundraising domains are represented at summary level from the Master PRD only. Cross-Domain Service entities (Note, Survey, Survey Response) are at inventory level only — full requirements deferred to service process definition and Entity PRDs.</w:t>
      </w:r>
    </w:p>
    <w:p>
      <w:r>
        <w:br w:type="page"/>
      </w:r>
    </w:p>
    <w:p>
      <w:pPr>
        <w:pStyle w:val="Heading1"/>
        <w:spacing w:after="120" w:before="360"/>
      </w:pPr>
      <w:r>
        <w:rPr>
          <w:rFonts w:ascii="Arial" w:cs="Arial" w:eastAsia="Arial" w:hAnsi="Arial"/>
          <w:b/>
          <w:bCs/>
          <w:i w:val="false"/>
          <w:iCs w:val="false"/>
          <w:color w:val="1F3864"/>
          <w:sz w:val="32"/>
          <w:szCs w:val="32"/>
        </w:rPr>
        <w:t xml:space="preserve">2. Entity Map</w:t>
      </w:r>
    </w:p>
    <w:p>
      <w:pPr>
        <w:spacing w:after="120"/>
      </w:pPr>
      <w:r>
        <w:rPr>
          <w:rFonts w:ascii="Arial" w:cs="Arial" w:eastAsia="Arial" w:hAnsi="Arial"/>
          <w:b w:val="false"/>
          <w:bCs w:val="false"/>
          <w:i w:val="false"/>
          <w:iCs w:val="false"/>
          <w:sz w:val="22"/>
          <w:szCs w:val="22"/>
        </w:rPr>
        <w:t xml:space="preserve">The following table maps every business entity concept identified in the source documents to its CRM entity. For shared entities, the discriminator field and value that distinguish the concept are shown. For dedicated custom entities, the discriminator columns show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900"/>
        <w:gridCol w:w="900"/>
        <w:gridCol w:w="1200"/>
        <w:gridCol w:w="1300"/>
        <w:gridCol w:w="2160"/>
      </w:tblGrid>
      <w:tr>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Entity Name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CRM Entity</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 Custom</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Entity Type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Discriminator</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Disc. Value</w:t>
            </w:r>
          </w:p>
        </w:tc>
        <w:tc>
          <w:tcPr>
            <w:tcW w:type="dxa" w:w="2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Client Contact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Client</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MN, 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Mentor Contact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Mentor</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MN, MR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Partner Contact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Partner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Administrator</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Administrator</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All</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Presenter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Presenter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Donor/Sponsor Contact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Donor</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Member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Member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Client Organization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Account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Company</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accountType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Client</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MN, CR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Partner Organization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Account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Company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accountType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Partner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Donor/Sponsor Organization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Account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Company</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accountType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Donor/Sponsor</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Engagement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Engagement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MN</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Session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Session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Event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MN</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Dues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Dues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MR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Partnership Agreement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Partnership Agreement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Event/Workshop</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Event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Event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Event Registration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Event Registration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Donation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Donation</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Sponsorship</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Sponsorship</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Grant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Grant</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Pledge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Pledge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Fundraising Campaign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Fundraising Campaign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Note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Note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TBD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TBD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All (Notes Svc)</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Survey</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Survey</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TBD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TBD</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MN, CR (Survey Svc)</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Survey Response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Survey Response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TBD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TBD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MN, CR (Survey Svc)</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Marketing Campaign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Marketing Campaign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Campaign Group</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Campaign Group</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Campaign Engagement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Campaign Engagement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Segment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Segment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w:t>
            </w:r>
          </w:p>
        </w:tc>
      </w:tr>
    </w:tbl>
    <w:p>
      <w:r>
        <w:br w:type="page"/>
      </w:r>
    </w:p>
    <w:p>
      <w:pPr>
        <w:pStyle w:val="Heading1"/>
        <w:spacing w:after="120" w:before="360"/>
      </w:pPr>
      <w:r>
        <w:rPr>
          <w:rFonts w:ascii="Arial" w:cs="Arial" w:eastAsia="Arial" w:hAnsi="Arial"/>
          <w:b/>
          <w:bCs/>
          <w:i w:val="false"/>
          <w:iCs w:val="false"/>
          <w:color w:val="1F3864"/>
          <w:sz w:val="32"/>
          <w:szCs w:val="32"/>
        </w:rPr>
        <w:t xml:space="preserve">3. Shared Entity Summary</w:t>
      </w:r>
    </w:p>
    <w:p>
      <w:pPr>
        <w:spacing w:after="120"/>
      </w:pPr>
      <w:r>
        <w:rPr>
          <w:rFonts w:ascii="Arial" w:cs="Arial" w:eastAsia="Arial" w:hAnsi="Arial"/>
          <w:b w:val="false"/>
          <w:bCs w:val="false"/>
          <w:i w:val="false"/>
          <w:iCs w:val="false"/>
          <w:sz w:val="22"/>
          <w:szCs w:val="22"/>
        </w:rPr>
        <w:t xml:space="preserve">Shared entities are CRM entities that serve multiple business entity concepts, distinguished by a discriminator field. Each shared entity requires an Entity PRD that consolidates fields from all contributing domains.</w:t>
      </w:r>
    </w:p>
    <w:p>
      <w:pPr>
        <w:pStyle w:val="Heading2"/>
        <w:spacing w:after="120" w:before="240"/>
      </w:pPr>
      <w:r>
        <w:rPr>
          <w:rFonts w:ascii="Arial" w:cs="Arial" w:eastAsia="Arial" w:hAnsi="Arial"/>
          <w:b/>
          <w:bCs/>
          <w:i w:val="false"/>
          <w:iCs w:val="false"/>
          <w:color w:val="1F3864"/>
          <w:sz w:val="28"/>
          <w:szCs w:val="28"/>
        </w:rPr>
        <w:t xml:space="preserve">3.1 Contact (Native — Person Type)</w:t>
      </w:r>
    </w:p>
    <w:p>
      <w:pPr>
        <w:spacing w:after="120"/>
      </w:pPr>
      <w:r>
        <w:rPr>
          <w:rFonts w:ascii="Arial" w:cs="Arial" w:eastAsia="Arial" w:hAnsi="Arial"/>
          <w:b w:val="false"/>
          <w:bCs w:val="false"/>
          <w:i w:val="false"/>
          <w:iCs w:val="false"/>
          <w:sz w:val="22"/>
          <w:szCs w:val="22"/>
        </w:rPr>
        <w:t xml:space="preserve">The Contact entity is the single repository for all individual people known to CBM. It is the most complex entity in the implementation, spanning all four domains with type-specific fields controlled by dynamic logic visibility rules.</w:t>
      </w:r>
    </w:p>
    <w:p>
      <w:pPr>
        <w:spacing w:after="120"/>
      </w:pPr>
      <w:r>
        <w:rPr>
          <w:rFonts w:ascii="Arial" w:cs="Arial" w:eastAsia="Arial" w:hAnsi="Arial"/>
          <w:b/>
          <w:bCs/>
          <w:i w:val="false"/>
          <w:iCs w:val="false"/>
          <w:sz w:val="22"/>
          <w:szCs w:val="22"/>
        </w:rPr>
        <w:t xml:space="preserve">Discriminator Field: </w:t>
      </w:r>
      <w:r>
        <w:rPr>
          <w:rFonts w:ascii="Arial" w:cs="Arial" w:eastAsia="Arial" w:hAnsi="Arial"/>
          <w:b w:val="false"/>
          <w:bCs w:val="false"/>
          <w:i w:val="false"/>
          <w:iCs w:val="false"/>
          <w:sz w:val="22"/>
          <w:szCs w:val="22"/>
        </w:rPr>
        <w:t xml:space="preserve">contactType (multiEnum)</w:t>
      </w:r>
    </w:p>
    <w:p>
      <w:pPr>
        <w:spacing w:after="120"/>
      </w:pPr>
      <w:r>
        <w:rPr>
          <w:rFonts w:ascii="Arial" w:cs="Arial" w:eastAsia="Arial" w:hAnsi="Arial"/>
          <w:b/>
          <w:bCs/>
          <w:i w:val="false"/>
          <w:iCs w:val="false"/>
          <w:sz w:val="22"/>
          <w:szCs w:val="22"/>
        </w:rPr>
        <w:t xml:space="preserve">Discriminator Values: </w:t>
      </w:r>
      <w:r>
        <w:rPr>
          <w:rFonts w:ascii="Arial" w:cs="Arial" w:eastAsia="Arial" w:hAnsi="Arial"/>
          <w:b w:val="false"/>
          <w:bCs w:val="false"/>
          <w:i w:val="false"/>
          <w:iCs w:val="false"/>
          <w:sz w:val="22"/>
          <w:szCs w:val="22"/>
        </w:rPr>
        <w:t xml:space="preserve">Client, Mentor, Partner, Administrator, Presenter, Donor, Member</w:t>
      </w:r>
    </w:p>
    <w:p>
      <w:pPr>
        <w:spacing w:after="120"/>
      </w:pPr>
      <w:r>
        <w:rPr>
          <w:rFonts w:ascii="Arial" w:cs="Arial" w:eastAsia="Arial" w:hAnsi="Arial"/>
          <w:b/>
          <w:bCs/>
          <w:i w:val="false"/>
          <w:iCs w:val="false"/>
          <w:sz w:val="22"/>
          <w:szCs w:val="22"/>
        </w:rPr>
        <w:t xml:space="preserve">Multi-Select Rationale: </w:t>
      </w:r>
      <w:r>
        <w:rPr>
          <w:rFonts w:ascii="Arial" w:cs="Arial" w:eastAsia="Arial" w:hAnsi="Arial"/>
          <w:b w:val="false"/>
          <w:bCs w:val="false"/>
          <w:i w:val="false"/>
          <w:iCs w:val="false"/>
          <w:sz w:val="22"/>
          <w:szCs w:val="22"/>
        </w:rPr>
        <w:t xml:space="preserve">A single individual frequently holds multiple roles simultaneously. Mentors may also be Presenters and Administrators. Partners may also be Donors. The multiEnum discriminator allows a Contact to hold any combination of types and supports EspoCRM dynamic logic conditions using "has" operators for field visibility.</w:t>
      </w:r>
    </w:p>
    <w:p>
      <w:pPr>
        <w:spacing w:after="120"/>
      </w:pPr>
      <w:r>
        <w:rPr>
          <w:rFonts w:ascii="Arial" w:cs="Arial" w:eastAsia="Arial" w:hAnsi="Arial"/>
          <w:b/>
          <w:bCs/>
          <w:i w:val="false"/>
          <w:iCs w:val="false"/>
          <w:sz w:val="22"/>
          <w:szCs w:val="22"/>
        </w:rPr>
        <w:t xml:space="preserve">Contributing Domains: </w:t>
      </w:r>
      <w:r>
        <w:rPr>
          <w:rFonts w:ascii="Arial" w:cs="Arial" w:eastAsia="Arial" w:hAnsi="Arial"/>
          <w:b w:val="false"/>
          <w:bCs w:val="false"/>
          <w:i w:val="false"/>
          <w:iCs w:val="false"/>
          <w:sz w:val="22"/>
          <w:szCs w:val="22"/>
        </w:rPr>
        <w:t xml:space="preserve">Mentoring (MN), Mentor Recruitment (MR), Client Recruiting (CR), Fundraising (FU)</w:t>
      </w:r>
    </w:p>
    <w:p>
      <w:pPr>
        <w:spacing w:after="120"/>
      </w:pPr>
      <w:r>
        <w:rPr>
          <w:rFonts w:ascii="Arial" w:cs="Arial" w:eastAsia="Arial" w:hAnsi="Arial"/>
          <w:b/>
          <w:bCs/>
          <w:i w:val="false"/>
          <w:iCs w:val="false"/>
          <w:sz w:val="22"/>
          <w:szCs w:val="22"/>
        </w:rPr>
        <w:t xml:space="preserve">Business Concepts Mapped:</w:t>
      </w:r>
    </w:p>
    <w:p>
      <w:pPr>
        <w:pStyle w:val="ListParagraph"/>
        <w:numPr>
          <w:ilvl w:val="0"/>
          <w:numId w:val="2"/>
        </w:numPr>
        <w:spacing w:after="60"/>
      </w:pPr>
      <w:r>
        <w:rPr>
          <w:rFonts w:ascii="Arial" w:cs="Arial" w:eastAsia="Arial" w:hAnsi="Arial"/>
          <w:b w:val="false"/>
          <w:bCs w:val="false"/>
          <w:i w:val="false"/>
          <w:iCs w:val="false"/>
          <w:sz w:val="22"/>
          <w:szCs w:val="22"/>
        </w:rPr>
        <w:t xml:space="preserve">Client Contact — individuals at client businesses (MN, CR)</w:t>
      </w:r>
    </w:p>
    <w:p>
      <w:pPr>
        <w:pStyle w:val="ListParagraph"/>
        <w:numPr>
          <w:ilvl w:val="0"/>
          <w:numId w:val="2"/>
        </w:numPr>
        <w:spacing w:after="60"/>
      </w:pPr>
      <w:r>
        <w:rPr>
          <w:rFonts w:ascii="Arial" w:cs="Arial" w:eastAsia="Arial" w:hAnsi="Arial"/>
          <w:b w:val="false"/>
          <w:bCs w:val="false"/>
          <w:i w:val="false"/>
          <w:iCs w:val="false"/>
          <w:sz w:val="22"/>
          <w:szCs w:val="22"/>
        </w:rPr>
        <w:t xml:space="preserve">Mentor Contact — volunteer mentors (MN, MR). Includes type-specific lifecycle field: Mentor Status with values Prospect, Submitted, In Review, Provisional, Active, Paused, Inactive, Resigned, Departed, Declined</w:t>
      </w:r>
    </w:p>
    <w:p>
      <w:pPr>
        <w:pStyle w:val="ListParagraph"/>
        <w:numPr>
          <w:ilvl w:val="0"/>
          <w:numId w:val="2"/>
        </w:numPr>
        <w:spacing w:after="60"/>
      </w:pPr>
      <w:r>
        <w:rPr>
          <w:rFonts w:ascii="Arial" w:cs="Arial" w:eastAsia="Arial" w:hAnsi="Arial"/>
          <w:b w:val="false"/>
          <w:bCs w:val="false"/>
          <w:i w:val="false"/>
          <w:iCs w:val="false"/>
          <w:sz w:val="22"/>
          <w:szCs w:val="22"/>
        </w:rPr>
        <w:t xml:space="preserve">Partner Contact — individuals at partner organizations (CR)</w:t>
      </w:r>
    </w:p>
    <w:p>
      <w:pPr>
        <w:pStyle w:val="ListParagraph"/>
        <w:numPr>
          <w:ilvl w:val="0"/>
          <w:numId w:val="2"/>
        </w:numPr>
        <w:spacing w:after="60"/>
      </w:pPr>
      <w:r>
        <w:rPr>
          <w:rFonts w:ascii="Arial" w:cs="Arial" w:eastAsia="Arial" w:hAnsi="Arial"/>
          <w:b w:val="false"/>
          <w:bCs w:val="false"/>
          <w:i w:val="false"/>
          <w:iCs w:val="false"/>
          <w:sz w:val="22"/>
          <w:szCs w:val="22"/>
        </w:rPr>
        <w:t xml:space="preserve">Administrator — CBM staff with system access (All domains)</w:t>
      </w:r>
    </w:p>
    <w:p>
      <w:pPr>
        <w:pStyle w:val="ListParagraph"/>
        <w:numPr>
          <w:ilvl w:val="0"/>
          <w:numId w:val="2"/>
        </w:numPr>
        <w:spacing w:after="60"/>
      </w:pPr>
      <w:r>
        <w:rPr>
          <w:rFonts w:ascii="Arial" w:cs="Arial" w:eastAsia="Arial" w:hAnsi="Arial"/>
          <w:b w:val="false"/>
          <w:bCs w:val="false"/>
          <w:i w:val="false"/>
          <w:iCs w:val="false"/>
          <w:sz w:val="22"/>
          <w:szCs w:val="22"/>
        </w:rPr>
        <w:t xml:space="preserve">Presenter — event and workshop presenters (CR). This is a role, not a standalone entity; a Contact may be both Mentor and Presenter</w:t>
      </w:r>
    </w:p>
    <w:p>
      <w:pPr>
        <w:pStyle w:val="ListParagraph"/>
        <w:numPr>
          <w:ilvl w:val="0"/>
          <w:numId w:val="2"/>
        </w:numPr>
        <w:spacing w:after="60"/>
      </w:pPr>
      <w:r>
        <w:rPr>
          <w:rFonts w:ascii="Arial" w:cs="Arial" w:eastAsia="Arial" w:hAnsi="Arial"/>
          <w:b w:val="false"/>
          <w:bCs w:val="false"/>
          <w:i w:val="false"/>
          <w:iCs w:val="false"/>
          <w:sz w:val="22"/>
          <w:szCs w:val="22"/>
        </w:rPr>
        <w:t xml:space="preserve">Donor/Sponsor Contact — individuals at funding entities (FU)</w:t>
      </w:r>
    </w:p>
    <w:p>
      <w:pPr>
        <w:pStyle w:val="ListParagraph"/>
        <w:numPr>
          <w:ilvl w:val="0"/>
          <w:numId w:val="2"/>
        </w:numPr>
        <w:spacing w:after="60"/>
      </w:pPr>
      <w:r>
        <w:rPr>
          <w:rFonts w:ascii="Arial" w:cs="Arial" w:eastAsia="Arial" w:hAnsi="Arial"/>
          <w:b w:val="false"/>
          <w:bCs w:val="false"/>
          <w:i w:val="false"/>
          <w:iCs w:val="false"/>
          <w:sz w:val="22"/>
          <w:szCs w:val="22"/>
        </w:rPr>
        <w:t xml:space="preserve">Member — general organizational members (CR)</w:t>
      </w:r>
    </w:p>
    <w:p>
      <w:pPr>
        <w:spacing w:after="120"/>
      </w:pPr>
      <w:r>
        <w:rPr>
          <w:rFonts w:ascii="Arial" w:cs="Arial" w:eastAsia="Arial" w:hAnsi="Arial"/>
          <w:b/>
          <w:bCs/>
          <w:i w:val="false"/>
          <w:iCs w:val="false"/>
          <w:sz w:val="22"/>
          <w:szCs w:val="22"/>
        </w:rPr>
        <w:t xml:space="preserve">Note: </w:t>
      </w:r>
      <w:r>
        <w:rPr>
          <w:rFonts w:ascii="Arial" w:cs="Arial" w:eastAsia="Arial" w:hAnsi="Arial"/>
          <w:b w:val="false"/>
          <w:bCs w:val="false"/>
          <w:i w:val="false"/>
          <w:iCs w:val="false"/>
          <w:sz w:val="22"/>
          <w:szCs w:val="22"/>
        </w:rPr>
        <w:t xml:space="preserve">Prospect status for both mentors and clients is handled through type-specific lifecycle fields, not as a contactType value. A mentor prospect is a Contact with contactType = Mentor at an early lifecycle stage (Prospect or Submitted). A client prospect has not yet entered the system through MN-INTAKE.</w:t>
      </w:r>
    </w:p>
    <w:p>
      <w:pPr>
        <w:pStyle w:val="Heading2"/>
        <w:spacing w:after="120" w:before="240"/>
      </w:pPr>
      <w:r>
        <w:rPr>
          <w:rFonts w:ascii="Arial" w:cs="Arial" w:eastAsia="Arial" w:hAnsi="Arial"/>
          <w:b/>
          <w:bCs/>
          <w:i w:val="false"/>
          <w:iCs w:val="false"/>
          <w:color w:val="1F3864"/>
          <w:sz w:val="28"/>
          <w:szCs w:val="28"/>
        </w:rPr>
        <w:t xml:space="preserve">3.2 Account (Native — Company Type)</w:t>
      </w:r>
    </w:p>
    <w:p>
      <w:pPr>
        <w:spacing w:after="120"/>
      </w:pPr>
      <w:r>
        <w:rPr>
          <w:rFonts w:ascii="Arial" w:cs="Arial" w:eastAsia="Arial" w:hAnsi="Arial"/>
          <w:b w:val="false"/>
          <w:bCs w:val="false"/>
          <w:i w:val="false"/>
          <w:iCs w:val="false"/>
          <w:sz w:val="22"/>
          <w:szCs w:val="22"/>
        </w:rPr>
        <w:t xml:space="preserve">The Account entity is the single repository for all organizations known to CBM.</w:t>
      </w:r>
    </w:p>
    <w:p>
      <w:pPr>
        <w:spacing w:after="120"/>
      </w:pPr>
      <w:r>
        <w:rPr>
          <w:rFonts w:ascii="Arial" w:cs="Arial" w:eastAsia="Arial" w:hAnsi="Arial"/>
          <w:b/>
          <w:bCs/>
          <w:i w:val="false"/>
          <w:iCs w:val="false"/>
          <w:sz w:val="22"/>
          <w:szCs w:val="22"/>
        </w:rPr>
        <w:t xml:space="preserve">Discriminator Field: </w:t>
      </w:r>
      <w:r>
        <w:rPr>
          <w:rFonts w:ascii="Arial" w:cs="Arial" w:eastAsia="Arial" w:hAnsi="Arial"/>
          <w:b w:val="false"/>
          <w:bCs w:val="false"/>
          <w:i w:val="false"/>
          <w:iCs w:val="false"/>
          <w:sz w:val="22"/>
          <w:szCs w:val="22"/>
        </w:rPr>
        <w:t xml:space="preserve">accountType (multiEnum)</w:t>
      </w:r>
    </w:p>
    <w:p>
      <w:pPr>
        <w:spacing w:after="120"/>
      </w:pPr>
      <w:r>
        <w:rPr>
          <w:rFonts w:ascii="Arial" w:cs="Arial" w:eastAsia="Arial" w:hAnsi="Arial"/>
          <w:b/>
          <w:bCs/>
          <w:i w:val="false"/>
          <w:iCs w:val="false"/>
          <w:sz w:val="22"/>
          <w:szCs w:val="22"/>
        </w:rPr>
        <w:t xml:space="preserve">Discriminator Values: </w:t>
      </w:r>
      <w:r>
        <w:rPr>
          <w:rFonts w:ascii="Arial" w:cs="Arial" w:eastAsia="Arial" w:hAnsi="Arial"/>
          <w:b w:val="false"/>
          <w:bCs w:val="false"/>
          <w:i w:val="false"/>
          <w:iCs w:val="false"/>
          <w:sz w:val="22"/>
          <w:szCs w:val="22"/>
        </w:rPr>
        <w:t xml:space="preserve">Client, Partner, Donor/Sponsor</w:t>
      </w:r>
    </w:p>
    <w:p>
      <w:pPr>
        <w:spacing w:after="120"/>
      </w:pPr>
      <w:r>
        <w:rPr>
          <w:rFonts w:ascii="Arial" w:cs="Arial" w:eastAsia="Arial" w:hAnsi="Arial"/>
          <w:b/>
          <w:bCs/>
          <w:i w:val="false"/>
          <w:iCs w:val="false"/>
          <w:sz w:val="22"/>
          <w:szCs w:val="22"/>
        </w:rPr>
        <w:t xml:space="preserve">Multi-Select Rationale: </w:t>
      </w:r>
      <w:r>
        <w:rPr>
          <w:rFonts w:ascii="Arial" w:cs="Arial" w:eastAsia="Arial" w:hAnsi="Arial"/>
          <w:b w:val="false"/>
          <w:bCs w:val="false"/>
          <w:i w:val="false"/>
          <w:iCs w:val="false"/>
          <w:sz w:val="22"/>
          <w:szCs w:val="22"/>
        </w:rPr>
        <w:t xml:space="preserve">An organization may serve multiple roles. A Partner Organization that also provides funding would be both Partner and Donor/Sponsor. Follows the same multiEnum pattern as Contact.</w:t>
      </w:r>
    </w:p>
    <w:p>
      <w:pPr>
        <w:spacing w:after="120"/>
      </w:pPr>
      <w:r>
        <w:rPr>
          <w:rFonts w:ascii="Arial" w:cs="Arial" w:eastAsia="Arial" w:hAnsi="Arial"/>
          <w:b/>
          <w:bCs/>
          <w:i w:val="false"/>
          <w:iCs w:val="false"/>
          <w:sz w:val="22"/>
          <w:szCs w:val="22"/>
        </w:rPr>
        <w:t xml:space="preserve">Contributing Domains: </w:t>
      </w:r>
      <w:r>
        <w:rPr>
          <w:rFonts w:ascii="Arial" w:cs="Arial" w:eastAsia="Arial" w:hAnsi="Arial"/>
          <w:b w:val="false"/>
          <w:bCs w:val="false"/>
          <w:i w:val="false"/>
          <w:iCs w:val="false"/>
          <w:sz w:val="22"/>
          <w:szCs w:val="22"/>
        </w:rPr>
        <w:t xml:space="preserve">Mentoring (MN), Client Recruiting (CR), Fundraising (FU)</w:t>
      </w:r>
    </w:p>
    <w:p>
      <w:pPr>
        <w:spacing w:after="120"/>
      </w:pPr>
      <w:r>
        <w:rPr>
          <w:rFonts w:ascii="Arial" w:cs="Arial" w:eastAsia="Arial" w:hAnsi="Arial"/>
          <w:b/>
          <w:bCs/>
          <w:i w:val="false"/>
          <w:iCs w:val="false"/>
          <w:sz w:val="22"/>
          <w:szCs w:val="22"/>
        </w:rPr>
        <w:t xml:space="preserve">Business Concepts Mapped:</w:t>
      </w:r>
    </w:p>
    <w:p>
      <w:pPr>
        <w:pStyle w:val="ListParagraph"/>
        <w:numPr>
          <w:ilvl w:val="0"/>
          <w:numId w:val="2"/>
        </w:numPr>
        <w:spacing w:after="60"/>
      </w:pPr>
      <w:r>
        <w:rPr>
          <w:rFonts w:ascii="Arial" w:cs="Arial" w:eastAsia="Arial" w:hAnsi="Arial"/>
          <w:b w:val="false"/>
          <w:bCs w:val="false"/>
          <w:i w:val="false"/>
          <w:iCs w:val="false"/>
          <w:sz w:val="22"/>
          <w:szCs w:val="22"/>
        </w:rPr>
        <w:t xml:space="preserve">Client Organization — client businesses receiving mentoring services (MN, CR)</w:t>
      </w:r>
    </w:p>
    <w:p>
      <w:pPr>
        <w:pStyle w:val="ListParagraph"/>
        <w:numPr>
          <w:ilvl w:val="0"/>
          <w:numId w:val="2"/>
        </w:numPr>
        <w:spacing w:after="60"/>
      </w:pPr>
      <w:r>
        <w:rPr>
          <w:rFonts w:ascii="Arial" w:cs="Arial" w:eastAsia="Arial" w:hAnsi="Arial"/>
          <w:b w:val="false"/>
          <w:bCs w:val="false"/>
          <w:i w:val="false"/>
          <w:iCs w:val="false"/>
          <w:sz w:val="22"/>
          <w:szCs w:val="22"/>
        </w:rPr>
        <w:t xml:space="preserve">Partner Organization — community partner businesses (CR)</w:t>
      </w:r>
    </w:p>
    <w:p>
      <w:pPr>
        <w:pStyle w:val="ListParagraph"/>
        <w:numPr>
          <w:ilvl w:val="0"/>
          <w:numId w:val="2"/>
        </w:numPr>
        <w:spacing w:after="60"/>
      </w:pPr>
      <w:r>
        <w:rPr>
          <w:rFonts w:ascii="Arial" w:cs="Arial" w:eastAsia="Arial" w:hAnsi="Arial"/>
          <w:b w:val="false"/>
          <w:bCs w:val="false"/>
          <w:i w:val="false"/>
          <w:iCs w:val="false"/>
          <w:sz w:val="22"/>
          <w:szCs w:val="22"/>
        </w:rPr>
        <w:t xml:space="preserve">Donor/Sponsor Organization — funding entities (FU)</w:t>
      </w:r>
    </w:p>
    <w:p>
      <w:pPr>
        <w:pStyle w:val="Heading2"/>
        <w:spacing w:after="120" w:before="240"/>
      </w:pPr>
      <w:r>
        <w:rPr>
          <w:rFonts w:ascii="Arial" w:cs="Arial" w:eastAsia="Arial" w:hAnsi="Arial"/>
          <w:b/>
          <w:bCs/>
          <w:i w:val="false"/>
          <w:iCs w:val="false"/>
          <w:color w:val="1F3864"/>
          <w:sz w:val="28"/>
          <w:szCs w:val="28"/>
        </w:rPr>
        <w:t xml:space="preserve">3.3 Contribution (Custom — Base Type)</w:t>
      </w:r>
    </w:p>
    <w:p>
      <w:pPr>
        <w:spacing w:after="120"/>
      </w:pPr>
      <w:r>
        <w:rPr>
          <w:rFonts w:ascii="Arial" w:cs="Arial" w:eastAsia="Arial" w:hAnsi="Arial"/>
          <w:b w:val="false"/>
          <w:bCs w:val="false"/>
          <w:i w:val="false"/>
          <w:iCs w:val="false"/>
          <w:sz w:val="22"/>
          <w:szCs w:val="22"/>
        </w:rPr>
        <w:t xml:space="preserve">The Contribution entity consolidates all funding record types into a single entity with a type discriminator. This avoids maintaining four separate entities with largely overlapping fields.</w:t>
      </w:r>
    </w:p>
    <w:p>
      <w:pPr>
        <w:spacing w:after="120"/>
      </w:pPr>
      <w:r>
        <w:rPr>
          <w:rFonts w:ascii="Arial" w:cs="Arial" w:eastAsia="Arial" w:hAnsi="Arial"/>
          <w:b/>
          <w:bCs/>
          <w:i w:val="false"/>
          <w:iCs w:val="false"/>
          <w:sz w:val="22"/>
          <w:szCs w:val="22"/>
        </w:rPr>
        <w:t xml:space="preserve">Discriminator Field: </w:t>
      </w:r>
      <w:r>
        <w:rPr>
          <w:rFonts w:ascii="Arial" w:cs="Arial" w:eastAsia="Arial" w:hAnsi="Arial"/>
          <w:b w:val="false"/>
          <w:bCs w:val="false"/>
          <w:i w:val="false"/>
          <w:iCs w:val="false"/>
          <w:sz w:val="22"/>
          <w:szCs w:val="22"/>
        </w:rPr>
        <w:t xml:space="preserve">contributionType (enum)</w:t>
      </w:r>
    </w:p>
    <w:p>
      <w:pPr>
        <w:spacing w:after="120"/>
      </w:pPr>
      <w:r>
        <w:rPr>
          <w:rFonts w:ascii="Arial" w:cs="Arial" w:eastAsia="Arial" w:hAnsi="Arial"/>
          <w:b/>
          <w:bCs/>
          <w:i w:val="false"/>
          <w:iCs w:val="false"/>
          <w:sz w:val="22"/>
          <w:szCs w:val="22"/>
        </w:rPr>
        <w:t xml:space="preserve">Discriminator Values: </w:t>
      </w:r>
      <w:r>
        <w:rPr>
          <w:rFonts w:ascii="Arial" w:cs="Arial" w:eastAsia="Arial" w:hAnsi="Arial"/>
          <w:b w:val="false"/>
          <w:bCs w:val="false"/>
          <w:i w:val="false"/>
          <w:iCs w:val="false"/>
          <w:sz w:val="22"/>
          <w:szCs w:val="22"/>
        </w:rPr>
        <w:t xml:space="preserve">Donation, Sponsorship, Grant, Pledge</w:t>
      </w:r>
    </w:p>
    <w:p>
      <w:pPr>
        <w:spacing w:after="120"/>
      </w:pPr>
      <w:r>
        <w:rPr>
          <w:rFonts w:ascii="Arial" w:cs="Arial" w:eastAsia="Arial" w:hAnsi="Arial"/>
          <w:b/>
          <w:bCs/>
          <w:i w:val="false"/>
          <w:iCs w:val="false"/>
          <w:sz w:val="22"/>
          <w:szCs w:val="22"/>
        </w:rPr>
        <w:t xml:space="preserve">Single-Select Rationale: </w:t>
      </w:r>
      <w:r>
        <w:rPr>
          <w:rFonts w:ascii="Arial" w:cs="Arial" w:eastAsia="Arial" w:hAnsi="Arial"/>
          <w:b w:val="false"/>
          <w:bCs w:val="false"/>
          <w:i w:val="false"/>
          <w:iCs w:val="false"/>
          <w:sz w:val="22"/>
          <w:szCs w:val="22"/>
        </w:rPr>
        <w:t xml:space="preserve">A contribution record is exactly one type. Unlike Contact and Account where an entity can hold multiple roles, a single funding transaction is a Donation, Sponsorship, Grant, or Pledge — not a combination.</w:t>
      </w:r>
    </w:p>
    <w:p>
      <w:pPr>
        <w:spacing w:after="120"/>
      </w:pPr>
      <w:r>
        <w:rPr>
          <w:rFonts w:ascii="Arial" w:cs="Arial" w:eastAsia="Arial" w:hAnsi="Arial"/>
          <w:b/>
          <w:bCs/>
          <w:i w:val="false"/>
          <w:iCs w:val="false"/>
          <w:sz w:val="22"/>
          <w:szCs w:val="22"/>
        </w:rPr>
        <w:t xml:space="preserve">Contributing Domains: </w:t>
      </w:r>
      <w:r>
        <w:rPr>
          <w:rFonts w:ascii="Arial" w:cs="Arial" w:eastAsia="Arial" w:hAnsi="Arial"/>
          <w:b w:val="false"/>
          <w:bCs w:val="false"/>
          <w:i w:val="false"/>
          <w:iCs w:val="false"/>
          <w:sz w:val="22"/>
          <w:szCs w:val="22"/>
        </w:rPr>
        <w:t xml:space="preserve">Fundraising (FU)</w:t>
      </w:r>
    </w:p>
    <w:p>
      <w:pPr>
        <w:spacing w:after="120"/>
      </w:pPr>
      <w:r>
        <w:rPr>
          <w:rFonts w:ascii="Arial" w:cs="Arial" w:eastAsia="Arial" w:hAnsi="Arial"/>
          <w:b/>
          <w:bCs/>
          <w:i w:val="false"/>
          <w:iCs w:val="false"/>
          <w:sz w:val="22"/>
          <w:szCs w:val="22"/>
        </w:rPr>
        <w:t xml:space="preserve">Business Concepts Mapped:</w:t>
      </w:r>
    </w:p>
    <w:p>
      <w:pPr>
        <w:pStyle w:val="ListParagraph"/>
        <w:numPr>
          <w:ilvl w:val="0"/>
          <w:numId w:val="2"/>
        </w:numPr>
        <w:spacing w:after="60"/>
      </w:pPr>
      <w:r>
        <w:rPr>
          <w:rFonts w:ascii="Arial" w:cs="Arial" w:eastAsia="Arial" w:hAnsi="Arial"/>
          <w:b w:val="false"/>
          <w:bCs w:val="false"/>
          <w:i w:val="false"/>
          <w:iCs w:val="false"/>
          <w:sz w:val="22"/>
          <w:szCs w:val="22"/>
        </w:rPr>
        <w:t xml:space="preserve">Donation — individual donation records with donor, amount, date, payment method, and designation</w:t>
      </w:r>
    </w:p>
    <w:p>
      <w:pPr>
        <w:pStyle w:val="ListParagraph"/>
        <w:numPr>
          <w:ilvl w:val="0"/>
          <w:numId w:val="2"/>
        </w:numPr>
        <w:spacing w:after="60"/>
      </w:pPr>
      <w:r>
        <w:rPr>
          <w:rFonts w:ascii="Arial" w:cs="Arial" w:eastAsia="Arial" w:hAnsi="Arial"/>
          <w:b w:val="false"/>
          <w:bCs w:val="false"/>
          <w:i w:val="false"/>
          <w:iCs w:val="false"/>
          <w:sz w:val="22"/>
          <w:szCs w:val="22"/>
        </w:rPr>
        <w:t xml:space="preserve">Sponsorship — sponsorship commitments with terms and associated program or event</w:t>
      </w:r>
    </w:p>
    <w:p>
      <w:pPr>
        <w:pStyle w:val="ListParagraph"/>
        <w:numPr>
          <w:ilvl w:val="0"/>
          <w:numId w:val="2"/>
        </w:numPr>
        <w:spacing w:after="60"/>
      </w:pPr>
      <w:r>
        <w:rPr>
          <w:rFonts w:ascii="Arial" w:cs="Arial" w:eastAsia="Arial" w:hAnsi="Arial"/>
          <w:b w:val="false"/>
          <w:bCs w:val="false"/>
          <w:i w:val="false"/>
          <w:iCs w:val="false"/>
          <w:sz w:val="22"/>
          <w:szCs w:val="22"/>
        </w:rPr>
        <w:t xml:space="preserve">Grant — grant records with application status, award amount, reporting requirements, and renewal dates</w:t>
      </w:r>
    </w:p>
    <w:p>
      <w:pPr>
        <w:pStyle w:val="ListParagraph"/>
        <w:numPr>
          <w:ilvl w:val="0"/>
          <w:numId w:val="2"/>
        </w:numPr>
        <w:spacing w:after="60"/>
      </w:pPr>
      <w:r>
        <w:rPr>
          <w:rFonts w:ascii="Arial" w:cs="Arial" w:eastAsia="Arial" w:hAnsi="Arial"/>
          <w:b w:val="false"/>
          <w:bCs w:val="false"/>
          <w:i w:val="false"/>
          <w:iCs w:val="false"/>
          <w:sz w:val="22"/>
          <w:szCs w:val="22"/>
        </w:rPr>
        <w:t xml:space="preserve">Pledge — pledge records with fulfillment tracking</w:t>
      </w:r>
    </w:p>
    <w:p>
      <w:pPr>
        <w:spacing w:after="120"/>
      </w:pPr>
      <w:r>
        <w:rPr>
          <w:rFonts w:ascii="Arial" w:cs="Arial" w:eastAsia="Arial" w:hAnsi="Arial"/>
          <w:b/>
          <w:bCs/>
          <w:i w:val="false"/>
          <w:iCs w:val="false"/>
          <w:sz w:val="22"/>
          <w:szCs w:val="22"/>
        </w:rPr>
        <w:t xml:space="preserve">Type-Specific Fields: </w:t>
      </w:r>
      <w:r>
        <w:rPr>
          <w:rFonts w:ascii="Arial" w:cs="Arial" w:eastAsia="Arial" w:hAnsi="Arial"/>
          <w:b w:val="false"/>
          <w:bCs w:val="false"/>
          <w:i w:val="false"/>
          <w:iCs w:val="false"/>
          <w:sz w:val="22"/>
          <w:szCs w:val="22"/>
        </w:rPr>
        <w:t xml:space="preserve">Grant has fields not shared by other types (application status, reporting requirements, renewal dates). Pledge has fulfillment tracking fields. Sponsorship has associated program/event fields. These will be controlled by dynamic logic visibility rules based on contributionType. Full field definitions deferred to Entity PRD and FU domain process documents.</w:t>
      </w:r>
    </w:p>
    <w:p>
      <w:r>
        <w:br w:type="page"/>
      </w:r>
    </w:p>
    <w:p>
      <w:pPr>
        <w:pStyle w:val="Heading1"/>
        <w:spacing w:after="120" w:before="360"/>
      </w:pPr>
      <w:r>
        <w:rPr>
          <w:rFonts w:ascii="Arial" w:cs="Arial" w:eastAsia="Arial" w:hAnsi="Arial"/>
          <w:b/>
          <w:bCs/>
          <w:i w:val="false"/>
          <w:iCs w:val="false"/>
          <w:color w:val="1F3864"/>
          <w:sz w:val="32"/>
          <w:szCs w:val="32"/>
        </w:rPr>
        <w:t xml:space="preserve">4. Custom Entity Summary</w:t>
      </w:r>
    </w:p>
    <w:p>
      <w:pPr>
        <w:spacing w:after="120"/>
      </w:pPr>
      <w:r>
        <w:rPr>
          <w:rFonts w:ascii="Arial" w:cs="Arial" w:eastAsia="Arial" w:hAnsi="Arial"/>
          <w:b w:val="false"/>
          <w:bCs w:val="false"/>
          <w:i w:val="false"/>
          <w:iCs w:val="false"/>
          <w:sz w:val="22"/>
          <w:szCs w:val="22"/>
        </w:rPr>
        <w:t xml:space="preserve">Custom entities must be created via YAML program files. Each requires an entity type designation that determines the built-in fields available. Entity types and their built-in fields in EspoCRM:</w:t>
      </w:r>
    </w:p>
    <w:p>
      <w:pPr>
        <w:pStyle w:val="ListParagraph"/>
        <w:numPr>
          <w:ilvl w:val="0"/>
          <w:numId w:val="2"/>
        </w:numPr>
        <w:spacing w:after="60"/>
      </w:pPr>
      <w:r>
        <w:rPr>
          <w:rFonts w:ascii="Arial" w:cs="Arial" w:eastAsia="Arial" w:hAnsi="Arial"/>
          <w:b w:val="false"/>
          <w:bCs w:val="false"/>
          <w:i w:val="false"/>
          <w:iCs w:val="false"/>
          <w:sz w:val="22"/>
          <w:szCs w:val="22"/>
        </w:rPr>
        <w:t xml:space="preserve">Base — name and description only</w:t>
      </w:r>
    </w:p>
    <w:p>
      <w:pPr>
        <w:pStyle w:val="ListParagraph"/>
        <w:numPr>
          <w:ilvl w:val="0"/>
          <w:numId w:val="2"/>
        </w:numPr>
        <w:spacing w:after="60"/>
      </w:pPr>
      <w:r>
        <w:rPr>
          <w:rFonts w:ascii="Arial" w:cs="Arial" w:eastAsia="Arial" w:hAnsi="Arial"/>
          <w:b w:val="false"/>
          <w:bCs w:val="false"/>
          <w:i w:val="false"/>
          <w:iCs w:val="false"/>
          <w:sz w:val="22"/>
          <w:szCs w:val="22"/>
        </w:rPr>
        <w:t xml:space="preserve">Person — adds firstName, lastName, emailAddress, phoneNumber, address fields</w:t>
      </w:r>
    </w:p>
    <w:p>
      <w:pPr>
        <w:pStyle w:val="ListParagraph"/>
        <w:numPr>
          <w:ilvl w:val="0"/>
          <w:numId w:val="2"/>
        </w:numPr>
        <w:spacing w:after="60"/>
      </w:pPr>
      <w:r>
        <w:rPr>
          <w:rFonts w:ascii="Arial" w:cs="Arial" w:eastAsia="Arial" w:hAnsi="Arial"/>
          <w:b w:val="false"/>
          <w:bCs w:val="false"/>
          <w:i w:val="false"/>
          <w:iCs w:val="false"/>
          <w:sz w:val="22"/>
          <w:szCs w:val="22"/>
        </w:rPr>
        <w:t xml:space="preserve">Company — adds emailAddress, phoneNumber, billingAddress, shippingAddress fields</w:t>
      </w:r>
    </w:p>
    <w:p>
      <w:pPr>
        <w:pStyle w:val="ListParagraph"/>
        <w:numPr>
          <w:ilvl w:val="0"/>
          <w:numId w:val="2"/>
        </w:numPr>
        <w:spacing w:after="60"/>
      </w:pPr>
      <w:r>
        <w:rPr>
          <w:rFonts w:ascii="Arial" w:cs="Arial" w:eastAsia="Arial" w:hAnsi="Arial"/>
          <w:b w:val="false"/>
          <w:bCs w:val="false"/>
          <w:i w:val="false"/>
          <w:iCs w:val="false"/>
          <w:sz w:val="22"/>
          <w:szCs w:val="22"/>
        </w:rPr>
        <w:t xml:space="preserve">Event — adds dateStart, dateEnd, duration, status, parent fields</w:t>
      </w:r>
    </w:p>
    <w:p>
      <w:pPr>
        <w:pStyle w:val="Heading2"/>
        <w:spacing w:after="120" w:before="240"/>
      </w:pPr>
      <w:r>
        <w:rPr>
          <w:rFonts w:ascii="Arial" w:cs="Arial" w:eastAsia="Arial" w:hAnsi="Arial"/>
          <w:b/>
          <w:bCs/>
          <w:i w:val="false"/>
          <w:iCs w:val="false"/>
          <w:color w:val="1F3864"/>
          <w:sz w:val="28"/>
          <w:szCs w:val="28"/>
        </w:rPr>
        <w:t xml:space="preserve">4.1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mentoring relationship linking a client organization to a volunteer mentor. The heaviest field set in the MN domain with fields defined across all five completed process documents. Tracks the full engagement lifecycle from intake through closure, including status, session roll-up analytics, meeting cadence, and engagement outcomes.</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Base type chosen because Engagement is an abstract relationship, not a person, company, or calendar event. It has no inherent date range — its lifecycle is status-driven, not time-bounded.</w:t>
      </w:r>
    </w:p>
    <w:p>
      <w:pPr>
        <w:pStyle w:val="Heading2"/>
        <w:spacing w:after="120" w:before="240"/>
      </w:pPr>
      <w:r>
        <w:rPr>
          <w:rFonts w:ascii="Arial" w:cs="Arial" w:eastAsia="Arial" w:hAnsi="Arial"/>
          <w:b/>
          <w:bCs/>
          <w:i w:val="false"/>
          <w:iCs w:val="false"/>
          <w:color w:val="1F3864"/>
          <w:sz w:val="28"/>
          <w:szCs w:val="28"/>
        </w:rPr>
        <w:t xml:space="preserve">4.2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Individual mentoring meetings within an engagement. Sessions are never deleted; rescheduling preserves the original session with a rescheduled status and creates a new session. The Event type provides built-in dateStart, dateEnd, and duration fields.</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Event type chosen because sessions are calendar events with date, time, and duration. The built-in Event fields align naturally with session scheduling and recording.</w:t>
      </w:r>
    </w:p>
    <w:p>
      <w:pPr>
        <w:pStyle w:val="Heading2"/>
        <w:spacing w:after="120" w:before="240"/>
      </w:pPr>
      <w:r>
        <w:rPr>
          <w:rFonts w:ascii="Arial" w:cs="Arial" w:eastAsia="Arial" w:hAnsi="Arial"/>
          <w:b/>
          <w:bCs/>
          <w:i w:val="false"/>
          <w:iCs w:val="false"/>
          <w:color w:val="1F3864"/>
          <w:sz w:val="28"/>
          <w:szCs w:val="28"/>
        </w:rPr>
        <w:t xml:space="preserve">4.3 Dues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Dues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Dues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 Recruitment (MR)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One annual dues obligation for a single mentor. One record is created per mentor per billing year. Dues records provide a complete payment history independent of the summary duesStatus and duesPaymentDate fields on the mentor Contact record. Billing is based on the mentor’s activation anniversary.</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Base type chosen because Dues is a simple child record with no calendar/scheduling behavior, no person or company attributes, and no need for native Event fields.</w:t>
      </w:r>
    </w:p>
    <w:p>
      <w:pPr>
        <w:pStyle w:val="Heading2"/>
        <w:spacing w:after="120" w:before="240"/>
      </w:pPr>
      <w:r>
        <w:rPr>
          <w:rFonts w:ascii="Arial" w:cs="Arial" w:eastAsia="Arial" w:hAnsi="Arial"/>
          <w:b/>
          <w:bCs/>
          <w:i w:val="false"/>
          <w:iCs w:val="false"/>
          <w:color w:val="1F3864"/>
          <w:sz w:val="28"/>
          <w:szCs w:val="28"/>
        </w:rPr>
        <w:t xml:space="preserve">4.4 Partnership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Partnership Agreement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Partnership Agreements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Tracks the terms, dates, and renewal schedule for partner organization relationships. Linked to the Account entity for the associated partner organization.</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Base type chosen. This is a document/agreement record, not a person, company, or event.</w:t>
      </w:r>
    </w:p>
    <w:p>
      <w:pPr>
        <w:pStyle w:val="Heading2"/>
        <w:spacing w:after="120" w:before="240"/>
      </w:pPr>
      <w:r>
        <w:rPr>
          <w:rFonts w:ascii="Arial" w:cs="Arial" w:eastAsia="Arial" w:hAnsi="Arial"/>
          <w:b/>
          <w:bCs/>
          <w:i w:val="false"/>
          <w:iCs w:val="false"/>
          <w:color w:val="1F3864"/>
          <w:sz w:val="28"/>
          <w:szCs w:val="28"/>
        </w:rPr>
        <w:t xml:space="preserve">4.5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Workshops, clinics, and events that build awareness and attract prospective clients. Includes scheduling, capacity, status, and links to partner co-sponsors and sponsors. The Event type provides built-in date and duration fields.</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Event type chosen for natural alignment with calendar scheduling. Note: "Event" is also an EspoCRM entity type; the custom entity named "Event" uses the Event type. If naming conflicts arise during implementation, the display label may need adjustment (e.g., "CBM Event").</w:t>
      </w:r>
    </w:p>
    <w:p>
      <w:pPr>
        <w:pStyle w:val="Heading2"/>
        <w:spacing w:after="120" w:before="240"/>
      </w:pPr>
      <w:r>
        <w:rPr>
          <w:rFonts w:ascii="Arial" w:cs="Arial" w:eastAsia="Arial" w:hAnsi="Arial"/>
          <w:b/>
          <w:bCs/>
          <w:i w:val="false"/>
          <w:iCs w:val="false"/>
          <w:color w:val="1F3864"/>
          <w:sz w:val="28"/>
          <w:szCs w:val="28"/>
        </w:rPr>
        <w:t xml:space="preserve">4.6 Event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Registration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Registrations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Links a Contact to an Event with registration status and attendance tracking. Separate entity required because EspoCRM many-to-many relationships do not support fields (registration status, attendance confirmed, etc.).</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Base type chosen. This is a junction record between Contact and Event with metadata fields, not a person, company, or event itself.</w:t>
      </w:r>
    </w:p>
    <w:p>
      <w:pPr>
        <w:pStyle w:val="Heading2"/>
        <w:spacing w:after="120" w:before="240"/>
      </w:pPr>
      <w:r>
        <w:rPr>
          <w:rFonts w:ascii="Arial" w:cs="Arial" w:eastAsia="Arial" w:hAnsi="Arial"/>
          <w:b/>
          <w:bCs/>
          <w:i w:val="false"/>
          <w:iCs w:val="false"/>
          <w:color w:val="1F3864"/>
          <w:sz w:val="28"/>
          <w:szCs w:val="28"/>
        </w:rPr>
        <w:t xml:space="preserve">4.7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Contribution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Contributions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Fundraising (FU)</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Consolidated funding record for all contribution types: donations, sponsorships, grants, and pledges. Uses a contributionType enum discriminator with type-specific fields controlled by dynamic logic. Shared fields include amount, date, donor/sponsor link, campaign link, and payment method.</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Base type chosen. While grants and pledges have date-related fields, the primary identity is a financial transaction record, not a calendar event.</w:t>
      </w:r>
    </w:p>
    <w:p>
      <w:pPr>
        <w:pStyle w:val="Heading2"/>
        <w:spacing w:after="120" w:before="240"/>
      </w:pPr>
      <w:r>
        <w:rPr>
          <w:rFonts w:ascii="Arial" w:cs="Arial" w:eastAsia="Arial" w:hAnsi="Arial"/>
          <w:b/>
          <w:bCs/>
          <w:i w:val="false"/>
          <w:iCs w:val="false"/>
          <w:color w:val="1F3864"/>
          <w:sz w:val="28"/>
          <w:szCs w:val="28"/>
        </w:rPr>
        <w:t xml:space="preserve">4.8 Fundraising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Fundraising Campaign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Fundraising Campaigns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Fundraising (FU)</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Campaign tracking with goals, progress, and linked contributions. Tracks campaign performance against funding targets.</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Base type chosen. While campaigns have start and end dates, the primary purpose is goal tracking and contribution aggregation, not calendar scheduling.</w:t>
      </w:r>
    </w:p>
    <w:p>
      <w:r>
        <w:br w:type="page"/>
      </w:r>
    </w:p>
    <w:p>
      <w:pPr>
        <w:pStyle w:val="Heading2"/>
        <w:spacing w:after="120" w:before="240"/>
      </w:pPr>
      <w:r>
        <w:t xml:space="preserve">4.9 Marketing Campaign</w:t>
      </w:r>
    </w:p>
    <w:p>
      <w:pPr>
        <w:pStyle w:val="ListParagraph"/>
        <w:numPr>
          <w:ilvl w:val="0"/>
          <w:numId w:val="2"/>
        </w:numPr>
        <w:spacing w:after="60"/>
      </w:pPr>
    </w:p>
    <w:p>
      <w:pPr>
        <w:pStyle w:val="ListParagraph"/>
        <w:numPr>
          <w:ilvl w:val="0"/>
          <w:numId w:val="2"/>
        </w:numPr>
        <w:spacing w:after="60"/>
      </w:pPr>
      <w:r>
        <w:t xml:space="preserve">Represents a single outbound marketing campaign (email blast, SMS blast, etc.). One record per send. Holds campaign metadata, planning, status lifecycle (Draft, Scheduled, Sent, Complete, Cancelled), and aggregate metrics (total sent, total opened, total clicked, total bounced). Owned exclusively by the CR-MARKETING sub-domain of the Client Recruiting domain.</w:t>
      </w:r>
    </w:p>
    <w:p>
      <w:pPr>
        <w:pStyle w:val="ListParagraph"/>
        <w:numPr>
          <w:ilvl w:val="0"/>
          <w:numId w:val="2"/>
        </w:numPr>
        <w:spacing w:after="60"/>
      </w:pPr>
      <w:r>
        <w:t xml:space="preserve">Type Rationale: Base type chosen. While campaigns have a planned send date, the primary purpose is metadata tracking and engagement aggregation, not calendar scheduling. The external marketing platform handles actual send scheduling; the CRM Campaign record is a metadata and reporting anchor. Named 'Marketing Campaign' to disambiguate from the existing Fundraising Campaign entity (Section 4.8).</w:t>
      </w:r>
    </w:p>
    <w:p>
      <w:pPr>
        <w:pStyle w:val="ListParagraph"/>
        <w:numPr>
          <w:ilvl w:val="0"/>
          <w:numId w:val="2"/>
        </w:numPr>
        <w:spacing w:after="60"/>
      </w:pPr>
    </w:p>
    <w:p>
      <w:pPr>
        <w:pStyle w:val="Heading2"/>
        <w:spacing w:after="120" w:before="240"/>
      </w:pPr>
      <w:r>
        <w:t xml:space="preserve">4.10 Campaign Group</w:t>
      </w:r>
    </w:p>
    <w:p>
      <w:pPr>
        <w:pStyle w:val="ListParagraph"/>
        <w:numPr>
          <w:ilvl w:val="0"/>
          <w:numId w:val="2"/>
        </w:numPr>
        <w:spacing w:after="60"/>
      </w:pPr>
    </w:p>
    <w:p>
      <w:pPr>
        <w:pStyle w:val="ListParagraph"/>
        <w:numPr>
          <w:ilvl w:val="0"/>
          <w:numId w:val="2"/>
        </w:numPr>
        <w:spacing w:after="60"/>
      </w:pPr>
      <w:r>
        <w:t xml:space="preserve">An optional grouping of related Marketing Campaigns into a coordinated multi-touch effort (e.g., a 'Spring 2026 Awareness Push' spanning several emails and an SMS reminder). Has name, description, start date, end date, and a one-to-many relationship to Marketing Campaign. Aggregate metrics roll up from child Campaigns for group-level reporting. Owned exclusively by the CR-MARKETING sub-domain.</w:t>
      </w:r>
    </w:p>
    <w:p>
      <w:pPr>
        <w:pStyle w:val="ListParagraph"/>
        <w:numPr>
          <w:ilvl w:val="0"/>
          <w:numId w:val="2"/>
        </w:numPr>
        <w:spacing w:after="60"/>
      </w:pPr>
      <w:r>
        <w:t xml:space="preserve">Type Rationale: Base type chosen. Grouping and aggregation are the primary purposes; no calendar scheduling semantics are needed at the group level. Optional — standalone Campaigns that do not belong to a coordinated effort have no Campaign Group link.</w:t>
      </w:r>
    </w:p>
    <w:p>
      <w:pPr>
        <w:pStyle w:val="ListParagraph"/>
        <w:numPr>
          <w:ilvl w:val="0"/>
          <w:numId w:val="2"/>
        </w:numPr>
        <w:spacing w:after="60"/>
      </w:pPr>
    </w:p>
    <w:p>
      <w:pPr>
        <w:pStyle w:val="Heading2"/>
        <w:spacing w:after="120" w:before="240"/>
      </w:pPr>
      <w:r>
        <w:t xml:space="preserve">4.11 Campaign Engagement</w:t>
      </w:r>
    </w:p>
    <w:p>
      <w:pPr>
        <w:pStyle w:val="ListParagraph"/>
        <w:numPr>
          <w:ilvl w:val="0"/>
          <w:numId w:val="2"/>
        </w:numPr>
        <w:spacing w:after="60"/>
      </w:pPr>
    </w:p>
    <w:p>
      <w:pPr>
        <w:pStyle w:val="ListParagraph"/>
        <w:numPr>
          <w:ilvl w:val="0"/>
          <w:numId w:val="2"/>
        </w:numPr>
        <w:spacing w:after="60"/>
      </w:pPr>
      <w:r>
        <w:t xml:space="preserve">A per-recipient engagement record linking a Contact to a Marketing Campaign. One record per Contact per Campaign. Stores sent/opened/clicked/bounced flags and timestamps. Populated by the inbound sync from the external marketing platform (the second of three narrow exceptions to the strict one-way contact sync). Feeds the aggregate roll-up fields on the Contact entity (lastMarketingEngagement, totalCampaignsSent, totalOpens, totalClicks). Owned exclusively by the CR-MARKETING sub-domain.</w:t>
      </w:r>
    </w:p>
    <w:p>
      <w:pPr>
        <w:pStyle w:val="ListParagraph"/>
        <w:numPr>
          <w:ilvl w:val="0"/>
          <w:numId w:val="2"/>
        </w:numPr>
        <w:spacing w:after="60"/>
      </w:pPr>
      <w:r>
        <w:t xml:space="preserve">Type Rationale: Base type chosen. The entity is a relational record linking two parties with per-recipient engagement state — no calendar semantics needed.</w:t>
      </w:r>
    </w:p>
    <w:p>
      <w:pPr>
        <w:pStyle w:val="ListParagraph"/>
        <w:numPr>
          <w:ilvl w:val="0"/>
          <w:numId w:val="2"/>
        </w:numPr>
        <w:spacing w:after="60"/>
      </w:pPr>
    </w:p>
    <w:p>
      <w:pPr>
        <w:pStyle w:val="Heading2"/>
        <w:spacing w:after="120" w:before="240"/>
      </w:pPr>
      <w:r>
        <w:t xml:space="preserve">4.12 Segment</w:t>
      </w:r>
    </w:p>
    <w:p>
      <w:pPr>
        <w:pStyle w:val="ListParagraph"/>
        <w:numPr>
          <w:ilvl w:val="0"/>
          <w:numId w:val="2"/>
        </w:numPr>
        <w:spacing w:after="60"/>
      </w:pPr>
    </w:p>
    <w:p>
      <w:pPr>
        <w:pStyle w:val="ListParagraph"/>
        <w:numPr>
          <w:ilvl w:val="0"/>
          <w:numId w:val="2"/>
        </w:numPr>
        <w:spacing w:after="60"/>
      </w:pPr>
      <w:r>
        <w:t xml:space="preserve">A contact list management entity used by CR-MARKETING-CONTACTS for building and maintaining audience segments and by CR-MARKETING-CAMPAIGNS as campaign send lists. Two types distinguished by an immutable segmentType enum field: Dynamic segments define membership via stored filter criteria evaluated at view/use time; Static segments maintain an explicit many-to-many relationship to Contact records. Owned exclusively by the CR-MARKETING sub-domain of the Client Recruiting domain. 8 custom fields: name (varchar, required), description (text, optional), segmentType (enum: Dynamic or Static, immutable after creation), filterCriteria (text, required for Dynamic), memberContactIds (many-to-many relationship to Contact, used for Static), owner (relationship to User, system-set at creation), createdAt (datetime, system), modifiedAt (datetime, system). 1 forward-reference relationship: Campaign-to-Segment usage link (to be defined by CR-MARKETING-CAMPAIGNS). Source: CR-MARKETING-CONTACTS v1.0 Section 8, DAT-044 through DAT-052.</w:t>
      </w:r>
    </w:p>
    <w:p>
      <w:pPr>
        <w:pStyle w:val="ListParagraph"/>
        <w:numPr>
          <w:ilvl w:val="0"/>
          <w:numId w:val="2"/>
        </w:numPr>
        <w:spacing w:after="60"/>
      </w:pPr>
      <w:r>
        <w:t xml:space="preserve">Type Rationale: Base type chosen. Segments are metadata containers for audience selection — no calendar scheduling or event semantics needed. The two segment types (Dynamic and Static) are distinguished by an enum field, not by separate entities, because both types serve the same purpose (defining a list of Contacts for campaign targeting) and share the same core attributes.</w:t>
      </w:r>
    </w:p>
    <w:p>
      <w:pPr>
        <w:pStyle w:val="ListParagraph"/>
        <w:numPr>
          <w:ilvl w:val="0"/>
          <w:numId w:val="2"/>
        </w:numPr>
        <w:spacing w:after="60"/>
      </w:pPr>
    </w:p>
    <w:p>
      <w:pPr>
        <w:pStyle w:val="Heading1"/>
        <w:spacing w:after="120" w:before="360"/>
      </w:pPr>
      <w:r>
        <w:rPr>
          <w:rFonts w:ascii="Arial" w:cs="Arial" w:eastAsia="Arial" w:hAnsi="Arial"/>
          <w:b/>
          <w:bCs/>
          <w:i w:val="false"/>
          <w:iCs w:val="false"/>
          <w:color w:val="1F3864"/>
          <w:sz w:val="32"/>
          <w:szCs w:val="32"/>
        </w:rPr>
        <w:t xml:space="preserve">5. Cross-Domain Entity Matrix</w:t>
      </w:r>
    </w:p>
    <w:p>
      <w:pPr>
        <w:spacing w:after="120"/>
      </w:pPr>
      <w:r>
        <w:rPr>
          <w:rFonts w:ascii="Arial" w:cs="Arial" w:eastAsia="Arial" w:hAnsi="Arial"/>
          <w:b w:val="false"/>
          <w:bCs w:val="false"/>
          <w:i w:val="false"/>
          <w:iCs w:val="false"/>
          <w:sz w:val="22"/>
          <w:szCs w:val="22"/>
        </w:rPr>
        <w:t xml:space="preserve">This matrix shows which CRM entities are referenced by which domains. Entities referenced by multiple domains require Entity PRDs that consolidate fields from all contributing domains. Domains marked with an asterisk (*) have only summary-level data from the Master PRD; field-level detail will be added when those domain process documents are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40"/>
        <w:gridCol w:w="1240"/>
        <w:gridCol w:w="1240"/>
        <w:gridCol w:w="1240"/>
        <w:gridCol w:w="200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CRM Entity</w:t>
            </w:r>
          </w:p>
        </w:tc>
        <w:tc>
          <w:tcPr>
            <w:tcW w:type="dxa" w:w="12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MN</w:t>
            </w:r>
          </w:p>
        </w:tc>
        <w:tc>
          <w:tcPr>
            <w:tcW w:type="dxa" w:w="12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MR</w:t>
            </w:r>
          </w:p>
        </w:tc>
        <w:tc>
          <w:tcPr>
            <w:tcW w:type="dxa" w:w="12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CR *</w:t>
            </w:r>
          </w:p>
        </w:tc>
        <w:tc>
          <w:tcPr>
            <w:tcW w:type="dxa" w:w="12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FU *</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 Count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4 (all)</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3</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Engagement</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Session</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Dues</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Partnership Agreement</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Event</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Event Registration</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Contribution</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Fundraising Campaign</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Note †</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4 (all)</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Survey †</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2</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Survey Response †</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2</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 xml:space="preserve">Marketing Campaign</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 xml:space="preserve">Campaign Group</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 xml:space="preserve">Campaign Engagement</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 xml:space="preserve">Segment</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1</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MR, CR, and FU domains have summary-level data from the Master PRD only. Process documents for these domains have not yet been produced. The cross-domain matrix will be updated as those domains are defined.</w:t>
      </w:r>
    </w:p>
    <w:p>
      <w:pPr>
        <w:spacing w:after="12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Cross-Domain Service entities. Domain participation reflects the services that consume them as defined in the Master PRD. Native/Custom and Entity Type are TBD pending Entity PRD completion.</w:t>
      </w:r>
    </w:p>
    <w:p>
      <w:r>
        <w:br w:type="page"/>
      </w:r>
    </w:p>
    <w:p>
      <w:pPr>
        <w:pStyle w:val="Heading1"/>
        <w:spacing w:after="120" w:before="360"/>
      </w:pPr>
      <w:r>
        <w:rPr>
          <w:rFonts w:ascii="Arial" w:cs="Arial" w:eastAsia="Arial" w:hAnsi="Arial"/>
          <w:b/>
          <w:bCs/>
          <w:i w:val="false"/>
          <w:iCs w:val="false"/>
          <w:color w:val="1F3864"/>
          <w:sz w:val="32"/>
          <w:szCs w:val="32"/>
        </w:rPr>
        <w:t xml:space="preserve">6.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4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Resolution Path</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16"/>
                <w:szCs w:val="16"/>
              </w:rPr>
              <w:t xml:space="preserve">EI-ISS-001</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Acknowledgment/Tax Receipt: separate entity or feature of Contribution?</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The Master PRD references donor acknowledgment generation for tax receipts. Determine during FU domain process definition whether this requires a standalone entity or is a system action that produces output from Contribution records.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6"/>
                <w:szCs w:val="16"/>
              </w:rPr>
              <w:t xml:space="preserve">EI-ISS-002</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entity naming conflict with EspoCRM built-in Event type.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EspoCRM has both an entity type called "Event" and the ability to create custom entities of type Event. If the custom entity named "Event" causes platform conflicts, the display label may need adjustment (e.g., "CBM Event" or "Workshop"). Verify during Entity PRD or YAML generation.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16"/>
                <w:szCs w:val="16"/>
              </w:rPr>
              <w:t xml:space="preserve">EI-ISS-003</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 Status lifecycle values: Prospect added to existing list.</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The MN Domain PRD references nine Mentor Status values from the MR domain. Prospect has been confirmed as an additional value. The complete lifecycle (Prospect, Submitted, In Review, Provisional, Active, Paused, Inactive, Resigned, Departed, Declined) must be confirmed during MR domain process definition.</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6"/>
                <w:szCs w:val="16"/>
              </w:rPr>
              <w:t xml:space="preserve">EI-ISS-004</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CLOSED (v1.3): Resolved by Contact.prospectStatus (Contact Entity PRD v1.3) and Account.clientStatus (Account Entity PRD v1.2) added by CR-MARKETING Sub-Domain Overview v1.0. Client lifecycle is tracked as a marketing-funnel state on Contact and a client-relationship state on Account.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Contact type Client needs a lifecycle field analogous to Mentor Status. The lifecycle stages and field definition will be established during MN-INTAKE Entity PRD or when the CR domain is defined.</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16"/>
                <w:szCs w:val="16"/>
              </w:rPr>
              <w:t xml:space="preserve">EI-ISS-005</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lifecycle field not yet defined.</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The Master PRD describes partner status tracking (prospect through active). The lifecycle stages and field definition will be established during CR domain process definition.</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6"/>
                <w:szCs w:val="16"/>
              </w:rPr>
              <w:t xml:space="preserve">EI-ISS-006</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Donor lifecycle field not yet defined.</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The Master PRD describes donor/sponsor pipeline stages (Prospect, Contacted, In Discussion, Committed, Active, Lapsed, Closed). The lifecycle stages and field definition will be established during FU domain process definition.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16"/>
                <w:szCs w:val="16"/>
              </w:rPr>
              <w:t xml:space="preserve">EI-ISS-007</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t>CLOSED (v1.3): Account lifecycle fields are now fully defined. partnerStatus (Account Entity PRD v1.0) covers Partner accounts, funderStatus covers Donor/Sponsor accounts, and clientStatus (Account Entity PRD v1.2, added by CR-MARKETING Sub-Domain Overview v1.0) covers Client accounts. All three Account types now have lifecycle fields.</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Account types (Client, Partner, Donor/Sponsor) may each need type-specific lifecycle fields. To be determined during Entity PRD conversations.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6"/>
                <w:szCs w:val="16"/>
              </w:rPr>
              <w:t xml:space="preserve">EI-ISS-008</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Incomplete domain coverage for cross-domain entities.</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Contact and Account span all four domains but only the MN domain has field-level detail. Entity PRDs for Contact and Account will be incomplete until MR, CR, and FU domain process documents are produced. Entity PRDs should document what is known and flag incomplete domains for future updates.</w:t>
            </w:r>
          </w:p>
        </w:tc>
      </w:tr>
    </w:tbl>
    <w:p>
      <w:r>
        <w:br w:type="page"/>
      </w:r>
    </w:p>
    <w:p>
      <w:pPr>
        <w:pStyle w:val="Heading1"/>
        <w:spacing w:after="120" w:before="360"/>
      </w:pPr>
      <w:r>
        <w:rPr>
          <w:rFonts w:ascii="Arial" w:cs="Arial" w:eastAsia="Arial" w:hAnsi="Arial"/>
          <w:b/>
          <w:bCs/>
          <w:i w:val="false"/>
          <w:iCs w:val="false"/>
          <w:color w:val="1F3864"/>
          <w:sz w:val="32"/>
          <w:szCs w:val="32"/>
        </w:rPr>
        <w:t xml:space="preserve">7. Next Steps</w:t>
      </w:r>
    </w:p>
    <w:p>
      <w:pPr>
        <w:spacing w:after="120"/>
      </w:pPr>
      <w:r>
        <w:rPr>
          <w:rFonts w:ascii="Arial" w:cs="Arial" w:eastAsia="Arial" w:hAnsi="Arial"/>
          <w:b w:val="false"/>
          <w:bCs w:val="false"/>
          <w:i w:val="false"/>
          <w:iCs w:val="false"/>
          <w:sz w:val="22"/>
          <w:szCs w:val="22"/>
        </w:rPr>
        <w:t xml:space="preserve">With the Entity Inventory complete, the next phase is Entity PRDs (Phase 2b) — one conversation per CRM entity. Recommended priority order:</w:t>
      </w:r>
    </w:p>
    <w:p>
      <w:pPr>
        <w:pStyle w:val="ListParagraph"/>
        <w:numPr>
          <w:ilvl w:val="0"/>
          <w:numId w:val="2"/>
        </w:numPr>
        <w:spacing w:after="60"/>
      </w:pPr>
      <w:r>
        <w:rPr>
          <w:rFonts w:ascii="Arial" w:cs="Arial" w:eastAsia="Arial" w:hAnsi="Arial"/>
          <w:b/>
          <w:bCs/>
          <w:i w:val="false"/>
          <w:iCs w:val="false"/>
          <w:sz w:val="22"/>
          <w:szCs w:val="22"/>
        </w:rPr>
        <w:t xml:space="preserve">1. Contact</w:t>
      </w:r>
      <w:r>
        <w:rPr>
          <w:rFonts w:ascii="Arial" w:cs="Arial" w:eastAsia="Arial" w:hAnsi="Arial"/>
          <w:b w:val="false"/>
          <w:bCs w:val="false"/>
          <w:i w:val="false"/>
          <w:iCs w:val="false"/>
          <w:sz w:val="22"/>
          <w:szCs w:val="22"/>
        </w:rPr>
        <w:t xml:space="preserve"> — the most complex shared entity, spanning all four domains with seven contactType values and type-specific lifecycle fields. Detailed field data available from the MN Domain PRD; MR, CR, and FU fields at summary level.</w:t>
      </w:r>
    </w:p>
    <w:p>
      <w:pPr>
        <w:pStyle w:val="ListParagraph"/>
        <w:numPr>
          <w:ilvl w:val="0"/>
          <w:numId w:val="2"/>
        </w:numPr>
        <w:spacing w:after="60"/>
      </w:pPr>
      <w:r>
        <w:rPr>
          <w:rFonts w:ascii="Arial" w:cs="Arial" w:eastAsia="Arial" w:hAnsi="Arial"/>
          <w:b/>
          <w:bCs/>
          <w:i w:val="false"/>
          <w:iCs w:val="false"/>
          <w:sz w:val="22"/>
          <w:szCs w:val="22"/>
        </w:rPr>
        <w:t xml:space="preserve">2. Account</w:t>
      </w:r>
      <w:r>
        <w:rPr>
          <w:rFonts w:ascii="Arial" w:cs="Arial" w:eastAsia="Arial" w:hAnsi="Arial"/>
          <w:b w:val="false"/>
          <w:bCs w:val="false"/>
          <w:i w:val="false"/>
          <w:iCs w:val="false"/>
          <w:sz w:val="22"/>
          <w:szCs w:val="22"/>
        </w:rPr>
        <w:t xml:space="preserve"> — shared entity spanning MN, CR, and FU with three accountType values. MN domain has field-level detail; CR and FU at summary level.</w:t>
      </w:r>
    </w:p>
    <w:p>
      <w:pPr>
        <w:pStyle w:val="ListParagraph"/>
        <w:numPr>
          <w:ilvl w:val="0"/>
          <w:numId w:val="2"/>
        </w:numPr>
        <w:spacing w:after="60"/>
      </w:pPr>
      <w:r>
        <w:rPr>
          <w:rFonts w:ascii="Arial" w:cs="Arial" w:eastAsia="Arial" w:hAnsi="Arial"/>
          <w:b/>
          <w:bCs/>
          <w:i w:val="false"/>
          <w:iCs w:val="false"/>
          <w:sz w:val="22"/>
          <w:szCs w:val="22"/>
        </w:rPr>
        <w:t xml:space="preserve">3. Engagement</w:t>
      </w:r>
      <w:r>
        <w:rPr>
          <w:rFonts w:ascii="Arial" w:cs="Arial" w:eastAsia="Arial" w:hAnsi="Arial"/>
          <w:b w:val="false"/>
          <w:bCs w:val="false"/>
          <w:i w:val="false"/>
          <w:iCs w:val="false"/>
          <w:sz w:val="22"/>
          <w:szCs w:val="22"/>
        </w:rPr>
        <w:t xml:space="preserve"> — custom entity with the heaviest field set in the MN domain. Single-domain entity with complete field-level data available.</w:t>
      </w:r>
    </w:p>
    <w:p>
      <w:pPr>
        <w:pStyle w:val="ListParagraph"/>
        <w:numPr>
          <w:ilvl w:val="0"/>
          <w:numId w:val="2"/>
        </w:numPr>
        <w:spacing w:after="60"/>
      </w:pPr>
      <w:r>
        <w:rPr>
          <w:rFonts w:ascii="Arial" w:cs="Arial" w:eastAsia="Arial" w:hAnsi="Arial"/>
          <w:b/>
          <w:bCs/>
          <w:i w:val="false"/>
          <w:iCs w:val="false"/>
          <w:sz w:val="22"/>
          <w:szCs w:val="22"/>
        </w:rPr>
        <w:t xml:space="preserve">4. Session</w:t>
      </w:r>
      <w:r>
        <w:rPr>
          <w:rFonts w:ascii="Arial" w:cs="Arial" w:eastAsia="Arial" w:hAnsi="Arial"/>
          <w:b w:val="false"/>
          <w:bCs w:val="false"/>
          <w:i w:val="false"/>
          <w:iCs w:val="false"/>
          <w:sz w:val="22"/>
          <w:szCs w:val="22"/>
        </w:rPr>
        <w:t xml:space="preserve"> — custom entity for MN domain. Complete field-level data available.</w:t>
      </w:r>
    </w:p>
    <w:p>
      <w:pPr>
        <w:pStyle w:val="ListParagraph"/>
        <w:numPr>
          <w:ilvl w:val="0"/>
          <w:numId w:val="2"/>
        </w:numPr>
        <w:spacing w:after="60"/>
      </w:pPr>
      <w:r>
        <w:rPr>
          <w:rFonts w:ascii="Arial" w:cs="Arial" w:eastAsia="Arial" w:hAnsi="Arial"/>
          <w:b/>
          <w:bCs/>
          <w:i w:val="false"/>
          <w:iCs w:val="false"/>
          <w:sz w:val="22"/>
          <w:szCs w:val="22"/>
        </w:rPr>
        <w:t xml:space="preserve">5. Remaining entities</w:t>
      </w:r>
      <w:r>
        <w:rPr>
          <w:rFonts w:ascii="Arial" w:cs="Arial" w:eastAsia="Arial" w:hAnsi="Arial"/>
          <w:b w:val="false"/>
          <w:bCs w:val="false"/>
          <w:i w:val="false"/>
          <w:iCs w:val="false"/>
          <w:sz w:val="22"/>
          <w:szCs w:val="22"/>
        </w:rPr>
        <w:t xml:space="preserve"> — Partnership Agreement, Event, Event Registration, Contribution, and Fundraising Campaign. These entities belong to the CR and FU domains where process documents have not yet been produced. Entity PRDs should document what is known from the Master PRD and flag incomplete domains.</w:t>
      </w:r>
    </w:p>
    <w:p>
      <w:pPr>
        <w:pStyle w:val="ListParagraph"/>
        <w:numPr>
          <w:ilvl w:val="0"/>
          <w:numId w:val="4"/>
        </w:numPr>
        <w:spacing w:after="120"/>
      </w:pPr>
      <w:r>
        <w:rPr>
          <w:rFonts w:ascii="Arial" w:cs="Arial" w:eastAsia="Arial" w:hAnsi="Arial"/>
          <w:b/>
          <w:bCs/>
          <w:i w:val="false"/>
          <w:iCs w:val="false"/>
          <w:sz w:val="22"/>
          <w:szCs w:val="22"/>
        </w:rPr>
        <w:t xml:space="preserve">6. Cross-Domain Service entities</w:t>
      </w:r>
      <w:r>
        <w:rPr>
          <w:rFonts w:ascii="Arial" w:cs="Arial" w:eastAsia="Arial" w:hAnsi="Arial"/>
          <w:b w:val="false"/>
          <w:bCs w:val="false"/>
          <w:i w:val="false"/>
          <w:iCs w:val="false"/>
          <w:sz w:val="22"/>
          <w:szCs w:val="22"/>
        </w:rPr>
        <w:t xml:space="preserve"> — Note (Notes Service), Survey, and Survey Response (Survey Service). These entities are owned by Cross-Domain Services identified in Master PRD v2.1. Native/Custom and Entity Type are TBD. Entity PRDs should be produced after service process definition establishes full requirements.</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For the first Entity PRD conversation, upload the Master PRD and this Entity Inventory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360"/>
      </w:tabs>
    </w:pPr>
    <w:r>
      <w:rPr>
        <w:rFonts w:ascii="Arial" w:cs="Arial" w:eastAsia="Arial" w:hAnsi="Arial"/>
        <w:b w:val="false"/>
        <w:bCs w:val="false"/>
        <w:i w:val="false"/>
        <w:iCs w:val="false"/>
        <w:color w:val="888888"/>
        <w:sz w:val="16"/>
        <w:szCs w:val="16"/>
      </w:rPr>
      <w:t xml:space="preserve">Entity Inventory</w:t>
    </w:r>
    <w:r>
      <w:rPr>
        <w:rFonts w:ascii="Arial" w:cs="Arial" w:eastAsia="Arial" w:hAnsi="Arial"/>
        <w:color w:val="888888"/>
        <w:sz w:val="16"/>
        <w:szCs w:val="16"/>
      </w:rPr>
      <w:t xml:space="preserve">	</w:t>
    </w:r>
    <w:r>
      <w:rPr>
        <w:rFonts w:ascii="Arial" w:cs="Arial" w:eastAsia="Arial" w:hAnsi="Arial"/>
        <w:b w:val="false"/>
        <w:bCs w:val="false"/>
        <w:i w:val="false"/>
        <w:iCs w:val="false"/>
        <w:color w:val="888888"/>
        <w:sz w:val="16"/>
        <w:szCs w:val="16"/>
      </w:rPr>
      <w:t xml:space="preserve">Last Updated: 04-01-26 17:00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60"/>
      </w:tabs>
    </w:pPr>
    <w:r>
      <w:rPr>
        <w:rFonts w:ascii="Arial" w:cs="Arial" w:eastAsia="Arial" w:hAnsi="Arial"/>
        <w:b w:val="false"/>
        <w:bCs w:val="false"/>
        <w:i w:val="false"/>
        <w:iCs w:val="false"/>
        <w:color w:val="888888"/>
        <w:sz w:val="20"/>
        <w:szCs w:val="20"/>
      </w:rPr>
      <w:t xml:space="preserve">Cleveland Business Mentors</w:t>
    </w:r>
    <w:r>
      <w:rPr>
        <w:rFonts w:ascii="Arial" w:cs="Arial" w:eastAsia="Arial" w:hAnsi="Arial"/>
        <w:color w:val="888888"/>
        <w:sz w:val="20"/>
        <w:szCs w:val="20"/>
      </w:rPr>
      <w:t xml:space="preserve">	</w:t>
    </w:r>
    <w:r>
      <w:rPr>
        <w:rFonts w:ascii="Arial" w:cs="Arial" w:eastAsia="Arial" w:hAnsi="Arial"/>
        <w:b w:val="false"/>
        <w:bCs w:val="false"/>
        <w:i w:val="false"/>
        <w:iCs w:val="false"/>
        <w:color w:val="888888"/>
        <w:sz w:val="20"/>
        <w:szCs w:val="20"/>
      </w:rPr>
      <w:t xml:space="preserve">Entity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2026-04-01T19:25:34.589Z</dcterms:created>
  <dcterms:modified xsi:type="dcterms:W3CDTF">2026-04-01T19:25:34.590Z</dcterms:modified>
</cp:coreProperties>
</file>

<file path=docProps/custom.xml><?xml version="1.0" encoding="utf-8"?>
<Properties xmlns="http://schemas.openxmlformats.org/officeDocument/2006/custom-properties" xmlns:vt="http://schemas.openxmlformats.org/officeDocument/2006/docPropsVTypes"/>
</file>