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Domain PRD</w:t>
            </w:r>
          </w:p>
        </w:tc>
      </w:tr>
      <w:tr>
        <w:tc>
          <w:tcPr>
            <w:tcW w:type="dxa" w:w="4320"/>
          </w:tcPr>
          <w:p>
            <w:r>
              <w:t>Domain Code</w:t>
            </w:r>
          </w:p>
        </w:tc>
        <w:tc>
          <w:tcPr>
            <w:tcW w:type="dxa" w:w="4320"/>
          </w:tcPr>
          <w:p>
            <w:r>
              <w:t>MN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Mentoring</w:t>
            </w:r>
          </w:p>
        </w:tc>
      </w:tr>
    </w:tbl>
    <w:p>
      <w:pPr>
        <w:pStyle w:val="Heading1"/>
      </w:pPr>
      <w:r>
        <w:t>1. Domain Overview</w:t>
      </w:r>
    </w:p>
    <w:p>
      <w:r>
        <w:t>The Mentoring domain covers the full engagement lifecycle from initial client intake through engagement closure. It includes five core processes: Intake, Matching, Engage, Inactive Management, and Closure.</w:t>
      </w:r>
    </w:p>
    <w:p>
      <w:pPr>
        <w:pStyle w:val="Heading1"/>
      </w:pPr>
      <w:r>
        <w:t>2. Design Decisions</w:t>
      </w:r>
    </w:p>
    <w:p>
      <w:r>
        <w:t>MN-DEC-001: Engagement records use auto-generated names combining client name, mentor name, and start year.</w:t>
      </w:r>
    </w:p>
    <w:p>
      <w:r>
        <w:t>MN-DEC-002: Session records are never deleted; cancelled sessions retain history for institutional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