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1.5</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04-02-26 23:33</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v1.4</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eleven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 2 is performed once for the entire implementation. Phases 3, 4, and 5 repeat for each domain.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Entity PRDs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+ 1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and key data categories</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spacing w:after="120" w:before="240"/>
      </w:pPr>
      <w:r>
        <w:rPr>
          <w:rFonts w:ascii="Arial" w:cs="Arial" w:eastAsia="Arial" w:hAnsi="Arial"/>
          <w:b/>
          <w:bCs/>
          <w:i w:val="false"/>
          <w:iCs w:val="false"/>
          <w:color w:val="1F3864"/>
          <w:sz w:val="28"/>
          <w:szCs w:val="28"/>
        </w:rPr>
        <w:t xml:space="preserve">3.2 Phase 2: Entity Definition</w:t>
      </w:r>
    </w:p>
    <w:p>
      <w:pPr>
        <w:spacing w:after="120"/>
      </w:pPr>
      <w:r>
        <w:rPr>
          <w:rFonts w:ascii="Arial" w:cs="Arial" w:eastAsia="Arial" w:hAnsi="Arial"/>
          <w:b w:val="false"/>
          <w:bCs w:val="false"/>
          <w:i w:val="false"/>
          <w:iCs w:val="false"/>
          <w:sz w:val="22"/>
          <w:szCs w:val="22"/>
        </w:rPr>
        <w:t xml:space="preserve">Entity Definition establishes the data objects the CRM must manage before any process is defined in detail. It consists of two steps performed in sequence.</w:t>
      </w:r>
    </w:p>
    <w:p>
      <w:pPr>
        <w:pStyle w:val="Heading3"/>
        <w:spacing w:after="120" w:before="240"/>
      </w:pPr>
      <w:r>
        <w:rPr>
          <w:rFonts w:ascii="Arial" w:cs="Arial" w:eastAsia="Arial" w:hAnsi="Arial"/>
          <w:b/>
          <w:bCs/>
          <w:i w:val="false"/>
          <w:iCs w:val="false"/>
          <w:sz w:val="24"/>
          <w:szCs w:val="24"/>
        </w:rPr>
        <w:t xml:space="preserve">Step 1: Entity Discovery</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Entity Inventory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PRDs/{Implementation}-Entity-Inventory.docx</w:t>
      </w:r>
    </w:p>
    <w:p>
      <w:pPr>
        <w:spacing w:after="120"/>
      </w:pPr>
      <w:r>
        <w:rPr>
          <w:rFonts w:ascii="Arial" w:cs="Arial" w:eastAsia="Arial" w:hAnsi="Arial"/>
          <w:b w:val="false"/>
          <w:bCs w:val="false"/>
          <w:i w:val="false"/>
          <w:iCs w:val="false"/>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b w:val="false"/>
          <w:bCs w:val="false"/>
          <w:i w:val="false"/>
          <w:iCs w:val="false"/>
          <w:sz w:val="22"/>
          <w:szCs w:val="22"/>
        </w:rPr>
        <w:t xml:space="preserve">The Entity Inventory is a single document listing every identified entity. For each entity, the inventory captures:</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Purpose — a one-sentence description of what the entity represents</w:t>
      </w:r>
    </w:p>
    <w:p>
      <w:pPr>
        <w:pStyle w:val="ListParagraph"/>
        <w:numPr>
          <w:ilvl w:val="0"/>
          <w:numId w:val="2"/>
        </w:numPr>
        <w:spacing w:after="60"/>
      </w:pPr>
      <w:r>
        <w:rPr>
          <w:rFonts w:ascii="Arial" w:cs="Arial" w:eastAsia="Arial" w:hAnsi="Arial"/>
          <w:b w:val="false"/>
          <w:bCs w:val="false"/>
          <w:i w:val="false"/>
          <w:iCs w:val="false"/>
          <w:sz w:val="22"/>
          <w:szCs w:val="22"/>
        </w:rPr>
        <w:t xml:space="preserve">Primary domain — the domain that owns the entity’s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Additional domains — other domains that reference or interact with the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Participating processes — which processes create, read, update, or depend on this entity</w:t>
      </w:r>
    </w:p>
    <w:p>
      <w:pPr>
        <w:spacing w:after="120"/>
      </w:pPr>
      <w:r>
        <w:rPr>
          <w:rFonts w:ascii="Arial" w:cs="Arial" w:eastAsia="Arial" w:hAnsi="Arial"/>
          <w:b w:val="false"/>
          <w:bCs w:val="false"/>
          <w:i w:val="false"/>
          <w:iCs w:val="false"/>
          <w:sz w:val="22"/>
          <w:szCs w:val="22"/>
        </w:rPr>
        <w:t xml:space="preserve">During the discovery conversation, Claude also identifies:</w:t>
      </w:r>
    </w:p>
    <w:p>
      <w:pPr>
        <w:pStyle w:val="ListParagraph"/>
        <w:numPr>
          <w:ilvl w:val="0"/>
          <w:numId w:val="2"/>
        </w:numPr>
        <w:spacing w:after="60"/>
      </w:pPr>
      <w:r>
        <w:rPr>
          <w:rFonts w:ascii="Arial" w:cs="Arial" w:eastAsia="Arial" w:hAnsi="Arial"/>
          <w:b w:val="false"/>
          <w:bCs w:val="false"/>
          <w:i w:val="false"/>
          <w:iCs w:val="false"/>
          <w:sz w:val="22"/>
          <w:szCs w:val="22"/>
        </w:rPr>
        <w:t xml:space="preserve">Cross-domain entities — entities that appear in multiple domains are flagged so the detailed interview can capture all perspectives, not just one domain’s view</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vs. entity variant — whether something is its own entity or a type/variant of another (e.g., whether Partner Contact is a separate entity or a Contact with a type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Dependency order — a recommended sequence for the entity definition interviews, with foundational entities (those that other entities reference) defined first</w:t>
      </w:r>
    </w:p>
    <w:p>
      <w:pPr>
        <w:pStyle w:val="Heading3"/>
        <w:spacing w:after="120" w:before="240"/>
      </w:pPr>
      <w:r>
        <w:rPr>
          <w:rFonts w:ascii="Arial" w:cs="Arial" w:eastAsia="Arial" w:hAnsi="Arial"/>
          <w:b/>
          <w:bCs/>
          <w:i w:val="false"/>
          <w:iCs w:val="false"/>
          <w:sz w:val="24"/>
          <w:szCs w:val="24"/>
        </w:rPr>
        <w:t xml:space="preserve">Step 2: Entity Definition Interviews</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entity, done in the dependency order established in Step 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all previously completed Entity PRDs.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Entity PRD (Word document) per entity.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PRDs/entities/{EntityName}.docx</w:t>
      </w:r>
    </w:p>
    <w:p>
      <w:pPr>
        <w:spacing w:after="120"/>
      </w:pPr>
      <w:r>
        <w:rPr>
          <w:rFonts w:ascii="Arial" w:cs="Arial" w:eastAsia="Arial" w:hAnsi="Arial"/>
          <w:b w:val="false"/>
          <w:bCs w:val="false"/>
          <w:i w:val="false"/>
          <w:iCs w:val="false"/>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b w:val="false"/>
          <w:bCs w:val="false"/>
          <w:i w:val="false"/>
          <w:iCs w:val="false"/>
          <w:sz w:val="22"/>
          <w:szCs w:val="22"/>
        </w:rPr>
        <w:t xml:space="preserve">By the time the last entity is being defined, Claude has the complete entity context available in the conversation.</w:t>
      </w:r>
    </w:p>
    <w:p>
      <w:pPr>
        <w:pStyle w:val="Heading3"/>
        <w:spacing w:after="120" w:before="240"/>
      </w:pPr>
      <w:r>
        <w:rPr>
          <w:rFonts w:ascii="Arial" w:cs="Arial" w:eastAsia="Arial" w:hAnsi="Arial"/>
          <w:b/>
          <w:bCs/>
          <w:i w:val="false"/>
          <w:iCs w:val="false"/>
          <w:sz w:val="24"/>
          <w:szCs w:val="24"/>
        </w:rPr>
        <w:t xml:space="preserve">Entity PRD Structure</w:t>
      </w:r>
    </w:p>
    <w:p>
      <w:pPr>
        <w:spacing w:after="120"/>
      </w:pPr>
      <w:r>
        <w:rPr>
          <w:rFonts w:ascii="Arial" w:cs="Arial" w:eastAsia="Arial" w:hAnsi="Arial"/>
          <w:b w:val="false"/>
          <w:bCs w:val="false"/>
          <w:i w:val="false"/>
          <w:iCs w:val="false"/>
          <w:sz w:val="22"/>
          <w:szCs w:val="22"/>
        </w:rPr>
        <w:t xml:space="preserve">Every Entity PRD must contain all nine of the following sections. The Entity Definition guide (guide-entity-definition.md) provides detailed descriptions of each section. A generator template (generate-entity-prd-template.js) is available to produce Entity PRDs with consistent formatting.</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Overview — entity metadata, native/custom status, entity type, contributing domains, and discriminator details for shared entities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 fields that already exist on the entity because of its platform entity type, documented to prevent duplicate creation during YAML generation</w:t>
      </w:r>
    </w:p>
    <w:p>
      <w:pPr>
        <w:pStyle w:val="ListParagraph"/>
        <w:numPr>
          <w:ilvl w:val="0"/>
          <w:numId w:val="2"/>
        </w:numPr>
        <w:spacing w:after="60"/>
      </w:pPr>
      <w:r>
        <w:rPr>
          <w:rFonts w:ascii="Arial" w:cs="Arial" w:eastAsia="Arial" w:hAnsi="Arial"/>
          <w:b w:val="false"/>
          <w:bCs w:val="false"/>
          <w:i w:val="false"/>
          <w:iCs w:val="false"/>
          <w:sz w:val="22"/>
          <w:szCs w:val="22"/>
        </w:rPr>
        <w:t xml:space="preserve">Custom Fields — fields created via YAML, organized by scope (shared vs. type-specific) with full field-level detail including domain attribution, visibility rules, and implementation notes</w:t>
      </w:r>
    </w:p>
    <w:p>
      <w:pPr>
        <w:pStyle w:val="ListParagraph"/>
        <w:numPr>
          <w:ilvl w:val="0"/>
          <w:numId w:val="2"/>
        </w:numPr>
        <w:spacing w:after="60"/>
      </w:pPr>
      <w:r>
        <w:rPr>
          <w:rFonts w:ascii="Arial" w:cs="Arial" w:eastAsia="Arial" w:hAnsi="Arial"/>
          <w:b w:val="false"/>
          <w:bCs w:val="false"/>
          <w:i w:val="false"/>
          <w:iCs w:val="false"/>
          <w:sz w:val="22"/>
          <w:szCs w:val="22"/>
        </w:rPr>
        <w:t xml:space="preserve">Relationships — all relationships involving this entity, compiled from all domains, with link types, PRD references, and domain attribution</w:t>
      </w:r>
    </w:p>
    <w:p>
      <w:pPr>
        <w:pStyle w:val="ListParagraph"/>
        <w:numPr>
          <w:ilvl w:val="0"/>
          <w:numId w:val="2"/>
        </w:numPr>
        <w:spacing w:after="60"/>
      </w:pPr>
      <w:r>
        <w:rPr>
          <w:rFonts w:ascii="Arial" w:cs="Arial" w:eastAsia="Arial" w:hAnsi="Arial"/>
          <w:b w:val="false"/>
          <w:bCs w:val="false"/>
          <w:i w:val="false"/>
          <w:iCs w:val="false"/>
          <w:sz w:val="22"/>
          <w:szCs w:val="22"/>
        </w:rPr>
        <w:t xml:space="preserve">Dynamic Logic Rules — consolidated visibility rules for type-specific fields and panels, grouped by discriminator value</w:t>
      </w:r>
    </w:p>
    <w:p>
      <w:pPr>
        <w:pStyle w:val="ListParagraph"/>
        <w:numPr>
          <w:ilvl w:val="0"/>
          <w:numId w:val="2"/>
        </w:numPr>
        <w:spacing w:after="60"/>
      </w:pPr>
      <w:r>
        <w:rPr>
          <w:rFonts w:ascii="Arial" w:cs="Arial" w:eastAsia="Arial" w:hAnsi="Arial"/>
          <w:b w:val="false"/>
          <w:bCs w:val="false"/>
          <w:i w:val="false"/>
          <w:iCs w:val="false"/>
          <w:sz w:val="22"/>
          <w:szCs w:val="22"/>
        </w:rPr>
        <w:t xml:space="preserve">Layout Guidance — suggested panel and tab grouping for the detail view, with notes on which panels are controlled by dynamic logic</w:t>
      </w:r>
    </w:p>
    <w:p>
      <w:pPr>
        <w:pStyle w:val="ListParagraph"/>
        <w:numPr>
          <w:ilvl w:val="0"/>
          <w:numId w:val="2"/>
        </w:numPr>
        <w:spacing w:after="60"/>
      </w:pPr>
      <w:r>
        <w:rPr>
          <w:rFonts w:ascii="Arial" w:cs="Arial" w:eastAsia="Arial" w:hAnsi="Arial"/>
          <w:b w:val="false"/>
          <w:bCs w:val="false"/>
          <w:i w:val="false"/>
          <w:iCs w:val="false"/>
          <w:sz w:val="22"/>
          <w:szCs w:val="22"/>
        </w:rPr>
        <w:t xml:space="preserve">Implementation Notes — calculated field formulas, access control restrictions, audited fields, system-populated fields, and other implementation details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specific to this entity’s implementation, including issues carried forward from the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decisions made during the entity definition session, with identifiers and rationale, including decisions that affect other Entity PRDs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An Entity PRD is not complete until all nine sections are present and:</w:t>
      </w:r>
    </w:p>
    <w:p>
      <w:pPr>
        <w:pStyle w:val="ListParagraph"/>
        <w:numPr>
          <w:ilvl w:val="0"/>
          <w:numId w:val="2"/>
        </w:numPr>
        <w:spacing w:after="60"/>
      </w:pPr>
      <w:r>
        <w:rPr>
          <w:rFonts w:ascii="Arial" w:cs="Arial" w:eastAsia="Arial" w:hAnsi="Arial"/>
          <w:b w:val="false"/>
          <w:bCs w:val="false"/>
          <w:i w:val="false"/>
          <w:iCs w:val="false"/>
          <w:sz w:val="22"/>
          <w:szCs w:val="22"/>
        </w:rPr>
        <w:t xml:space="preserve">Every field has full field-level detail (name, type, required status, enum values where applicable, and description)</w:t>
      </w:r>
    </w:p>
    <w:p>
      <w:pPr>
        <w:pStyle w:val="ListParagraph"/>
        <w:numPr>
          <w:ilvl w:val="0"/>
          <w:numId w:val="2"/>
        </w:numPr>
        <w:spacing w:after="60"/>
      </w:pPr>
      <w:r>
        <w:rPr>
          <w:rFonts w:ascii="Arial" w:cs="Arial" w:eastAsia="Arial" w:hAnsi="Arial"/>
          <w:b w:val="false"/>
          <w:bCs w:val="false"/>
          <w:i w:val="false"/>
          <w:iCs w:val="false"/>
          <w:sz w:val="22"/>
          <w:szCs w:val="22"/>
        </w:rPr>
        <w:t xml:space="preserve">Every relationship to a previously defined entity is confirmed by both sides</w:t>
      </w:r>
    </w:p>
    <w:p>
      <w:pPr>
        <w:pStyle w:val="ListParagraph"/>
        <w:numPr>
          <w:ilvl w:val="0"/>
          <w:numId w:val="2"/>
        </w:numPr>
        <w:spacing w:after="60"/>
      </w:pPr>
      <w:r>
        <w:rPr>
          <w:rFonts w:ascii="Arial" w:cs="Arial" w:eastAsia="Arial" w:hAnsi="Arial"/>
          <w:b w:val="false"/>
          <w:bCs w:val="false"/>
          <w:i w:val="false"/>
          <w:iCs w:val="false"/>
          <w:sz w:val="22"/>
          <w:szCs w:val="22"/>
        </w:rPr>
        <w:t xml:space="preserve">All dynamic logic visibility rules are documented for type-specific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are clearly distinguished from custom fields so that YAML generation does not attempt to create fields that already exist on the platform</w:t>
      </w:r>
    </w:p>
    <w:p>
      <w:pPr>
        <w:pStyle w:val="Heading2"/>
        <w:spacing w:after="120" w:before="240"/>
      </w:pPr>
      <w:r>
        <w:rPr>
          <w:rFonts w:ascii="Arial" w:cs="Arial" w:eastAsia="Arial" w:hAnsi="Arial"/>
          <w:b/>
          <w:bCs/>
          <w:i w:val="false"/>
          <w:iCs w:val="false"/>
          <w:color w:val="1F3864"/>
          <w:sz w:val="28"/>
          <w:szCs w:val="28"/>
        </w:rPr>
        <w:t xml:space="preserve">3.3 Phase 3: Domain Overview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Entity PRDs for entities participating in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Overview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PRDs/{domain_code}/{Implementation}-Domain-Overview-{DomainName}.docx</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pStyle w:val="Heading2"/>
        <w:spacing w:after="120" w:before="240"/>
      </w:pPr>
      <w:r>
        <w:rPr>
          <w:rFonts w:ascii="Arial" w:cs="Arial" w:eastAsia="Arial" w:hAnsi="Arial"/>
          <w:b/>
          <w:bCs/>
          <w:i w:val="false"/>
          <w:iCs w:val="false"/>
          <w:color w:val="1F3864"/>
          <w:sz w:val="28"/>
          <w:szCs w:val="28"/>
        </w:rPr>
        <w:t xml:space="preserve">3.4 Phase 4: Process Definition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business process, done in dependency order within each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all previously completed process documents for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process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PRDs/{domain_code}/{PROCESS-CODE}.docx</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that are already defined in the Entity PRDs.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20" w:before="240"/>
      </w:pPr>
      <w:r>
        <w:rPr>
          <w:rFonts w:ascii="Arial" w:cs="Arial" w:eastAsia="Arial" w:hAnsi="Arial"/>
          <w:b/>
          <w:bCs/>
          <w:i w:val="false"/>
          <w:iCs w:val="false"/>
          <w:color w:val="1F3864"/>
          <w:sz w:val="28"/>
          <w:szCs w:val="28"/>
        </w:rPr>
        <w:t xml:space="preserve">3.5 Phase 5: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3.6 Phase 6: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5.</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3.7 Phase 7: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7,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3.8 Phase 8: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3.9 Phase 9: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3.10 Phase 10: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3.11 Phase 11: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and Domain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bl>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6) and YAML generation (Phase 7).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 Domain PRDs — reconciled synthesis of all entities and processes within a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