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2"/>
          <w:szCs w:val="52"/>
        </w:rPr>
        <w:t xml:space="preserve">Mentor Engagement Application</w:t>
      </w:r>
    </w:p>
    <w:p>
      <w:pPr>
        <w:spacing w:after="200"/>
        <w:jc w:val="center"/>
      </w:pPr>
      <w:r>
        <w:rPr>
          <w:rFonts w:ascii="Arial" w:cs="Arial" w:eastAsia="Arial" w:hAnsi="Arial"/>
          <w:color w:val="1F3864"/>
          <w:sz w:val="28"/>
          <w:szCs w:val="28"/>
        </w:rPr>
        <w:t xml:space="preserve">Product Requirements Document — Level 2 (Functional Specification)</w:t>
      </w:r>
    </w:p>
    <w:p>
      <w:pPr>
        <w:spacing w:after="600"/>
        <w:jc w:val="center"/>
      </w:pPr>
      <w:r>
        <w:rPr>
          <w:rFonts w:ascii="Arial" w:cs="Arial" w:eastAsia="Arial" w:hAnsi="Arial"/>
          <w:color w:val="888888"/>
          <w:sz w:val="24"/>
          <w:szCs w:val="24"/>
        </w:rPr>
        <w:t xml:space="preserve">Cleveland Business Mentors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Version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1.1</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Status</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Draft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Author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D. Bower</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Last Updated</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04-02-26 22:00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Related Document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Mentor Engagement Application — Level 1 (Strategic Vision) v1.0</w:t>
            </w:r>
          </w:p>
        </w:tc>
      </w:tr>
    </w:tbl>
    <w:p/>
    <w:p>
      <w:r>
        <w:br w:type="page"/>
      </w:r>
    </w:p>
    <w:p>
      <w:pPr>
        <w:pStyle w:val="Heading1"/>
        <w:spacing w:after="200" w:before="360"/>
      </w:pPr>
      <w:r>
        <w:rPr>
          <w:rFonts w:ascii="Arial" w:cs="Arial" w:eastAsia="Arial" w:hAnsi="Arial"/>
          <w:b/>
          <w:bCs/>
          <w:color w:val="1F3864"/>
          <w:sz w:val="28"/>
          <w:szCs w:val="28"/>
        </w:rPr>
        <w:t xml:space="preserve">1. Introduction</w:t>
      </w:r>
    </w:p>
    <w:p>
      <w:pPr>
        <w:pStyle w:val="Heading2"/>
        <w:spacing w:after="160" w:before="280"/>
      </w:pPr>
      <w:r>
        <w:rPr>
          <w:rFonts w:ascii="Arial" w:cs="Arial" w:eastAsia="Arial" w:hAnsi="Arial"/>
          <w:b/>
          <w:bCs/>
          <w:color w:val="1F3864"/>
          <w:sz w:val="24"/>
          <w:szCs w:val="24"/>
        </w:rPr>
        <w:t xml:space="preserve">1.1 Purpose</w:t>
      </w:r>
    </w:p>
    <w:p>
      <w:pPr>
        <w:spacing w:after="160"/>
      </w:pPr>
      <w:r>
        <w:rPr>
          <w:rFonts w:ascii="Arial" w:cs="Arial" w:eastAsia="Arial" w:hAnsi="Arial"/>
          <w:color w:val="000000"/>
          <w:sz w:val="22"/>
          <w:szCs w:val="22"/>
        </w:rPr>
        <w:t xml:space="preserve">This document defines the functional specification for the Mentor Engagement Application, expanding the strategic vision established in the Level 1 PRD into detailed requirements for user roles, view configuration, data access, API design, authentication, external integrations, and deployment. It provides sufficient detail to guide technology selection, architecture decisions, and proof-of-concept development.</w:t>
      </w:r>
    </w:p>
    <w:p>
      <w:pPr>
        <w:pStyle w:val="Heading2"/>
        <w:spacing w:after="160" w:before="280"/>
      </w:pPr>
      <w:r>
        <w:rPr>
          <w:rFonts w:ascii="Arial" w:cs="Arial" w:eastAsia="Arial" w:hAnsi="Arial"/>
          <w:b/>
          <w:bCs/>
          <w:color w:val="1F3864"/>
          <w:sz w:val="24"/>
          <w:szCs w:val="24"/>
        </w:rPr>
        <w:t xml:space="preserve">1.2 Relationship to Level 1</w:t>
      </w:r>
    </w:p>
    <w:p>
      <w:pPr>
        <w:spacing w:after="160"/>
      </w:pPr>
      <w:r>
        <w:rPr>
          <w:rFonts w:ascii="Arial" w:cs="Arial" w:eastAsia="Arial" w:hAnsi="Arial"/>
          <w:color w:val="000000"/>
          <w:sz w:val="22"/>
          <w:szCs w:val="22"/>
        </w:rPr>
        <w:t xml:space="preserve">This document implements the vision, goals, and scope boundaries defined in the Level 1 PRD. Where the Level 1 describes what the application should accomplish, this document describes how it should work. All design decisions in this document are traceable to the strategic goals and scope boundaries in the Level 1.</w:t>
      </w:r>
    </w:p>
    <w:p>
      <w:pPr>
        <w:pStyle w:val="Heading2"/>
        <w:spacing w:after="160" w:before="280"/>
      </w:pPr>
      <w:r>
        <w:rPr>
          <w:rFonts w:ascii="Arial" w:cs="Arial" w:eastAsia="Arial" w:hAnsi="Arial"/>
          <w:b/>
          <w:bCs/>
          <w:color w:val="1F3864"/>
          <w:sz w:val="24"/>
          <w:szCs w:val="24"/>
        </w:rPr>
        <w:t xml:space="preserve">1.3 Assumptions</w:t>
      </w:r>
    </w:p>
    <w:p>
      <w:pPr>
        <w:pStyle w:val="ListParagraph"/>
        <w:numPr>
          <w:ilvl w:val="0"/>
          <w:numId w:val="2"/>
        </w:numPr>
        <w:spacing w:after="80"/>
      </w:pPr>
      <w:r>
        <w:rPr>
          <w:rFonts w:ascii="Arial" w:cs="Arial" w:eastAsia="Arial" w:hAnsi="Arial"/>
          <w:sz w:val="22"/>
          <w:szCs w:val="22"/>
        </w:rPr>
        <w:t xml:space="preserve">The CRM system provides a REST API capable of handling all create, update, and delete operations with full business rule enforcement.</w:t>
      </w:r>
    </w:p>
    <w:p>
      <w:pPr>
        <w:pStyle w:val="ListParagraph"/>
        <w:numPr>
          <w:ilvl w:val="0"/>
          <w:numId w:val="2"/>
        </w:numPr>
        <w:spacing w:after="80"/>
      </w:pPr>
      <w:r>
        <w:rPr>
          <w:rFonts w:ascii="Arial" w:cs="Arial" w:eastAsia="Arial" w:hAnsi="Arial"/>
          <w:sz w:val="22"/>
          <w:szCs w:val="22"/>
        </w:rPr>
        <w:t xml:space="preserve">The CRM database is directly accessible from the application’s backend service via the Docker network.</w:t>
      </w:r>
    </w:p>
    <w:p>
      <w:pPr>
        <w:pStyle w:val="ListParagraph"/>
        <w:numPr>
          <w:ilvl w:val="0"/>
          <w:numId w:val="2"/>
        </w:numPr>
        <w:spacing w:after="80"/>
      </w:pPr>
      <w:r>
        <w:rPr>
          <w:rFonts w:ascii="Arial" w:cs="Arial" w:eastAsia="Arial" w:hAnsi="Arial"/>
          <w:sz w:val="22"/>
          <w:szCs w:val="22"/>
        </w:rPr>
        <w:t xml:space="preserve">The CRM’s user authentication system supports credential validation via API.</w:t>
      </w:r>
    </w:p>
    <w:p>
      <w:pPr>
        <w:pStyle w:val="ListParagraph"/>
        <w:numPr>
          <w:ilvl w:val="0"/>
          <w:numId w:val="2"/>
        </w:numPr>
        <w:spacing w:after="80"/>
      </w:pPr>
      <w:r>
        <w:rPr>
          <w:rFonts w:ascii="Arial" w:cs="Arial" w:eastAsia="Arial" w:hAnsi="Arial"/>
          <w:sz w:val="22"/>
          <w:szCs w:val="22"/>
        </w:rPr>
        <w:t xml:space="preserve">The CRM uses a role-based security model with security teams that can be read programmatically.</w:t>
      </w:r>
    </w:p>
    <w:p>
      <w:pPr>
        <w:pStyle w:val="ListParagraph"/>
        <w:numPr>
          <w:ilvl w:val="0"/>
          <w:numId w:val="2"/>
        </w:numPr>
        <w:spacing w:after="80"/>
      </w:pPr>
      <w:r>
        <w:rPr>
          <w:rFonts w:ascii="Arial" w:cs="Arial" w:eastAsia="Arial" w:hAnsi="Arial"/>
          <w:sz w:val="22"/>
          <w:szCs w:val="22"/>
        </w:rPr>
        <w:t xml:space="preserve">The organization uses Google Workspace for email and calendar.</w:t>
      </w:r>
    </w:p>
    <w:p>
      <w:pPr>
        <w:pStyle w:val="ListParagraph"/>
        <w:numPr>
          <w:ilvl w:val="0"/>
          <w:numId w:val="2"/>
        </w:numPr>
        <w:spacing w:after="80"/>
      </w:pPr>
      <w:r>
        <w:rPr>
          <w:rFonts w:ascii="Arial" w:cs="Arial" w:eastAsia="Arial" w:hAnsi="Arial"/>
          <w:sz w:val="22"/>
          <w:szCs w:val="22"/>
        </w:rPr>
        <w:t xml:space="preserve">The expected user base is under 100 concurrent users.</w:t>
      </w:r>
    </w:p>
    <w:p>
      <w:r>
        <w:br w:type="page"/>
      </w:r>
    </w:p>
    <w:p>
      <w:pPr>
        <w:pStyle w:val="Heading1"/>
        <w:spacing w:after="200" w:before="360"/>
      </w:pPr>
      <w:r>
        <w:rPr>
          <w:rFonts w:ascii="Arial" w:cs="Arial" w:eastAsia="Arial" w:hAnsi="Arial"/>
          <w:b/>
          <w:bCs/>
          <w:color w:val="1F3864"/>
          <w:sz w:val="28"/>
          <w:szCs w:val="28"/>
        </w:rPr>
        <w:t xml:space="preserve">2. User Roles and Permissions</w:t>
      </w:r>
    </w:p>
    <w:p>
      <w:pPr>
        <w:pStyle w:val="Heading2"/>
        <w:spacing w:after="160" w:before="280"/>
      </w:pPr>
      <w:r>
        <w:rPr>
          <w:rFonts w:ascii="Arial" w:cs="Arial" w:eastAsia="Arial" w:hAnsi="Arial"/>
          <w:b/>
          <w:bCs/>
          <w:color w:val="1F3864"/>
          <w:sz w:val="24"/>
          <w:szCs w:val="24"/>
        </w:rPr>
        <w:t xml:space="preserve">2.1 Overview</w:t>
      </w:r>
    </w:p>
    <w:p>
      <w:pPr>
        <w:spacing w:after="160"/>
      </w:pPr>
      <w:r>
        <w:rPr>
          <w:rFonts w:ascii="Arial" w:cs="Arial" w:eastAsia="Arial" w:hAnsi="Arial"/>
          <w:color w:val="000000"/>
          <w:sz w:val="22"/>
          <w:szCs w:val="22"/>
        </w:rPr>
        <w:t xml:space="preserve">The application defines three roles arranged in a hierarchical permission model. Each higher role inherits all capabilities of the roles below it. Role assignment is determined by the user’s CRM security team membership, mapped through a configurable role-mapping table maintained by the Super Admin.</w:t>
      </w:r>
    </w:p>
    <w:p>
      <w:pPr>
        <w:pStyle w:val="Heading2"/>
        <w:spacing w:after="160" w:before="280"/>
      </w:pPr>
      <w:r>
        <w:rPr>
          <w:rFonts w:ascii="Arial" w:cs="Arial" w:eastAsia="Arial" w:hAnsi="Arial"/>
          <w:b/>
          <w:bCs/>
          <w:color w:val="1F3864"/>
          <w:sz w:val="24"/>
          <w:szCs w:val="24"/>
        </w:rPr>
        <w:t xml:space="preserve">2.2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Data Visibility</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Capabilities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Mentor</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Own assigned clients only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Use any active view; open detail screens; edit records; create sessions; add relationships; send session summaries; create calendar invites</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Admin</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All clients</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All Mentor capabilities plus: create, edit, and deactivate views on existing data sources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Super Admin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All clients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All Admin capabilities plus: create, edit, and deactivate data sources; manage role-mapping configuration</w:t>
            </w:r>
          </w:p>
        </w:tc>
      </w:tr>
    </w:tbl>
    <w:p>
      <w:pPr>
        <w:spacing w:after="160"/>
      </w:pPr>
    </w:p>
    <w:p>
      <w:pPr>
        <w:pStyle w:val="Heading2"/>
        <w:spacing w:after="160" w:before="280"/>
      </w:pPr>
      <w:r>
        <w:rPr>
          <w:rFonts w:ascii="Arial" w:cs="Arial" w:eastAsia="Arial" w:hAnsi="Arial"/>
          <w:b/>
          <w:bCs/>
          <w:color w:val="1F3864"/>
          <w:sz w:val="24"/>
          <w:szCs w:val="24"/>
        </w:rPr>
        <w:t xml:space="preserve">2.3 Role Determination</w:t>
      </w:r>
    </w:p>
    <w:p>
      <w:pPr>
        <w:spacing w:after="160"/>
      </w:pPr>
      <w:r>
        <w:rPr>
          <w:rFonts w:ascii="Arial" w:cs="Arial" w:eastAsia="Arial" w:hAnsi="Arial"/>
          <w:color w:val="000000"/>
          <w:sz w:val="22"/>
          <w:szCs w:val="22"/>
        </w:rPr>
        <w:t xml:space="preserve">At login, the backend reads the authenticated user’s CRM security team memberships and maps them to an application role using a configurable mapping table. If a user belongs to multiple CRM security teams that map to different application roles, the highest-privilege role applies. The mapping table is stored in the application’s dedicated database tables and is editable only by Super Admins.</w:t>
      </w:r>
    </w:p>
    <w:p>
      <w:pPr>
        <w:pStyle w:val="Heading2"/>
        <w:spacing w:after="160" w:before="280"/>
      </w:pPr>
      <w:r>
        <w:rPr>
          <w:rFonts w:ascii="Arial" w:cs="Arial" w:eastAsia="Arial" w:hAnsi="Arial"/>
          <w:b/>
          <w:bCs/>
          <w:color w:val="1F3864"/>
          <w:sz w:val="24"/>
          <w:szCs w:val="24"/>
        </w:rPr>
        <w:t xml:space="preserve">2.4 Data Filtering</w:t>
      </w:r>
    </w:p>
    <w:p>
      <w:pPr>
        <w:spacing w:after="160"/>
      </w:pPr>
      <w:r>
        <w:rPr>
          <w:rFonts w:ascii="Arial" w:cs="Arial" w:eastAsia="Arial" w:hAnsi="Arial"/>
          <w:color w:val="000000"/>
          <w:sz w:val="22"/>
          <w:szCs w:val="22"/>
        </w:rPr>
        <w:t xml:space="preserve">Data visibility is enforced at the query level, not the application layer. When the backend executes a data source query, it injects a parameter representing the current user’s identity. For Mentors, the query filters results to only those records where the mentor relationship matches the current user. For Admins and Super Admins, no mentor filter is applied, returning all records.</w:t>
      </w:r>
    </w:p>
    <w:p>
      <w:r>
        <w:br w:type="page"/>
      </w:r>
    </w:p>
    <w:p>
      <w:pPr>
        <w:pStyle w:val="Heading1"/>
        <w:spacing w:after="200" w:before="360"/>
      </w:pPr>
      <w:r>
        <w:rPr>
          <w:rFonts w:ascii="Arial" w:cs="Arial" w:eastAsia="Arial" w:hAnsi="Arial"/>
          <w:b/>
          <w:bCs/>
          <w:color w:val="1F3864"/>
          <w:sz w:val="28"/>
          <w:szCs w:val="28"/>
        </w:rPr>
        <w:t xml:space="preserve">3. View Configuration Schema</w:t>
      </w:r>
    </w:p>
    <w:p>
      <w:pPr>
        <w:pStyle w:val="Heading2"/>
        <w:spacing w:after="160" w:before="280"/>
      </w:pPr>
      <w:r>
        <w:rPr>
          <w:rFonts w:ascii="Arial" w:cs="Arial" w:eastAsia="Arial" w:hAnsi="Arial"/>
          <w:b/>
          <w:bCs/>
          <w:color w:val="1F3864"/>
          <w:sz w:val="24"/>
          <w:szCs w:val="24"/>
        </w:rPr>
        <w:t xml:space="preserve">3.1 Two-Layer Architecture</w:t>
      </w:r>
    </w:p>
    <w:p>
      <w:pPr>
        <w:spacing w:after="160"/>
      </w:pPr>
      <w:r>
        <w:rPr>
          <w:rFonts w:ascii="Arial" w:cs="Arial" w:eastAsia="Arial" w:hAnsi="Arial"/>
          <w:color w:val="000000"/>
          <w:sz w:val="22"/>
          <w:szCs w:val="22"/>
        </w:rPr>
        <w:t xml:space="preserve">The application uses a two-layer configuration model that separates data retrieval complexity from presentation and filtering concerns.</w:t>
      </w:r>
    </w:p>
    <w:p>
      <w:pPr>
        <w:spacing w:after="120" w:before="200"/>
      </w:pPr>
      <w:r>
        <w:rPr>
          <w:rFonts w:ascii="Arial" w:cs="Arial" w:eastAsia="Arial" w:hAnsi="Arial"/>
          <w:b/>
          <w:bCs/>
          <w:color w:val="1F3864"/>
          <w:sz w:val="22"/>
          <w:szCs w:val="22"/>
        </w:rPr>
        <w:t xml:space="preserve">Layer 1: Data Sources</w:t>
      </w:r>
    </w:p>
    <w:p>
      <w:pPr>
        <w:spacing w:after="160"/>
      </w:pPr>
      <w:r>
        <w:rPr>
          <w:rFonts w:ascii="Arial" w:cs="Arial" w:eastAsia="Arial" w:hAnsi="Arial"/>
          <w:color w:val="000000"/>
          <w:sz w:val="22"/>
          <w:szCs w:val="22"/>
        </w:rPr>
        <w:t xml:space="preserve">A data source is a named, reusable query definition that serves as the foundation for one or more views. Data sources encapsulate all complexity related to entity relationships, joins, unions, field selection, and hierarchical grouping. Data sources are created and managed exclusively by Super Admins.</w:t>
      </w:r>
    </w:p>
    <w:p>
      <w:pPr>
        <w:spacing w:after="120" w:before="200"/>
      </w:pPr>
      <w:r>
        <w:rPr>
          <w:rFonts w:ascii="Arial" w:cs="Arial" w:eastAsia="Arial" w:hAnsi="Arial"/>
          <w:b/>
          <w:bCs/>
          <w:color w:val="1F3864"/>
          <w:sz w:val="22"/>
          <w:szCs w:val="22"/>
        </w:rPr>
        <w:t xml:space="preserve">Layer 2: Views</w:t>
      </w:r>
    </w:p>
    <w:p>
      <w:pPr>
        <w:spacing w:after="160"/>
      </w:pPr>
      <w:r>
        <w:rPr>
          <w:rFonts w:ascii="Arial" w:cs="Arial" w:eastAsia="Arial" w:hAnsi="Arial"/>
          <w:color w:val="000000"/>
          <w:sz w:val="22"/>
          <w:szCs w:val="22"/>
        </w:rPr>
        <w:t xml:space="preserve">A view is a named presentation configuration built on top of a single data source. Views select a subset of the data source’s available columns, apply additional filters, define sort order, and control display behavior. Multiple views can reference the same data source. Views are created and managed by Admins and Super Admins.</w:t>
      </w:r>
    </w:p>
    <w:p>
      <w:pPr>
        <w:pStyle w:val="Heading2"/>
        <w:spacing w:after="160" w:before="280"/>
      </w:pPr>
      <w:r>
        <w:rPr>
          <w:rFonts w:ascii="Arial" w:cs="Arial" w:eastAsia="Arial" w:hAnsi="Arial"/>
          <w:b/>
          <w:bCs/>
          <w:color w:val="1F3864"/>
          <w:sz w:val="24"/>
          <w:szCs w:val="24"/>
        </w:rPr>
        <w:t xml:space="preserve">3.2 Data Source Definition</w:t>
      </w:r>
    </w:p>
    <w:p>
      <w:pPr>
        <w:spacing w:after="160"/>
      </w:pPr>
      <w:r>
        <w:rPr>
          <w:rFonts w:ascii="Arial" w:cs="Arial" w:eastAsia="Arial" w:hAnsi="Arial"/>
          <w:color w:val="000000"/>
          <w:sz w:val="22"/>
          <w:szCs w:val="22"/>
        </w:rPr>
        <w:t xml:space="preserve">Each data source record consists of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 unique, human-readable identifier for the data source.</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Description</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brief explanation of what data the source provides and its intended use.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SQL Query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 SELECT statement executed against the CRM database. Must be a valid SELECT; INSERT, UPDATE, DELETE, DROP, and all other non-SELECT statements are rejected. Execution is subject to a configurable timeout threshold.</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Column Metadata</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For each column returned by the query: a logical column name, a display-friendly label, and a data type designation. Column metadata is used by views to reference available columns.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Hierarchy Definition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An ordered list of hierarchy levels. Each level specifies: the column that defines group membership at that level, the display column(s) shown for the group header, and the parent-child grouping key linking it to the level above. Supports arbitrary depth. If no hierarchy is defined, results render as a flat table.</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Named Parameters</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Declared parameters that the backend injects at query execution time. The current user’s identity is always available as a built-in parameter. Additional parameters may be defined for use in view-level filters.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Status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Active or Inactive. Inactive data sources make all dependent views unavailable.</w:t>
            </w:r>
          </w:p>
        </w:tc>
      </w:tr>
    </w:tbl>
    <w:p>
      <w:pPr>
        <w:spacing w:after="160"/>
      </w:pPr>
    </w:p>
    <w:p>
      <w:pPr>
        <w:pStyle w:val="Heading2"/>
        <w:spacing w:after="160" w:before="280"/>
      </w:pPr>
      <w:r>
        <w:rPr>
          <w:rFonts w:ascii="Arial" w:cs="Arial" w:eastAsia="Arial" w:hAnsi="Arial"/>
          <w:b/>
          <w:bCs/>
          <w:color w:val="1F3864"/>
          <w:sz w:val="24"/>
          <w:szCs w:val="24"/>
        </w:rPr>
        <w:t xml:space="preserve">3.3 Data Source SQL Guardrails</w:t>
      </w:r>
    </w:p>
    <w:p>
      <w:pPr>
        <w:spacing w:after="160"/>
      </w:pPr>
      <w:r>
        <w:rPr>
          <w:rFonts w:ascii="Arial" w:cs="Arial" w:eastAsia="Arial" w:hAnsi="Arial"/>
          <w:color w:val="000000"/>
          <w:sz w:val="22"/>
          <w:szCs w:val="22"/>
        </w:rPr>
        <w:t xml:space="preserve">The following constraints are enforced on all data source SQL queries:</w:t>
      </w:r>
    </w:p>
    <w:p>
      <w:pPr>
        <w:pStyle w:val="ListParagraph"/>
        <w:numPr>
          <w:ilvl w:val="0"/>
          <w:numId w:val="2"/>
        </w:numPr>
        <w:spacing w:after="80"/>
      </w:pPr>
      <w:r>
        <w:rPr>
          <w:rFonts w:ascii="Arial" w:cs="Arial" w:eastAsia="Arial" w:hAnsi="Arial"/>
          <w:sz w:val="22"/>
          <w:szCs w:val="22"/>
        </w:rPr>
        <w:t xml:space="preserve">Only SELECT statements are permitted. Any query beginning with or containing INSERT, UPDATE, DELETE, DROP, ALTER, CREATE, TRUNCATE, GRANT, REVOKE, or EXECUTE is rejected at save time.</w:t>
      </w:r>
    </w:p>
    <w:p>
      <w:pPr>
        <w:pStyle w:val="ListParagraph"/>
        <w:numPr>
          <w:ilvl w:val="0"/>
          <w:numId w:val="2"/>
        </w:numPr>
        <w:spacing w:after="80"/>
      </w:pPr>
      <w:r>
        <w:rPr>
          <w:rFonts w:ascii="Arial" w:cs="Arial" w:eastAsia="Arial" w:hAnsi="Arial"/>
          <w:sz w:val="22"/>
          <w:szCs w:val="22"/>
        </w:rPr>
        <w:t xml:space="preserve">Queries may only reference tables within the CRM database and the application’s dedicated tables (identified by their distinct table prefix).</w:t>
      </w:r>
    </w:p>
    <w:p>
      <w:pPr>
        <w:pStyle w:val="ListParagraph"/>
        <w:numPr>
          <w:ilvl w:val="0"/>
          <w:numId w:val="2"/>
        </w:numPr>
        <w:spacing w:after="80"/>
      </w:pPr>
      <w:r>
        <w:rPr>
          <w:rFonts w:ascii="Arial" w:cs="Arial" w:eastAsia="Arial" w:hAnsi="Arial"/>
          <w:sz w:val="22"/>
          <w:szCs w:val="22"/>
        </w:rPr>
        <w:t xml:space="preserve">Query execution is subject to a configurable timeout. If a query exceeds the timeout, execution is terminated and an error is returned.</w:t>
      </w:r>
    </w:p>
    <w:p>
      <w:pPr>
        <w:pStyle w:val="ListParagraph"/>
        <w:numPr>
          <w:ilvl w:val="0"/>
          <w:numId w:val="2"/>
        </w:numPr>
        <w:spacing w:after="80"/>
      </w:pPr>
      <w:r>
        <w:rPr>
          <w:rFonts w:ascii="Arial" w:cs="Arial" w:eastAsia="Arial" w:hAnsi="Arial"/>
          <w:sz w:val="22"/>
          <w:szCs w:val="22"/>
        </w:rPr>
        <w:t xml:space="preserve">Parameter placeholders must use named parameter syntax. Raw value concatenation is not permitted.</w:t>
      </w:r>
    </w:p>
    <w:p>
      <w:pPr>
        <w:pStyle w:val="Heading2"/>
        <w:spacing w:after="160" w:before="280"/>
      </w:pPr>
      <w:r>
        <w:rPr>
          <w:rFonts w:ascii="Arial" w:cs="Arial" w:eastAsia="Arial" w:hAnsi="Arial"/>
          <w:b/>
          <w:bCs/>
          <w:color w:val="1F3864"/>
          <w:sz w:val="24"/>
          <w:szCs w:val="24"/>
        </w:rPr>
        <w:t xml:space="preserve">3.4 View Definition</w:t>
      </w:r>
    </w:p>
    <w:p>
      <w:pPr>
        <w:spacing w:after="160"/>
      </w:pPr>
      <w:r>
        <w:rPr>
          <w:rFonts w:ascii="Arial" w:cs="Arial" w:eastAsia="Arial" w:hAnsi="Arial"/>
          <w:color w:val="000000"/>
          <w:sz w:val="22"/>
          <w:szCs w:val="22"/>
        </w:rPr>
        <w:t xml:space="preserve">Each view record consists of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 unique, human-readable identifier for the view.</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Description</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brief explanation of what the view shows and its intended audience.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Data Source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 reference to exactly one data source. The view inherits the data source’s query, hierarchy, and available columns.</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Selected Columns</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An ordered subset of the data source’s columns to display. Column order in this list determines display order in the grid.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Preset Filters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Zero or more filter conditions applied automatically when the view loads. Each filter specifies a column, an operator, and a value. Preset filters are combined with the role-based data filter.</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Default Sort</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The initial sort column and direction (ascending or descending) applied when the view loads. Users may override this at runtime.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Display Options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Configuration controlling initial display behavior, including which hierarchy levels are visible and default collapsed/expanded state.</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Status</w:t>
            </w:r>
          </w:p>
        </w:tc>
        <w:tc>
          <w:tcPr>
            <w:tcW w:type="dxa" w:w="6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Active or Inactive. Inactive views are hidden from all users.</w:t>
            </w:r>
          </w:p>
        </w:tc>
      </w:tr>
    </w:tbl>
    <w:p>
      <w:pPr>
        <w:spacing w:after="160"/>
      </w:pPr>
    </w:p>
    <w:p>
      <w:pPr>
        <w:pStyle w:val="Heading2"/>
        <w:spacing w:after="160" w:before="280"/>
      </w:pPr>
      <w:r>
        <w:rPr>
          <w:rFonts w:ascii="Arial" w:cs="Arial" w:eastAsia="Arial" w:hAnsi="Arial"/>
          <w:b/>
          <w:bCs/>
          <w:color w:val="1F3864"/>
          <w:sz w:val="24"/>
          <w:szCs w:val="24"/>
        </w:rPr>
        <w:t xml:space="preserve">3.5 Relationship Between Data Sources and Views</w:t>
      </w:r>
    </w:p>
    <w:p>
      <w:pPr>
        <w:pStyle w:val="ListParagraph"/>
        <w:numPr>
          <w:ilvl w:val="0"/>
          <w:numId w:val="2"/>
        </w:numPr>
        <w:spacing w:after="80"/>
      </w:pPr>
      <w:r>
        <w:rPr>
          <w:rFonts w:ascii="Arial" w:cs="Arial" w:eastAsia="Arial" w:hAnsi="Arial"/>
          <w:sz w:val="22"/>
          <w:szCs w:val="22"/>
        </w:rPr>
        <w:t xml:space="preserve">One data source can support many views.</w:t>
      </w:r>
    </w:p>
    <w:p>
      <w:pPr>
        <w:pStyle w:val="ListParagraph"/>
        <w:numPr>
          <w:ilvl w:val="0"/>
          <w:numId w:val="2"/>
        </w:numPr>
        <w:spacing w:after="80"/>
      </w:pPr>
      <w:r>
        <w:rPr>
          <w:rFonts w:ascii="Arial" w:cs="Arial" w:eastAsia="Arial" w:hAnsi="Arial"/>
          <w:sz w:val="22"/>
          <w:szCs w:val="22"/>
        </w:rPr>
        <w:t xml:space="preserve">Each view references exactly one data source.</w:t>
      </w:r>
    </w:p>
    <w:p>
      <w:pPr>
        <w:pStyle w:val="ListParagraph"/>
        <w:numPr>
          <w:ilvl w:val="0"/>
          <w:numId w:val="2"/>
        </w:numPr>
        <w:spacing w:after="80"/>
      </w:pPr>
      <w:r>
        <w:rPr>
          <w:rFonts w:ascii="Arial" w:cs="Arial" w:eastAsia="Arial" w:hAnsi="Arial"/>
          <w:sz w:val="22"/>
          <w:szCs w:val="22"/>
        </w:rPr>
        <w:t xml:space="preserve">Deactivating a data source automatically makes all dependent views unavailable.</w:t>
      </w:r>
    </w:p>
    <w:p>
      <w:pPr>
        <w:pStyle w:val="ListParagraph"/>
        <w:numPr>
          <w:ilvl w:val="0"/>
          <w:numId w:val="2"/>
        </w:numPr>
        <w:spacing w:after="80"/>
      </w:pPr>
      <w:r>
        <w:rPr>
          <w:rFonts w:ascii="Arial" w:cs="Arial" w:eastAsia="Arial" w:hAnsi="Arial"/>
          <w:sz w:val="22"/>
          <w:szCs w:val="22"/>
        </w:rPr>
        <w:t xml:space="preserve">Changes to a data source’s column metadata or hierarchy definition may affect dependent views. The application should warn the Super Admin of dependent views before saving changes to a data source.</w:t>
      </w:r>
    </w:p>
    <w:p>
      <w:r>
        <w:br w:type="page"/>
      </w:r>
    </w:p>
    <w:p>
      <w:pPr>
        <w:pStyle w:val="Heading1"/>
        <w:spacing w:after="200" w:before="360"/>
      </w:pPr>
      <w:r>
        <w:rPr>
          <w:rFonts w:ascii="Arial" w:cs="Arial" w:eastAsia="Arial" w:hAnsi="Arial"/>
          <w:b/>
          <w:bCs/>
          <w:color w:val="1F3864"/>
          <w:sz w:val="28"/>
          <w:szCs w:val="28"/>
        </w:rPr>
        <w:t xml:space="preserve">4. Mentor Experience</w:t>
      </w:r>
    </w:p>
    <w:p>
      <w:pPr>
        <w:pStyle w:val="Heading2"/>
        <w:spacing w:after="160" w:before="280"/>
      </w:pPr>
      <w:r>
        <w:rPr>
          <w:rFonts w:ascii="Arial" w:cs="Arial" w:eastAsia="Arial" w:hAnsi="Arial"/>
          <w:b/>
          <w:bCs/>
          <w:color w:val="1F3864"/>
          <w:sz w:val="24"/>
          <w:szCs w:val="24"/>
        </w:rPr>
        <w:t xml:space="preserve">4.1 Login</w:t>
      </w:r>
    </w:p>
    <w:p>
      <w:pPr>
        <w:spacing w:after="160"/>
      </w:pPr>
      <w:r>
        <w:rPr>
          <w:rFonts w:ascii="Arial" w:cs="Arial" w:eastAsia="Arial" w:hAnsi="Arial"/>
          <w:color w:val="000000"/>
          <w:sz w:val="22"/>
          <w:szCs w:val="22"/>
        </w:rPr>
        <w:t xml:space="preserve">The mentor opens the application in a web browser and authenticates using their existing CRM credentials. No separate account creation or registration is required. On first login, the mentor is prompted to authorize the application to access their Google Workspace account for calendar and email functionality (see Section 9).</w:t>
      </w:r>
    </w:p>
    <w:p>
      <w:pPr>
        <w:pStyle w:val="Heading2"/>
        <w:spacing w:after="160" w:before="280"/>
      </w:pPr>
      <w:r>
        <w:rPr>
          <w:rFonts w:ascii="Arial" w:cs="Arial" w:eastAsia="Arial" w:hAnsi="Arial"/>
          <w:b/>
          <w:bCs/>
          <w:color w:val="1F3864"/>
          <w:sz w:val="24"/>
          <w:szCs w:val="24"/>
        </w:rPr>
        <w:t xml:space="preserve">4.2 Landing State</w:t>
      </w:r>
    </w:p>
    <w:p>
      <w:pPr>
        <w:spacing w:after="160"/>
      </w:pPr>
      <w:r>
        <w:rPr>
          <w:rFonts w:ascii="Arial" w:cs="Arial" w:eastAsia="Arial" w:hAnsi="Arial"/>
          <w:color w:val="000000"/>
          <w:sz w:val="22"/>
          <w:szCs w:val="22"/>
        </w:rPr>
        <w:t xml:space="preserve">After successful authentication, the application loads the last view the user selected in their previous session. If no previous session exists (first-time user), the application loads the first view in the list of available views. The user’s last-selected view is persisted across sessions.</w:t>
      </w:r>
    </w:p>
    <w:p>
      <w:pPr>
        <w:pStyle w:val="Heading2"/>
        <w:spacing w:after="160" w:before="280"/>
      </w:pPr>
      <w:r>
        <w:rPr>
          <w:rFonts w:ascii="Arial" w:cs="Arial" w:eastAsia="Arial" w:hAnsi="Arial"/>
          <w:b/>
          <w:bCs/>
          <w:color w:val="1F3864"/>
          <w:sz w:val="24"/>
          <w:szCs w:val="24"/>
        </w:rPr>
        <w:t xml:space="preserve">4.3 View Selector</w:t>
      </w:r>
    </w:p>
    <w:p>
      <w:pPr>
        <w:spacing w:after="160"/>
      </w:pPr>
      <w:r>
        <w:rPr>
          <w:rFonts w:ascii="Arial" w:cs="Arial" w:eastAsia="Arial" w:hAnsi="Arial"/>
          <w:color w:val="000000"/>
          <w:sz w:val="22"/>
          <w:szCs w:val="22"/>
        </w:rPr>
        <w:t xml:space="preserve">A view selector control is always visible, allowing the user to switch between all active views. All active views are available to all authenticated users regardless of role. Switching views loads the selected view’s data source query with the appropriate role-based parameters and renders the results.</w:t>
      </w:r>
    </w:p>
    <w:p>
      <w:pPr>
        <w:pStyle w:val="Heading2"/>
        <w:spacing w:after="160" w:before="280"/>
      </w:pPr>
      <w:r>
        <w:rPr>
          <w:rFonts w:ascii="Arial" w:cs="Arial" w:eastAsia="Arial" w:hAnsi="Arial"/>
          <w:b/>
          <w:bCs/>
          <w:color w:val="1F3864"/>
          <w:sz w:val="24"/>
          <w:szCs w:val="24"/>
        </w:rPr>
        <w:t xml:space="preserve">4.4 Data Grid</w:t>
      </w:r>
    </w:p>
    <w:p>
      <w:pPr>
        <w:spacing w:after="160"/>
      </w:pPr>
      <w:r>
        <w:rPr>
          <w:rFonts w:ascii="Arial" w:cs="Arial" w:eastAsia="Arial" w:hAnsi="Arial"/>
          <w:color w:val="000000"/>
          <w:sz w:val="22"/>
          <w:szCs w:val="22"/>
        </w:rPr>
        <w:t xml:space="preserve">The data grid is the primary display surface for view results. It has the following characteristics:</w:t>
      </w:r>
    </w:p>
    <w:p>
      <w:pPr>
        <w:pStyle w:val="ListParagraph"/>
        <w:numPr>
          <w:ilvl w:val="0"/>
          <w:numId w:val="2"/>
        </w:numPr>
        <w:spacing w:after="80"/>
      </w:pPr>
      <w:r>
        <w:rPr>
          <w:rFonts w:ascii="Arial" w:cs="Arial" w:eastAsia="Arial" w:hAnsi="Arial"/>
          <w:b/>
          <w:bCs/>
          <w:sz w:val="22"/>
          <w:szCs w:val="22"/>
        </w:rPr>
        <w:t xml:space="preserve">Read-only. </w:t>
      </w:r>
      <w:r>
        <w:rPr>
          <w:rFonts w:ascii="Arial" w:cs="Arial" w:eastAsia="Arial" w:hAnsi="Arial"/>
          <w:sz w:val="22"/>
          <w:szCs w:val="22"/>
        </w:rPr>
        <w:t xml:space="preserve">No inline editing is permitted in the grid.</w:t>
      </w:r>
    </w:p>
    <w:p>
      <w:pPr>
        <w:pStyle w:val="ListParagraph"/>
        <w:numPr>
          <w:ilvl w:val="0"/>
          <w:numId w:val="2"/>
        </w:numPr>
        <w:spacing w:after="80"/>
      </w:pPr>
      <w:r>
        <w:rPr>
          <w:rFonts w:ascii="Arial" w:cs="Arial" w:eastAsia="Arial" w:hAnsi="Arial"/>
          <w:b/>
          <w:bCs/>
          <w:sz w:val="22"/>
          <w:szCs w:val="22"/>
        </w:rPr>
        <w:t xml:space="preserve">Full data load. </w:t>
      </w:r>
      <w:r>
        <w:rPr>
          <w:rFonts w:ascii="Arial" w:cs="Arial" w:eastAsia="Arial" w:hAnsi="Arial"/>
          <w:sz w:val="22"/>
          <w:szCs w:val="22"/>
        </w:rPr>
        <w:t xml:space="preserve">The complete result set is fetched when the view loads. No pagination or lazy loading of grid data.</w:t>
      </w:r>
    </w:p>
    <w:p>
      <w:pPr>
        <w:pStyle w:val="ListParagraph"/>
        <w:numPr>
          <w:ilvl w:val="0"/>
          <w:numId w:val="2"/>
        </w:numPr>
        <w:spacing w:after="80"/>
      </w:pPr>
      <w:r>
        <w:rPr>
          <w:rFonts w:ascii="Arial" w:cs="Arial" w:eastAsia="Arial" w:hAnsi="Arial"/>
          <w:b/>
          <w:bCs/>
          <w:sz w:val="22"/>
          <w:szCs w:val="22"/>
        </w:rPr>
        <w:t xml:space="preserve">Hierarchical display. </w:t>
      </w:r>
      <w:r>
        <w:rPr>
          <w:rFonts w:ascii="Arial" w:cs="Arial" w:eastAsia="Arial" w:hAnsi="Arial"/>
          <w:sz w:val="22"/>
          <w:szCs w:val="22"/>
        </w:rPr>
        <w:t xml:space="preserve">If the data source defines a hierarchy, results are grouped accordingly. All levels load collapsed by default. Users expand and collapse levels by clicking on group headers. Expanding and collapsing is a client-side operation with no additional database queries.</w:t>
      </w:r>
    </w:p>
    <w:p>
      <w:pPr>
        <w:pStyle w:val="ListParagraph"/>
        <w:numPr>
          <w:ilvl w:val="0"/>
          <w:numId w:val="2"/>
        </w:numPr>
        <w:spacing w:after="80"/>
      </w:pPr>
      <w:r>
        <w:rPr>
          <w:rFonts w:ascii="Arial" w:cs="Arial" w:eastAsia="Arial" w:hAnsi="Arial"/>
          <w:b/>
          <w:bCs/>
          <w:sz w:val="22"/>
          <w:szCs w:val="22"/>
        </w:rPr>
        <w:t xml:space="preserve">Flat display. </w:t>
      </w:r>
      <w:r>
        <w:rPr>
          <w:rFonts w:ascii="Arial" w:cs="Arial" w:eastAsia="Arial" w:hAnsi="Arial"/>
          <w:sz w:val="22"/>
          <w:szCs w:val="22"/>
        </w:rPr>
        <w:t xml:space="preserve">If the data source defines no hierarchy, results render as a simple flat table.</w:t>
      </w:r>
    </w:p>
    <w:p>
      <w:pPr>
        <w:pStyle w:val="Heading2"/>
        <w:spacing w:after="160" w:before="280"/>
      </w:pPr>
      <w:r>
        <w:rPr>
          <w:rFonts w:ascii="Arial" w:cs="Arial" w:eastAsia="Arial" w:hAnsi="Arial"/>
          <w:b/>
          <w:bCs/>
          <w:color w:val="1F3864"/>
          <w:sz w:val="24"/>
          <w:szCs w:val="24"/>
        </w:rPr>
        <w:t xml:space="preserve">4.5 Column Filtering</w:t>
      </w:r>
    </w:p>
    <w:p>
      <w:pPr>
        <w:spacing w:after="160"/>
      </w:pPr>
      <w:r>
        <w:rPr>
          <w:rFonts w:ascii="Arial" w:cs="Arial" w:eastAsia="Arial" w:hAnsi="Arial"/>
          <w:color w:val="000000"/>
          <w:sz w:val="22"/>
          <w:szCs w:val="22"/>
        </w:rPr>
        <w:t xml:space="preserve">Users can filter the grid by clicking on a column header to reveal the distinct values in that column. Selecting one or more values filters the grid to show only rows matching the selected values. Filters are applied client-side against the already-loaded result set. Multiple column filters can be active simultaneously and are combined with AND logic.</w:t>
      </w:r>
    </w:p>
    <w:p>
      <w:pPr>
        <w:pStyle w:val="Heading2"/>
        <w:spacing w:after="160" w:before="280"/>
      </w:pPr>
      <w:r>
        <w:rPr>
          <w:rFonts w:ascii="Arial" w:cs="Arial" w:eastAsia="Arial" w:hAnsi="Arial"/>
          <w:b/>
          <w:bCs/>
          <w:color w:val="1F3864"/>
          <w:sz w:val="24"/>
          <w:szCs w:val="24"/>
        </w:rPr>
        <w:t xml:space="preserve">4.6 Multi-Column Sorting</w:t>
      </w:r>
    </w:p>
    <w:p>
      <w:pPr>
        <w:spacing w:after="160"/>
      </w:pPr>
      <w:r>
        <w:rPr>
          <w:rFonts w:ascii="Arial" w:cs="Arial" w:eastAsia="Arial" w:hAnsi="Arial"/>
          <w:color w:val="000000"/>
          <w:sz w:val="22"/>
          <w:szCs w:val="22"/>
        </w:rPr>
        <w:t xml:space="preserve">The view’s default sort order is applied when the view loads. Users can click a column header to sort by that column. Subsequent shift-click (or equivalent interaction) on additional column headers adds secondary and tertiary sort levels. Sorting operates within each hierarchy level — it reorders rows among their siblings but does not break the hierarchical grouping.</w:t>
      </w:r>
    </w:p>
    <w:p>
      <w:pPr>
        <w:pStyle w:val="Heading2"/>
        <w:spacing w:after="160" w:before="280"/>
      </w:pPr>
      <w:r>
        <w:rPr>
          <w:rFonts w:ascii="Arial" w:cs="Arial" w:eastAsia="Arial" w:hAnsi="Arial"/>
          <w:b/>
          <w:bCs/>
          <w:color w:val="1F3864"/>
          <w:sz w:val="24"/>
          <w:szCs w:val="24"/>
        </w:rPr>
        <w:t xml:space="preserve">4.7 Engagement Detail Screen</w:t>
      </w:r>
    </w:p>
    <w:p>
      <w:pPr>
        <w:spacing w:after="160"/>
      </w:pPr>
      <w:r>
        <w:rPr>
          <w:rFonts w:ascii="Arial" w:cs="Arial" w:eastAsia="Arial" w:hAnsi="Arial"/>
          <w:color w:val="000000"/>
          <w:sz w:val="22"/>
          <w:szCs w:val="22"/>
        </w:rPr>
        <w:t xml:space="preserve">Clicking an engagement row in the data grid opens the engagement detail screen. This is a custom-designed user interface that combines fields from the engagement and all of its related entities into a single view, optimized for efficient use on large-format monitors. The detail screen displays:</w:t>
      </w:r>
    </w:p>
    <w:p>
      <w:pPr>
        <w:pStyle w:val="ListParagraph"/>
        <w:numPr>
          <w:ilvl w:val="0"/>
          <w:numId w:val="2"/>
        </w:numPr>
        <w:spacing w:after="80"/>
      </w:pPr>
      <w:r>
        <w:rPr>
          <w:rFonts w:ascii="Arial" w:cs="Arial" w:eastAsia="Arial" w:hAnsi="Arial"/>
          <w:sz w:val="22"/>
          <w:szCs w:val="22"/>
        </w:rPr>
        <w:t xml:space="preserve">Client contact details (name, phone, email)</w:t>
      </w:r>
    </w:p>
    <w:p>
      <w:pPr>
        <w:pStyle w:val="ListParagraph"/>
        <w:numPr>
          <w:ilvl w:val="0"/>
          <w:numId w:val="2"/>
        </w:numPr>
        <w:spacing w:after="80"/>
      </w:pPr>
      <w:r>
        <w:rPr>
          <w:rFonts w:ascii="Arial" w:cs="Arial" w:eastAsia="Arial" w:hAnsi="Arial"/>
          <w:sz w:val="22"/>
          <w:szCs w:val="22"/>
        </w:rPr>
        <w:t xml:space="preserve">Company details</w:t>
      </w:r>
    </w:p>
    <w:p>
      <w:pPr>
        <w:pStyle w:val="ListParagraph"/>
        <w:numPr>
          <w:ilvl w:val="0"/>
          <w:numId w:val="2"/>
        </w:numPr>
        <w:spacing w:after="80"/>
      </w:pPr>
      <w:r>
        <w:rPr>
          <w:rFonts w:ascii="Arial" w:cs="Arial" w:eastAsia="Arial" w:hAnsi="Arial"/>
          <w:sz w:val="22"/>
          <w:szCs w:val="22"/>
        </w:rPr>
        <w:t xml:space="preserve">Engagement metadata (start date, status, meeting cadence)</w:t>
      </w:r>
    </w:p>
    <w:p>
      <w:pPr>
        <w:pStyle w:val="ListParagraph"/>
        <w:numPr>
          <w:ilvl w:val="0"/>
          <w:numId w:val="2"/>
        </w:numPr>
        <w:spacing w:after="80"/>
      </w:pPr>
      <w:r>
        <w:rPr>
          <w:rFonts w:ascii="Arial" w:cs="Arial" w:eastAsia="Arial" w:hAnsi="Arial"/>
          <w:sz w:val="22"/>
          <w:szCs w:val="22"/>
        </w:rPr>
        <w:t xml:space="preserve">Co-mentors and SMEs assigned to the engagement</w:t>
      </w:r>
    </w:p>
    <w:p>
      <w:pPr>
        <w:pStyle w:val="ListParagraph"/>
        <w:numPr>
          <w:ilvl w:val="0"/>
          <w:numId w:val="2"/>
        </w:numPr>
        <w:spacing w:after="80"/>
      </w:pPr>
      <w:r>
        <w:rPr>
          <w:rFonts w:ascii="Arial" w:cs="Arial" w:eastAsia="Arial" w:hAnsi="Arial"/>
          <w:sz w:val="22"/>
          <w:szCs w:val="22"/>
        </w:rPr>
        <w:t xml:space="preserve">QuickNote (editable)</w:t>
      </w:r>
    </w:p>
    <w:p>
      <w:pPr>
        <w:pStyle w:val="ListParagraph"/>
        <w:numPr>
          <w:ilvl w:val="0"/>
          <w:numId w:val="2"/>
        </w:numPr>
        <w:spacing w:after="80"/>
      </w:pPr>
      <w:r>
        <w:rPr>
          <w:rFonts w:ascii="Arial" w:cs="Arial" w:eastAsia="Arial" w:hAnsi="Arial"/>
          <w:sz w:val="22"/>
          <w:szCs w:val="22"/>
        </w:rPr>
        <w:t xml:space="preserve">Engagement Notes</w:t>
      </w:r>
    </w:p>
    <w:p>
      <w:pPr>
        <w:pStyle w:val="ListParagraph"/>
        <w:numPr>
          <w:ilvl w:val="0"/>
          <w:numId w:val="2"/>
        </w:numPr>
        <w:spacing w:after="80"/>
      </w:pPr>
      <w:r>
        <w:rPr>
          <w:rFonts w:ascii="Arial" w:cs="Arial" w:eastAsia="Arial" w:hAnsi="Arial"/>
          <w:sz w:val="22"/>
          <w:szCs w:val="22"/>
        </w:rPr>
        <w:t xml:space="preserve">Session history — a list of all sessions with date, status, and session notes</w:t>
      </w:r>
    </w:p>
    <w:p>
      <w:pPr>
        <w:spacing w:after="160"/>
      </w:pPr>
      <w:r>
        <w:rPr>
          <w:rFonts w:ascii="Arial" w:cs="Arial" w:eastAsia="Arial" w:hAnsi="Arial"/>
          <w:color w:val="000000"/>
          <w:sz w:val="22"/>
          <w:szCs w:val="22"/>
        </w:rPr>
        <w:t xml:space="preserve">Detail screen editing characteristics:</w:t>
      </w:r>
    </w:p>
    <w:p>
      <w:pPr>
        <w:pStyle w:val="ListParagraph"/>
        <w:numPr>
          <w:ilvl w:val="0"/>
          <w:numId w:val="2"/>
        </w:numPr>
        <w:spacing w:after="80"/>
      </w:pPr>
      <w:r>
        <w:rPr>
          <w:rFonts w:ascii="Arial" w:cs="Arial" w:eastAsia="Arial" w:hAnsi="Arial"/>
          <w:b/>
          <w:bCs/>
          <w:sz w:val="22"/>
          <w:szCs w:val="22"/>
        </w:rPr>
        <w:t xml:space="preserve">Auto-save. </w:t>
      </w:r>
      <w:r>
        <w:rPr>
          <w:rFonts w:ascii="Arial" w:cs="Arial" w:eastAsia="Arial" w:hAnsi="Arial"/>
          <w:sz w:val="22"/>
          <w:szCs w:val="22"/>
        </w:rPr>
        <w:t xml:space="preserve">Every field change is saved immediately when the user completes the edit (focus leaves the field or the user presses Enter). There is no save button.</w:t>
      </w:r>
    </w:p>
    <w:p>
      <w:pPr>
        <w:pStyle w:val="ListParagraph"/>
        <w:numPr>
          <w:ilvl w:val="0"/>
          <w:numId w:val="2"/>
        </w:numPr>
        <w:spacing w:after="80"/>
      </w:pPr>
      <w:r>
        <w:rPr>
          <w:rFonts w:ascii="Arial" w:cs="Arial" w:eastAsia="Arial" w:hAnsi="Arial"/>
          <w:b/>
          <w:bCs/>
          <w:sz w:val="22"/>
          <w:szCs w:val="22"/>
        </w:rPr>
        <w:t xml:space="preserve">Inline error handling. </w:t>
      </w:r>
      <w:r>
        <w:rPr>
          <w:rFonts w:ascii="Arial" w:cs="Arial" w:eastAsia="Arial" w:hAnsi="Arial"/>
          <w:sz w:val="22"/>
          <w:szCs w:val="22"/>
        </w:rPr>
        <w:t xml:space="preserve">If a save fails (for example, a CRM validation rule rejects the value), the field displays an error message and retains the user’s attempted value so they can correct it.</w:t>
      </w:r>
    </w:p>
    <w:p>
      <w:pPr>
        <w:pStyle w:val="ListParagraph"/>
        <w:numPr>
          <w:ilvl w:val="0"/>
          <w:numId w:val="2"/>
        </w:numPr>
        <w:spacing w:after="80"/>
      </w:pPr>
      <w:r>
        <w:rPr>
          <w:rFonts w:ascii="Arial" w:cs="Arial" w:eastAsia="Arial" w:hAnsi="Arial"/>
          <w:b/>
          <w:bCs/>
          <w:sz w:val="22"/>
          <w:szCs w:val="22"/>
        </w:rPr>
        <w:t xml:space="preserve">Add relationships. </w:t>
      </w:r>
      <w:r>
        <w:rPr>
          <w:rFonts w:ascii="Arial" w:cs="Arial" w:eastAsia="Arial" w:hAnsi="Arial"/>
          <w:sz w:val="22"/>
          <w:szCs w:val="22"/>
        </w:rPr>
        <w:t xml:space="preserve">Users can add relationships to the engagement (for example, adding a co-mentor or SME).</w:t>
      </w:r>
    </w:p>
    <w:p>
      <w:pPr>
        <w:pStyle w:val="ListParagraph"/>
        <w:numPr>
          <w:ilvl w:val="0"/>
          <w:numId w:val="2"/>
        </w:numPr>
        <w:spacing w:after="80"/>
      </w:pPr>
      <w:r>
        <w:rPr>
          <w:rFonts w:ascii="Arial" w:cs="Arial" w:eastAsia="Arial" w:hAnsi="Arial"/>
          <w:b/>
          <w:bCs/>
          <w:sz w:val="22"/>
          <w:szCs w:val="22"/>
        </w:rPr>
        <w:t xml:space="preserve">No delete. </w:t>
      </w:r>
      <w:r>
        <w:rPr>
          <w:rFonts w:ascii="Arial" w:cs="Arial" w:eastAsia="Arial" w:hAnsi="Arial"/>
          <w:sz w:val="22"/>
          <w:szCs w:val="22"/>
        </w:rPr>
        <w:t xml:space="preserve">Delete operations are not available from the detail screen.</w:t>
      </w:r>
    </w:p>
    <w:p>
      <w:pPr>
        <w:pStyle w:val="ListParagraph"/>
        <w:numPr>
          <w:ilvl w:val="0"/>
          <w:numId w:val="2"/>
        </w:numPr>
        <w:spacing w:after="80"/>
      </w:pPr>
      <w:r>
        <w:rPr>
          <w:rFonts w:ascii="Arial" w:cs="Arial" w:eastAsia="Arial" w:hAnsi="Arial"/>
          <w:b/>
          <w:bCs/>
          <w:sz w:val="22"/>
          <w:szCs w:val="22"/>
        </w:rPr>
        <w:t xml:space="preserve">Role-independent. </w:t>
      </w:r>
      <w:r>
        <w:rPr>
          <w:rFonts w:ascii="Arial" w:cs="Arial" w:eastAsia="Arial" w:hAnsi="Arial"/>
          <w:sz w:val="22"/>
          <w:szCs w:val="22"/>
        </w:rPr>
        <w:t xml:space="preserve">The detail screen layout and behavior are identical for all roles. The only difference is which records a user can reach, governed by the role-based data filter on the grid.</w:t>
      </w:r>
    </w:p>
    <w:p>
      <w:pPr>
        <w:pStyle w:val="Heading2"/>
        <w:spacing w:after="160" w:before="280"/>
      </w:pPr>
      <w:r>
        <w:rPr>
          <w:rFonts w:ascii="Arial" w:cs="Arial" w:eastAsia="Arial" w:hAnsi="Arial"/>
          <w:b/>
          <w:bCs/>
          <w:color w:val="1F3864"/>
          <w:sz w:val="24"/>
          <w:szCs w:val="24"/>
        </w:rPr>
        <w:t xml:space="preserve">4.8 Session Workflow</w:t>
      </w:r>
    </w:p>
    <w:p>
      <w:pPr>
        <w:spacing w:after="160"/>
      </w:pPr>
      <w:r>
        <w:rPr>
          <w:rFonts w:ascii="Arial" w:cs="Arial" w:eastAsia="Arial" w:hAnsi="Arial"/>
          <w:color w:val="000000"/>
          <w:sz w:val="22"/>
          <w:szCs w:val="22"/>
        </w:rPr>
        <w:t xml:space="preserve">From the engagement detail screen, the mentor initiates a session in one of two ways: selecting an existing session with Scheduled status from the session history, or creating a new session if none is scheduled.</w:t>
      </w:r>
    </w:p>
    <w:p>
      <w:pPr>
        <w:spacing w:after="120" w:before="200"/>
      </w:pPr>
      <w:r>
        <w:rPr>
          <w:rFonts w:ascii="Arial" w:cs="Arial" w:eastAsia="Arial" w:hAnsi="Arial"/>
          <w:b/>
          <w:bCs/>
          <w:color w:val="1F3864"/>
          <w:sz w:val="22"/>
          <w:szCs w:val="22"/>
        </w:rPr>
        <w:t xml:space="preserve">Session Form</w:t>
      </w:r>
    </w:p>
    <w:p>
      <w:pPr>
        <w:spacing w:after="160"/>
      </w:pPr>
      <w:r>
        <w:rPr>
          <w:rFonts w:ascii="Arial" w:cs="Arial" w:eastAsia="Arial" w:hAnsi="Arial"/>
          <w:color w:val="000000"/>
          <w:sz w:val="22"/>
          <w:szCs w:val="22"/>
        </w:rPr>
        <w:t xml:space="preserve">The session form captures the following information:</w:t>
      </w:r>
    </w:p>
    <w:p>
      <w:pPr>
        <w:pStyle w:val="ListParagraph"/>
        <w:numPr>
          <w:ilvl w:val="0"/>
          <w:numId w:val="2"/>
        </w:numPr>
        <w:spacing w:after="80"/>
      </w:pPr>
      <w:r>
        <w:rPr>
          <w:rFonts w:ascii="Arial" w:cs="Arial" w:eastAsia="Arial" w:hAnsi="Arial"/>
          <w:sz w:val="22"/>
          <w:szCs w:val="22"/>
        </w:rPr>
        <w:t xml:space="preserve">Session date and time</w:t>
      </w:r>
    </w:p>
    <w:p>
      <w:pPr>
        <w:pStyle w:val="ListParagraph"/>
        <w:numPr>
          <w:ilvl w:val="0"/>
          <w:numId w:val="2"/>
        </w:numPr>
        <w:spacing w:after="80"/>
      </w:pPr>
      <w:r>
        <w:rPr>
          <w:rFonts w:ascii="Arial" w:cs="Arial" w:eastAsia="Arial" w:hAnsi="Arial"/>
          <w:sz w:val="22"/>
          <w:szCs w:val="22"/>
        </w:rPr>
        <w:t xml:space="preserve">Session duration</w:t>
      </w:r>
    </w:p>
    <w:p>
      <w:pPr>
        <w:pStyle w:val="ListParagraph"/>
        <w:numPr>
          <w:ilvl w:val="0"/>
          <w:numId w:val="2"/>
        </w:numPr>
        <w:spacing w:after="80"/>
      </w:pPr>
      <w:r>
        <w:rPr>
          <w:rFonts w:ascii="Arial" w:cs="Arial" w:eastAsia="Arial" w:hAnsi="Arial"/>
          <w:sz w:val="22"/>
          <w:szCs w:val="22"/>
        </w:rPr>
        <w:t xml:space="preserve">Attendees (who was present)</w:t>
      </w:r>
    </w:p>
    <w:p>
      <w:pPr>
        <w:pStyle w:val="ListParagraph"/>
        <w:numPr>
          <w:ilvl w:val="0"/>
          <w:numId w:val="2"/>
        </w:numPr>
        <w:spacing w:after="80"/>
      </w:pPr>
      <w:r>
        <w:rPr>
          <w:rFonts w:ascii="Arial" w:cs="Arial" w:eastAsia="Arial" w:hAnsi="Arial"/>
          <w:sz w:val="22"/>
          <w:szCs w:val="22"/>
        </w:rPr>
        <w:t xml:space="preserve">Session status</w:t>
      </w:r>
    </w:p>
    <w:p>
      <w:pPr>
        <w:pStyle w:val="ListParagraph"/>
        <w:numPr>
          <w:ilvl w:val="0"/>
          <w:numId w:val="2"/>
        </w:numPr>
        <w:spacing w:after="80"/>
      </w:pPr>
      <w:r>
        <w:rPr>
          <w:rFonts w:ascii="Arial" w:cs="Arial" w:eastAsia="Arial" w:hAnsi="Arial"/>
          <w:sz w:val="22"/>
          <w:szCs w:val="22"/>
        </w:rPr>
        <w:t xml:space="preserve">Session notes</w:t>
      </w:r>
    </w:p>
    <w:p>
      <w:pPr>
        <w:pStyle w:val="ListParagraph"/>
        <w:numPr>
          <w:ilvl w:val="0"/>
          <w:numId w:val="2"/>
        </w:numPr>
        <w:spacing w:after="80"/>
      </w:pPr>
      <w:r>
        <w:rPr>
          <w:rFonts w:ascii="Arial" w:cs="Arial" w:eastAsia="Arial" w:hAnsi="Arial"/>
          <w:sz w:val="22"/>
          <w:szCs w:val="22"/>
        </w:rPr>
        <w:t xml:space="preserve">Topics discussed</w:t>
      </w:r>
    </w:p>
    <w:p>
      <w:pPr>
        <w:pStyle w:val="ListParagraph"/>
        <w:numPr>
          <w:ilvl w:val="0"/>
          <w:numId w:val="2"/>
        </w:numPr>
        <w:spacing w:after="80"/>
      </w:pPr>
      <w:r>
        <w:rPr>
          <w:rFonts w:ascii="Arial" w:cs="Arial" w:eastAsia="Arial" w:hAnsi="Arial"/>
          <w:sz w:val="22"/>
          <w:szCs w:val="22"/>
        </w:rPr>
        <w:t xml:space="preserve">Next session date and time</w:t>
      </w:r>
    </w:p>
    <w:p>
      <w:pPr>
        <w:spacing w:after="160"/>
      </w:pPr>
      <w:r>
        <w:rPr>
          <w:rFonts w:ascii="Arial" w:cs="Arial" w:eastAsia="Arial" w:hAnsi="Arial"/>
          <w:color w:val="000000"/>
          <w:sz w:val="22"/>
          <w:szCs w:val="22"/>
        </w:rPr>
        <w:t xml:space="preserve">All fields auto-save as they are completed, consistent with the detail screen editing behavior.</w:t>
      </w:r>
    </w:p>
    <w:p>
      <w:pPr>
        <w:spacing w:after="120" w:before="200"/>
      </w:pPr>
      <w:r>
        <w:rPr>
          <w:rFonts w:ascii="Arial" w:cs="Arial" w:eastAsia="Arial" w:hAnsi="Arial"/>
          <w:b/>
          <w:bCs/>
          <w:color w:val="1F3864"/>
          <w:sz w:val="22"/>
          <w:szCs w:val="22"/>
        </w:rPr>
        <w:t xml:space="preserve">Calendar Invite Creation</w:t>
      </w:r>
    </w:p>
    <w:p>
      <w:pPr>
        <w:spacing w:after="160"/>
      </w:pPr>
      <w:r>
        <w:rPr>
          <w:rFonts w:ascii="Arial" w:cs="Arial" w:eastAsia="Arial" w:hAnsi="Arial"/>
          <w:color w:val="000000"/>
          <w:sz w:val="22"/>
          <w:szCs w:val="22"/>
        </w:rPr>
        <w:t xml:space="preserve">When the mentor enters a next session date and time, the application creates a Google Calendar event via the Google Calendar API (see Section 9). The event is created on the mentor’s Google Calendar with the following attendees automatically included:</w:t>
      </w:r>
    </w:p>
    <w:p>
      <w:pPr>
        <w:pStyle w:val="ListParagraph"/>
        <w:numPr>
          <w:ilvl w:val="0"/>
          <w:numId w:val="2"/>
        </w:numPr>
        <w:spacing w:after="80"/>
      </w:pPr>
      <w:r>
        <w:rPr>
          <w:rFonts w:ascii="Arial" w:cs="Arial" w:eastAsia="Arial" w:hAnsi="Arial"/>
          <w:sz w:val="22"/>
          <w:szCs w:val="22"/>
        </w:rPr>
        <w:t xml:space="preserve">All engagement contacts (the client and any additional contacts)</w:t>
      </w:r>
    </w:p>
    <w:p>
      <w:pPr>
        <w:pStyle w:val="ListParagraph"/>
        <w:numPr>
          <w:ilvl w:val="0"/>
          <w:numId w:val="2"/>
        </w:numPr>
        <w:spacing w:after="80"/>
      </w:pPr>
      <w:r>
        <w:rPr>
          <w:rFonts w:ascii="Arial" w:cs="Arial" w:eastAsia="Arial" w:hAnsi="Arial"/>
          <w:sz w:val="22"/>
          <w:szCs w:val="22"/>
        </w:rPr>
        <w:t xml:space="preserve">All co-mentors and SMEs assigned to the engagement</w:t>
      </w:r>
    </w:p>
    <w:p>
      <w:pPr>
        <w:spacing w:after="160"/>
      </w:pPr>
      <w:r>
        <w:rPr>
          <w:rFonts w:ascii="Arial" w:cs="Arial" w:eastAsia="Arial" w:hAnsi="Arial"/>
          <w:color w:val="000000"/>
          <w:sz w:val="22"/>
          <w:szCs w:val="22"/>
        </w:rPr>
        <w:t xml:space="preserve">Google Calendar automatically sends invite emails to all attendees when the event is created.</w:t>
      </w:r>
    </w:p>
    <w:p>
      <w:pPr>
        <w:spacing w:after="120" w:before="200"/>
      </w:pPr>
      <w:r>
        <w:rPr>
          <w:rFonts w:ascii="Arial" w:cs="Arial" w:eastAsia="Arial" w:hAnsi="Arial"/>
          <w:b/>
          <w:bCs/>
          <w:color w:val="1F3864"/>
          <w:sz w:val="22"/>
          <w:szCs w:val="22"/>
        </w:rPr>
        <w:t xml:space="preserve">Session Completion</w:t>
      </w:r>
    </w:p>
    <w:p>
      <w:pPr>
        <w:spacing w:after="160"/>
      </w:pPr>
      <w:r>
        <w:rPr>
          <w:rFonts w:ascii="Arial" w:cs="Arial" w:eastAsia="Arial" w:hAnsi="Arial"/>
          <w:color w:val="000000"/>
          <w:sz w:val="22"/>
          <w:szCs w:val="22"/>
        </w:rPr>
        <w:t xml:space="preserve">When the mentor presses the Done button on the session form, the application presents a session summary email workflow:</w:t>
      </w:r>
    </w:p>
    <w:p>
      <w:pPr>
        <w:pStyle w:val="ListParagraph"/>
        <w:numPr>
          <w:ilvl w:val="0"/>
          <w:numId w:val="3"/>
        </w:numPr>
        <w:spacing w:after="80"/>
      </w:pPr>
      <w:r>
        <w:rPr>
          <w:rFonts w:ascii="Arial" w:cs="Arial" w:eastAsia="Arial" w:hAnsi="Arial"/>
          <w:sz w:val="22"/>
          <w:szCs w:val="22"/>
        </w:rPr>
        <w:t xml:space="preserve">The application composes an email pre-populated with the session notes and next steps from the session form.</w:t>
      </w:r>
    </w:p>
    <w:p>
      <w:pPr>
        <w:pStyle w:val="ListParagraph"/>
        <w:numPr>
          <w:ilvl w:val="0"/>
          <w:numId w:val="3"/>
        </w:numPr>
        <w:spacing w:after="80"/>
      </w:pPr>
      <w:r>
        <w:rPr>
          <w:rFonts w:ascii="Arial" w:cs="Arial" w:eastAsia="Arial" w:hAnsi="Arial"/>
          <w:sz w:val="22"/>
          <w:szCs w:val="22"/>
        </w:rPr>
        <w:t xml:space="preserve">The default recipient list includes all engagement contacts (client, co-mentors, SMEs). The mentor can deselect individual recipients.</w:t>
      </w:r>
    </w:p>
    <w:p>
      <w:pPr>
        <w:pStyle w:val="ListParagraph"/>
        <w:numPr>
          <w:ilvl w:val="0"/>
          <w:numId w:val="3"/>
        </w:numPr>
        <w:spacing w:after="80"/>
      </w:pPr>
      <w:r>
        <w:rPr>
          <w:rFonts w:ascii="Arial" w:cs="Arial" w:eastAsia="Arial" w:hAnsi="Arial"/>
          <w:sz w:val="22"/>
          <w:szCs w:val="22"/>
        </w:rPr>
        <w:t xml:space="preserve">The mentor can review and edit the email content before sending.</w:t>
      </w:r>
    </w:p>
    <w:p>
      <w:pPr>
        <w:pStyle w:val="ListParagraph"/>
        <w:numPr>
          <w:ilvl w:val="0"/>
          <w:numId w:val="3"/>
        </w:numPr>
        <w:spacing w:after="80"/>
      </w:pPr>
      <w:r>
        <w:rPr>
          <w:rFonts w:ascii="Arial" w:cs="Arial" w:eastAsia="Arial" w:hAnsi="Arial"/>
          <w:sz w:val="22"/>
          <w:szCs w:val="22"/>
        </w:rPr>
        <w:t xml:space="preserve">Pressing Send dispatches the email via the Gmail API (see Section 9). The sent email appears in the mentor’s Gmail sent folder.</w:t>
      </w:r>
    </w:p>
    <w:p>
      <w:pPr>
        <w:pStyle w:val="Heading2"/>
        <w:spacing w:after="160" w:before="280"/>
      </w:pPr>
      <w:r>
        <w:rPr>
          <w:rFonts w:ascii="Arial" w:cs="Arial" w:eastAsia="Arial" w:hAnsi="Arial"/>
          <w:b/>
          <w:bCs/>
          <w:color w:val="1F3864"/>
          <w:sz w:val="24"/>
          <w:szCs w:val="24"/>
        </w:rPr>
        <w:t xml:space="preserve">4.9 Detail Screen Design</w:t>
      </w:r>
    </w:p>
    <w:p>
      <w:pPr>
        <w:spacing w:after="160"/>
      </w:pPr>
      <w:r>
        <w:rPr>
          <w:rFonts w:ascii="Arial" w:cs="Arial" w:eastAsia="Arial" w:hAnsi="Arial"/>
          <w:color w:val="000000"/>
          <w:sz w:val="22"/>
          <w:szCs w:val="22"/>
        </w:rPr>
        <w:t xml:space="preserve">The engagement detail screen and session form are custom code artifacts, not runtime configurations. They are designed for efficient use on large-format monitors, presenting all related entity data in a single screen to minimize navigation. The development workflow for detail screens is:</w:t>
      </w:r>
    </w:p>
    <w:p>
      <w:pPr>
        <w:pStyle w:val="ListParagraph"/>
        <w:numPr>
          <w:ilvl w:val="0"/>
          <w:numId w:val="3"/>
        </w:numPr>
        <w:spacing w:after="80"/>
      </w:pPr>
      <w:r>
        <w:rPr>
          <w:rFonts w:ascii="Arial" w:cs="Arial" w:eastAsia="Arial" w:hAnsi="Arial"/>
          <w:sz w:val="22"/>
          <w:szCs w:val="22"/>
        </w:rPr>
        <w:t xml:space="preserve">The data source defines the entities, relationships, and fields involved.</w:t>
      </w:r>
    </w:p>
    <w:p>
      <w:pPr>
        <w:pStyle w:val="ListParagraph"/>
        <w:numPr>
          <w:ilvl w:val="0"/>
          <w:numId w:val="3"/>
        </w:numPr>
        <w:spacing w:after="80"/>
      </w:pPr>
      <w:r>
        <w:rPr>
          <w:rFonts w:ascii="Arial" w:cs="Arial" w:eastAsia="Arial" w:hAnsi="Arial"/>
          <w:sz w:val="22"/>
          <w:szCs w:val="22"/>
        </w:rPr>
        <w:t xml:space="preserve">An AI-assisted process generates an initial detail screen component based on the data source definition.</w:t>
      </w:r>
    </w:p>
    <w:p>
      <w:pPr>
        <w:pStyle w:val="ListParagraph"/>
        <w:numPr>
          <w:ilvl w:val="0"/>
          <w:numId w:val="3"/>
        </w:numPr>
        <w:spacing w:after="80"/>
      </w:pPr>
      <w:r>
        <w:rPr>
          <w:rFonts w:ascii="Arial" w:cs="Arial" w:eastAsia="Arial" w:hAnsi="Arial"/>
          <w:sz w:val="22"/>
          <w:szCs w:val="22"/>
        </w:rPr>
        <w:t xml:space="preserve">A developer reviews and enhances the generated component for optimal usability and efficiency.</w:t>
      </w:r>
    </w:p>
    <w:p>
      <w:pPr>
        <w:pStyle w:val="ListParagraph"/>
        <w:numPr>
          <w:ilvl w:val="0"/>
          <w:numId w:val="3"/>
        </w:numPr>
        <w:spacing w:after="80"/>
      </w:pPr>
      <w:r>
        <w:rPr>
          <w:rFonts w:ascii="Arial" w:cs="Arial" w:eastAsia="Arial" w:hAnsi="Arial"/>
          <w:sz w:val="22"/>
          <w:szCs w:val="22"/>
        </w:rPr>
        <w:t xml:space="preserve">The finished component is deployed with the application.</w:t>
      </w:r>
    </w:p>
    <w:p>
      <w:pPr>
        <w:spacing w:after="160"/>
      </w:pPr>
      <w:r>
        <w:rPr>
          <w:rFonts w:ascii="Arial" w:cs="Arial" w:eastAsia="Arial" w:hAnsi="Arial"/>
          <w:color w:val="000000"/>
          <w:sz w:val="22"/>
          <w:szCs w:val="22"/>
        </w:rPr>
        <w:t xml:space="preserve">Adding or modifying a detail screen requires a code deployment. Detail screens are not configurable at runtime.</w:t>
      </w:r>
    </w:p>
    <w:p>
      <w:r>
        <w:br w:type="page"/>
      </w:r>
    </w:p>
    <w:p>
      <w:pPr>
        <w:pStyle w:val="Heading1"/>
        <w:spacing w:after="200" w:before="360"/>
      </w:pPr>
      <w:r>
        <w:rPr>
          <w:rFonts w:ascii="Arial" w:cs="Arial" w:eastAsia="Arial" w:hAnsi="Arial"/>
          <w:b/>
          <w:bCs/>
          <w:color w:val="1F3864"/>
          <w:sz w:val="28"/>
          <w:szCs w:val="28"/>
        </w:rPr>
        <w:t xml:space="preserve">5. Administrator Experience</w:t>
      </w:r>
    </w:p>
    <w:p>
      <w:pPr>
        <w:pStyle w:val="Heading2"/>
        <w:spacing w:after="160" w:before="280"/>
      </w:pPr>
      <w:r>
        <w:rPr>
          <w:rFonts w:ascii="Arial" w:cs="Arial" w:eastAsia="Arial" w:hAnsi="Arial"/>
          <w:b/>
          <w:bCs/>
          <w:color w:val="1F3864"/>
          <w:sz w:val="24"/>
          <w:szCs w:val="24"/>
        </w:rPr>
        <w:t xml:space="preserve">5.1 View Management (Admin and Super Admin)</w:t>
      </w:r>
    </w:p>
    <w:p>
      <w:pPr>
        <w:spacing w:after="160"/>
      </w:pPr>
      <w:r>
        <w:rPr>
          <w:rFonts w:ascii="Arial" w:cs="Arial" w:eastAsia="Arial" w:hAnsi="Arial"/>
          <w:color w:val="000000"/>
          <w:sz w:val="22"/>
          <w:szCs w:val="22"/>
        </w:rPr>
        <w:t xml:space="preserve">Admins and Super Admins access a dedicated view management screen to create and manage views. The view management workflow:</w:t>
      </w:r>
    </w:p>
    <w:p>
      <w:pPr>
        <w:pStyle w:val="ListParagraph"/>
        <w:numPr>
          <w:ilvl w:val="0"/>
          <w:numId w:val="3"/>
        </w:numPr>
        <w:spacing w:after="80"/>
      </w:pPr>
      <w:r>
        <w:rPr>
          <w:rFonts w:ascii="Arial" w:cs="Arial" w:eastAsia="Arial" w:hAnsi="Arial"/>
          <w:sz w:val="22"/>
          <w:szCs w:val="22"/>
        </w:rPr>
        <w:t xml:space="preserve">Select an existing active data source as the foundation.</w:t>
      </w:r>
    </w:p>
    <w:p>
      <w:pPr>
        <w:pStyle w:val="ListParagraph"/>
        <w:numPr>
          <w:ilvl w:val="0"/>
          <w:numId w:val="3"/>
        </w:numPr>
        <w:spacing w:after="80"/>
      </w:pPr>
      <w:r>
        <w:rPr>
          <w:rFonts w:ascii="Arial" w:cs="Arial" w:eastAsia="Arial" w:hAnsi="Arial"/>
          <w:sz w:val="22"/>
          <w:szCs w:val="22"/>
        </w:rPr>
        <w:t xml:space="preserve">Choose which columns from the data source to include, and set their display order.</w:t>
      </w:r>
    </w:p>
    <w:p>
      <w:pPr>
        <w:pStyle w:val="ListParagraph"/>
        <w:numPr>
          <w:ilvl w:val="0"/>
          <w:numId w:val="3"/>
        </w:numPr>
        <w:spacing w:after="80"/>
      </w:pPr>
      <w:r>
        <w:rPr>
          <w:rFonts w:ascii="Arial" w:cs="Arial" w:eastAsia="Arial" w:hAnsi="Arial"/>
          <w:sz w:val="22"/>
          <w:szCs w:val="22"/>
        </w:rPr>
        <w:t xml:space="preserve">Define any preset filter conditions.</w:t>
      </w:r>
    </w:p>
    <w:p>
      <w:pPr>
        <w:pStyle w:val="ListParagraph"/>
        <w:numPr>
          <w:ilvl w:val="0"/>
          <w:numId w:val="3"/>
        </w:numPr>
        <w:spacing w:after="80"/>
      </w:pPr>
      <w:r>
        <w:rPr>
          <w:rFonts w:ascii="Arial" w:cs="Arial" w:eastAsia="Arial" w:hAnsi="Arial"/>
          <w:sz w:val="22"/>
          <w:szCs w:val="22"/>
        </w:rPr>
        <w:t xml:space="preserve">Set the default sort column and direction.</w:t>
      </w:r>
    </w:p>
    <w:p>
      <w:pPr>
        <w:pStyle w:val="ListParagraph"/>
        <w:numPr>
          <w:ilvl w:val="0"/>
          <w:numId w:val="3"/>
        </w:numPr>
        <w:spacing w:after="80"/>
      </w:pPr>
      <w:r>
        <w:rPr>
          <w:rFonts w:ascii="Arial" w:cs="Arial" w:eastAsia="Arial" w:hAnsi="Arial"/>
          <w:sz w:val="22"/>
          <w:szCs w:val="22"/>
        </w:rPr>
        <w:t xml:space="preserve">Configure display options (hierarchy levels visible, default collapsed state).</w:t>
      </w:r>
    </w:p>
    <w:p>
      <w:pPr>
        <w:pStyle w:val="ListParagraph"/>
        <w:numPr>
          <w:ilvl w:val="0"/>
          <w:numId w:val="3"/>
        </w:numPr>
        <w:spacing w:after="80"/>
      </w:pPr>
      <w:r>
        <w:rPr>
          <w:rFonts w:ascii="Arial" w:cs="Arial" w:eastAsia="Arial" w:hAnsi="Arial"/>
          <w:sz w:val="22"/>
          <w:szCs w:val="22"/>
        </w:rPr>
        <w:t xml:space="preserve">Name and describe the view.</w:t>
      </w:r>
    </w:p>
    <w:p>
      <w:pPr>
        <w:spacing w:after="160"/>
      </w:pPr>
      <w:r>
        <w:rPr>
          <w:rFonts w:ascii="Arial" w:cs="Arial" w:eastAsia="Arial" w:hAnsi="Arial"/>
          <w:color w:val="000000"/>
          <w:sz w:val="22"/>
          <w:szCs w:val="22"/>
        </w:rPr>
        <w:t xml:space="preserve">Admins and Super Admins can also edit existing views and set views to Active or Inactive status. Inactive views are hidden from all users but their configuration is preserved. There is no permanent delete for views.</w:t>
      </w:r>
    </w:p>
    <w:p>
      <w:pPr>
        <w:pStyle w:val="Heading2"/>
        <w:spacing w:after="160" w:before="280"/>
      </w:pPr>
      <w:r>
        <w:rPr>
          <w:rFonts w:ascii="Arial" w:cs="Arial" w:eastAsia="Arial" w:hAnsi="Arial"/>
          <w:b/>
          <w:bCs/>
          <w:color w:val="1F3864"/>
          <w:sz w:val="24"/>
          <w:szCs w:val="24"/>
        </w:rPr>
        <w:t xml:space="preserve">5.2 Data Source Management (Super Admin Only)</w:t>
      </w:r>
    </w:p>
    <w:p>
      <w:pPr>
        <w:spacing w:after="160"/>
      </w:pPr>
      <w:r>
        <w:rPr>
          <w:rFonts w:ascii="Arial" w:cs="Arial" w:eastAsia="Arial" w:hAnsi="Arial"/>
          <w:color w:val="000000"/>
          <w:sz w:val="22"/>
          <w:szCs w:val="22"/>
        </w:rPr>
        <w:t xml:space="preserve">Super Admins access a dedicated data source management screen to create and manage data sources. The data source management workflow:</w:t>
      </w:r>
    </w:p>
    <w:p>
      <w:pPr>
        <w:pStyle w:val="ListParagraph"/>
        <w:numPr>
          <w:ilvl w:val="0"/>
          <w:numId w:val="3"/>
        </w:numPr>
        <w:spacing w:after="80"/>
      </w:pPr>
      <w:r>
        <w:rPr>
          <w:rFonts w:ascii="Arial" w:cs="Arial" w:eastAsia="Arial" w:hAnsi="Arial"/>
          <w:sz w:val="22"/>
          <w:szCs w:val="22"/>
        </w:rPr>
        <w:t xml:space="preserve">Name and describe the data source.</w:t>
      </w:r>
    </w:p>
    <w:p>
      <w:pPr>
        <w:pStyle w:val="ListParagraph"/>
        <w:numPr>
          <w:ilvl w:val="0"/>
          <w:numId w:val="3"/>
        </w:numPr>
        <w:spacing w:after="80"/>
      </w:pPr>
      <w:r>
        <w:rPr>
          <w:rFonts w:ascii="Arial" w:cs="Arial" w:eastAsia="Arial" w:hAnsi="Arial"/>
          <w:sz w:val="22"/>
          <w:szCs w:val="22"/>
        </w:rPr>
        <w:t xml:space="preserve">Write the SQL query in a text editor.</w:t>
      </w:r>
    </w:p>
    <w:p>
      <w:pPr>
        <w:pStyle w:val="ListParagraph"/>
        <w:numPr>
          <w:ilvl w:val="0"/>
          <w:numId w:val="3"/>
        </w:numPr>
        <w:spacing w:after="80"/>
      </w:pPr>
      <w:r>
        <w:rPr>
          <w:rFonts w:ascii="Arial" w:cs="Arial" w:eastAsia="Arial" w:hAnsi="Arial"/>
          <w:sz w:val="22"/>
          <w:szCs w:val="22"/>
        </w:rPr>
        <w:t xml:space="preserve">Use the test/preview function to execute the query and review results as a flat table. Test parameter values can be supplied for queries that include named parameters.</w:t>
      </w:r>
    </w:p>
    <w:p>
      <w:pPr>
        <w:pStyle w:val="ListParagraph"/>
        <w:numPr>
          <w:ilvl w:val="0"/>
          <w:numId w:val="3"/>
        </w:numPr>
        <w:spacing w:after="80"/>
      </w:pPr>
      <w:r>
        <w:rPr>
          <w:rFonts w:ascii="Arial" w:cs="Arial" w:eastAsia="Arial" w:hAnsi="Arial"/>
          <w:sz w:val="22"/>
          <w:szCs w:val="22"/>
        </w:rPr>
        <w:t xml:space="preserve">Define column metadata: logical name, display label, and data type for each column returned by the query.</w:t>
      </w:r>
    </w:p>
    <w:p>
      <w:pPr>
        <w:pStyle w:val="ListParagraph"/>
        <w:numPr>
          <w:ilvl w:val="0"/>
          <w:numId w:val="3"/>
        </w:numPr>
        <w:spacing w:after="80"/>
      </w:pPr>
      <w:r>
        <w:rPr>
          <w:rFonts w:ascii="Arial" w:cs="Arial" w:eastAsia="Arial" w:hAnsi="Arial"/>
          <w:sz w:val="22"/>
          <w:szCs w:val="22"/>
        </w:rPr>
        <w:t xml:space="preserve">Define the hierarchy: ordered levels with grouping keys and display columns.</w:t>
      </w:r>
    </w:p>
    <w:p>
      <w:pPr>
        <w:pStyle w:val="ListParagraph"/>
        <w:numPr>
          <w:ilvl w:val="0"/>
          <w:numId w:val="3"/>
        </w:numPr>
        <w:spacing w:after="80"/>
      </w:pPr>
      <w:r>
        <w:rPr>
          <w:rFonts w:ascii="Arial" w:cs="Arial" w:eastAsia="Arial" w:hAnsi="Arial"/>
          <w:sz w:val="22"/>
          <w:szCs w:val="22"/>
        </w:rPr>
        <w:t xml:space="preserve">Declare named parameters.</w:t>
      </w:r>
    </w:p>
    <w:p>
      <w:pPr>
        <w:spacing w:after="160"/>
      </w:pPr>
      <w:r>
        <w:rPr>
          <w:rFonts w:ascii="Arial" w:cs="Arial" w:eastAsia="Arial" w:hAnsi="Arial"/>
          <w:color w:val="000000"/>
          <w:sz w:val="22"/>
          <w:szCs w:val="22"/>
        </w:rPr>
        <w:t xml:space="preserve">Super Admins can also edit existing data sources and set them to Active or Inactive status. Deactivating a data source automatically makes all dependent views unavailable. The application warns the Super Admin of affected views before confirming the deactivation. There is no permanent delete for data sources.</w:t>
      </w:r>
    </w:p>
    <w:p>
      <w:pPr>
        <w:pStyle w:val="Heading2"/>
        <w:spacing w:after="160" w:before="280"/>
      </w:pPr>
      <w:r>
        <w:rPr>
          <w:rFonts w:ascii="Arial" w:cs="Arial" w:eastAsia="Arial" w:hAnsi="Arial"/>
          <w:b/>
          <w:bCs/>
          <w:color w:val="1F3864"/>
          <w:sz w:val="24"/>
          <w:szCs w:val="24"/>
        </w:rPr>
        <w:t xml:space="preserve">5.3 Test/Preview</w:t>
      </w:r>
    </w:p>
    <w:p>
      <w:pPr>
        <w:spacing w:after="160"/>
      </w:pPr>
      <w:r>
        <w:rPr>
          <w:rFonts w:ascii="Arial" w:cs="Arial" w:eastAsia="Arial" w:hAnsi="Arial"/>
          <w:color w:val="000000"/>
          <w:sz w:val="22"/>
          <w:szCs w:val="22"/>
        </w:rPr>
        <w:t xml:space="preserve">The data source management screen includes a test/preview function that executes the SQL query against the CRM database and displays the result set as a flat table. This allows the Super Admin to verify that the query returns the expected data before saving the data source definition. The preview does not apply hierarchy grouping — it shows the raw query results. Hierarchy grouping can be verified by creating a view on top of the data source.</w:t>
      </w:r>
    </w:p>
    <w:p>
      <w:r>
        <w:br w:type="page"/>
      </w:r>
    </w:p>
    <w:p>
      <w:pPr>
        <w:pStyle w:val="Heading1"/>
        <w:spacing w:after="200" w:before="360"/>
      </w:pPr>
      <w:r>
        <w:rPr>
          <w:rFonts w:ascii="Arial" w:cs="Arial" w:eastAsia="Arial" w:hAnsi="Arial"/>
          <w:b/>
          <w:bCs/>
          <w:color w:val="1F3864"/>
          <w:sz w:val="28"/>
          <w:szCs w:val="28"/>
        </w:rPr>
        <w:t xml:space="preserve">6. Data Access Layer</w:t>
      </w:r>
    </w:p>
    <w:p>
      <w:pPr>
        <w:pStyle w:val="Heading2"/>
        <w:spacing w:after="160" w:before="280"/>
      </w:pPr>
      <w:r>
        <w:rPr>
          <w:rFonts w:ascii="Arial" w:cs="Arial" w:eastAsia="Arial" w:hAnsi="Arial"/>
          <w:b/>
          <w:bCs/>
          <w:color w:val="1F3864"/>
          <w:sz w:val="24"/>
          <w:szCs w:val="24"/>
        </w:rPr>
        <w:t xml:space="preserve">6.1 Read Path</w:t>
      </w:r>
    </w:p>
    <w:p>
      <w:pPr>
        <w:spacing w:after="160"/>
      </w:pPr>
      <w:r>
        <w:rPr>
          <w:rFonts w:ascii="Arial" w:cs="Arial" w:eastAsia="Arial" w:hAnsi="Arial"/>
          <w:color w:val="000000"/>
          <w:sz w:val="22"/>
          <w:szCs w:val="22"/>
        </w:rPr>
        <w:t xml:space="preserve">All read operations execute directly against the CRM database. When a user selects a view, the backend:</w:t>
      </w:r>
    </w:p>
    <w:p>
      <w:pPr>
        <w:pStyle w:val="ListParagraph"/>
        <w:numPr>
          <w:ilvl w:val="0"/>
          <w:numId w:val="3"/>
        </w:numPr>
        <w:spacing w:after="80"/>
      </w:pPr>
      <w:r>
        <w:rPr>
          <w:rFonts w:ascii="Arial" w:cs="Arial" w:eastAsia="Arial" w:hAnsi="Arial"/>
          <w:sz w:val="22"/>
          <w:szCs w:val="22"/>
        </w:rPr>
        <w:t xml:space="preserve">Retrieves the view’s configuration, including its referenced data source.</w:t>
      </w:r>
    </w:p>
    <w:p>
      <w:pPr>
        <w:pStyle w:val="ListParagraph"/>
        <w:numPr>
          <w:ilvl w:val="0"/>
          <w:numId w:val="3"/>
        </w:numPr>
        <w:spacing w:after="80"/>
      </w:pPr>
      <w:r>
        <w:rPr>
          <w:rFonts w:ascii="Arial" w:cs="Arial" w:eastAsia="Arial" w:hAnsi="Arial"/>
          <w:sz w:val="22"/>
          <w:szCs w:val="22"/>
        </w:rPr>
        <w:t xml:space="preserve">Retrieves the data source’s SQL query and parameter definitions.</w:t>
      </w:r>
    </w:p>
    <w:p>
      <w:pPr>
        <w:pStyle w:val="ListParagraph"/>
        <w:numPr>
          <w:ilvl w:val="0"/>
          <w:numId w:val="3"/>
        </w:numPr>
        <w:spacing w:after="80"/>
      </w:pPr>
      <w:r>
        <w:rPr>
          <w:rFonts w:ascii="Arial" w:cs="Arial" w:eastAsia="Arial" w:hAnsi="Arial"/>
          <w:sz w:val="22"/>
          <w:szCs w:val="22"/>
        </w:rPr>
        <w:t xml:space="preserve">Injects runtime parameter values (current user identity, role-based filter, any view-level filter values).</w:t>
      </w:r>
    </w:p>
    <w:p>
      <w:pPr>
        <w:pStyle w:val="ListParagraph"/>
        <w:numPr>
          <w:ilvl w:val="0"/>
          <w:numId w:val="3"/>
        </w:numPr>
        <w:spacing w:after="80"/>
      </w:pPr>
      <w:r>
        <w:rPr>
          <w:rFonts w:ascii="Arial" w:cs="Arial" w:eastAsia="Arial" w:hAnsi="Arial"/>
          <w:sz w:val="22"/>
          <w:szCs w:val="22"/>
        </w:rPr>
        <w:t xml:space="preserve">Executes the parameterized query against the CRM database with the configured timeout.</w:t>
      </w:r>
    </w:p>
    <w:p>
      <w:pPr>
        <w:pStyle w:val="ListParagraph"/>
        <w:numPr>
          <w:ilvl w:val="0"/>
          <w:numId w:val="3"/>
        </w:numPr>
        <w:spacing w:after="80"/>
      </w:pPr>
      <w:r>
        <w:rPr>
          <w:rFonts w:ascii="Arial" w:cs="Arial" w:eastAsia="Arial" w:hAnsi="Arial"/>
          <w:sz w:val="22"/>
          <w:szCs w:val="22"/>
        </w:rPr>
        <w:t xml:space="preserve">Returns the result set to the frontend for client-side rendering, filtering, and sorting.</w:t>
      </w:r>
    </w:p>
    <w:p>
      <w:pPr>
        <w:spacing w:after="160"/>
      </w:pPr>
      <w:r>
        <w:rPr>
          <w:rFonts w:ascii="Arial" w:cs="Arial" w:eastAsia="Arial" w:hAnsi="Arial"/>
          <w:color w:val="000000"/>
          <w:sz w:val="22"/>
          <w:szCs w:val="22"/>
        </w:rPr>
        <w:t xml:space="preserve">Direct database access is used because assembling equivalent results through CRM API calls would require multiple round trips and client-side joining, which is impractical for union-style and multi-entity queries.</w:t>
      </w:r>
    </w:p>
    <w:p>
      <w:pPr>
        <w:pStyle w:val="Heading2"/>
        <w:spacing w:after="160" w:before="280"/>
      </w:pPr>
      <w:r>
        <w:rPr>
          <w:rFonts w:ascii="Arial" w:cs="Arial" w:eastAsia="Arial" w:hAnsi="Arial"/>
          <w:b/>
          <w:bCs/>
          <w:color w:val="1F3864"/>
          <w:sz w:val="24"/>
          <w:szCs w:val="24"/>
        </w:rPr>
        <w:t xml:space="preserve">6.2 Write Path</w:t>
      </w:r>
    </w:p>
    <w:p>
      <w:pPr>
        <w:spacing w:after="160"/>
      </w:pPr>
      <w:r>
        <w:rPr>
          <w:rFonts w:ascii="Arial" w:cs="Arial" w:eastAsia="Arial" w:hAnsi="Arial"/>
          <w:color w:val="000000"/>
          <w:sz w:val="22"/>
          <w:szCs w:val="22"/>
        </w:rPr>
        <w:t xml:space="preserve">All create, update, and delete operations are routed through the CRM’s REST API. This ensures that all CRM business rules, formula scripts, workflows, validation logic, and access controls are enforced. The application never writes directly to the CRM database.</w:t>
      </w:r>
    </w:p>
    <w:p>
      <w:pPr>
        <w:spacing w:after="160"/>
      </w:pPr>
      <w:r>
        <w:rPr>
          <w:rFonts w:ascii="Arial" w:cs="Arial" w:eastAsia="Arial" w:hAnsi="Arial"/>
          <w:color w:val="000000"/>
          <w:sz w:val="22"/>
          <w:szCs w:val="22"/>
        </w:rPr>
        <w:t xml:space="preserve">Write operations originate from the detail screen and session form:</w:t>
      </w:r>
    </w:p>
    <w:p>
      <w:pPr>
        <w:pStyle w:val="ListParagraph"/>
        <w:numPr>
          <w:ilvl w:val="0"/>
          <w:numId w:val="2"/>
        </w:numPr>
        <w:spacing w:after="80"/>
      </w:pPr>
      <w:r>
        <w:rPr>
          <w:rFonts w:ascii="Arial" w:cs="Arial" w:eastAsia="Arial" w:hAnsi="Arial"/>
          <w:b/>
          <w:bCs/>
          <w:sz w:val="22"/>
          <w:szCs w:val="22"/>
        </w:rPr>
        <w:t xml:space="preserve">Field updates: </w:t>
      </w:r>
      <w:r>
        <w:rPr>
          <w:rFonts w:ascii="Arial" w:cs="Arial" w:eastAsia="Arial" w:hAnsi="Arial"/>
          <w:sz w:val="22"/>
          <w:szCs w:val="22"/>
        </w:rPr>
        <w:t xml:space="preserve">When a user edits a field and completes the edit, the frontend sends the entity type, record ID, field name, and new value to the backend. The backend forwards this as an update request to the CRM API.</w:t>
      </w:r>
    </w:p>
    <w:p>
      <w:pPr>
        <w:pStyle w:val="ListParagraph"/>
        <w:numPr>
          <w:ilvl w:val="0"/>
          <w:numId w:val="2"/>
        </w:numPr>
        <w:spacing w:after="80"/>
      </w:pPr>
      <w:r>
        <w:rPr>
          <w:rFonts w:ascii="Arial" w:cs="Arial" w:eastAsia="Arial" w:hAnsi="Arial"/>
          <w:b/>
          <w:bCs/>
          <w:sz w:val="22"/>
          <w:szCs w:val="22"/>
        </w:rPr>
        <w:t xml:space="preserve">Session creation: </w:t>
      </w:r>
      <w:r>
        <w:rPr>
          <w:rFonts w:ascii="Arial" w:cs="Arial" w:eastAsia="Arial" w:hAnsi="Arial"/>
          <w:sz w:val="22"/>
          <w:szCs w:val="22"/>
        </w:rPr>
        <w:t xml:space="preserve">When a user creates a new session, the frontend sends the parent engagement ID and session data to the backend, which forwards it as a create request to the CRM API.</w:t>
      </w:r>
    </w:p>
    <w:p>
      <w:pPr>
        <w:pStyle w:val="ListParagraph"/>
        <w:numPr>
          <w:ilvl w:val="0"/>
          <w:numId w:val="2"/>
        </w:numPr>
        <w:spacing w:after="80"/>
      </w:pPr>
      <w:r>
        <w:rPr>
          <w:rFonts w:ascii="Arial" w:cs="Arial" w:eastAsia="Arial" w:hAnsi="Arial"/>
          <w:b/>
          <w:bCs/>
          <w:sz w:val="22"/>
          <w:szCs w:val="22"/>
        </w:rPr>
        <w:t xml:space="preserve">Relationship addition: </w:t>
      </w:r>
      <w:r>
        <w:rPr>
          <w:rFonts w:ascii="Arial" w:cs="Arial" w:eastAsia="Arial" w:hAnsi="Arial"/>
          <w:sz w:val="22"/>
          <w:szCs w:val="22"/>
        </w:rPr>
        <w:t xml:space="preserve">When a user adds a relationship (for example, a co-mentor), the frontend sends the entity type, record ID, related entity type, and related record ID to the backend, which forwards it as a relationship link request to the CRM API.</w:t>
      </w:r>
    </w:p>
    <w:p>
      <w:pPr>
        <w:pStyle w:val="Heading2"/>
        <w:spacing w:after="160" w:before="280"/>
      </w:pPr>
      <w:r>
        <w:rPr>
          <w:rFonts w:ascii="Arial" w:cs="Arial" w:eastAsia="Arial" w:hAnsi="Arial"/>
          <w:b/>
          <w:bCs/>
          <w:color w:val="1F3864"/>
          <w:sz w:val="24"/>
          <w:szCs w:val="24"/>
        </w:rPr>
        <w:t xml:space="preserve">6.3 External Service Path</w:t>
      </w:r>
    </w:p>
    <w:p>
      <w:pPr>
        <w:spacing w:after="160"/>
      </w:pPr>
      <w:r>
        <w:rPr>
          <w:rFonts w:ascii="Arial" w:cs="Arial" w:eastAsia="Arial" w:hAnsi="Arial"/>
          <w:color w:val="000000"/>
          <w:sz w:val="22"/>
          <w:szCs w:val="22"/>
        </w:rPr>
        <w:t xml:space="preserve">Calendar and email operations are routed through the Google Workspace APIs using the authenticated user’s OAuth credentials. The backend acts as the intermediary, holding the user’s OAuth tokens and making API calls on their behalf. These operations do not touch the CRM database or CRM API.</w:t>
      </w:r>
    </w:p>
    <w:p>
      <w:pPr>
        <w:pStyle w:val="Heading2"/>
        <w:spacing w:after="160" w:before="280"/>
      </w:pPr>
      <w:r>
        <w:rPr>
          <w:rFonts w:ascii="Arial" w:cs="Arial" w:eastAsia="Arial" w:hAnsi="Arial"/>
          <w:b/>
          <w:bCs/>
          <w:color w:val="1F3864"/>
          <w:sz w:val="24"/>
          <w:szCs w:val="24"/>
        </w:rPr>
        <w:t xml:space="preserve">6.4 Data Consistency</w:t>
      </w:r>
    </w:p>
    <w:p>
      <w:pPr>
        <w:spacing w:after="160"/>
      </w:pPr>
      <w:r>
        <w:rPr>
          <w:rFonts w:ascii="Arial" w:cs="Arial" w:eastAsia="Arial" w:hAnsi="Arial"/>
          <w:color w:val="000000"/>
          <w:sz w:val="22"/>
          <w:szCs w:val="22"/>
        </w:rPr>
        <w:t xml:space="preserve">Because reads come from the database and writes go through the CRM API, there is a potential for brief inconsistency between a write operation completing and the change being visible in the next read. In practice, because both paths access the same underlying database and the CRM API writes synchronously, this window is negligible for the expected user base and usage patterns.</w:t>
      </w:r>
    </w:p>
    <w:p>
      <w:r>
        <w:br w:type="page"/>
      </w:r>
    </w:p>
    <w:p>
      <w:pPr>
        <w:pStyle w:val="Heading1"/>
        <w:spacing w:after="200" w:before="360"/>
      </w:pPr>
      <w:r>
        <w:rPr>
          <w:rFonts w:ascii="Arial" w:cs="Arial" w:eastAsia="Arial" w:hAnsi="Arial"/>
          <w:b/>
          <w:bCs/>
          <w:color w:val="1F3864"/>
          <w:sz w:val="28"/>
          <w:szCs w:val="28"/>
        </w:rPr>
        <w:t xml:space="preserve">7. API Specification</w:t>
      </w:r>
    </w:p>
    <w:p>
      <w:pPr>
        <w:pStyle w:val="Heading2"/>
        <w:spacing w:after="160" w:before="280"/>
      </w:pPr>
      <w:r>
        <w:rPr>
          <w:rFonts w:ascii="Arial" w:cs="Arial" w:eastAsia="Arial" w:hAnsi="Arial"/>
          <w:b/>
          <w:bCs/>
          <w:color w:val="1F3864"/>
          <w:sz w:val="24"/>
          <w:szCs w:val="24"/>
        </w:rPr>
        <w:t xml:space="preserve">7.1 Overview</w:t>
      </w:r>
    </w:p>
    <w:p>
      <w:pPr>
        <w:spacing w:after="160"/>
      </w:pPr>
      <w:r>
        <w:rPr>
          <w:rFonts w:ascii="Arial" w:cs="Arial" w:eastAsia="Arial" w:hAnsi="Arial"/>
          <w:color w:val="000000"/>
          <w:sz w:val="22"/>
          <w:szCs w:val="22"/>
        </w:rPr>
        <w:t xml:space="preserve">The frontend communicates with the backend through a REST API. All endpoints require a valid authentication token except the login endpoint. The backend enforces role-based authorization on every request.</w:t>
      </w:r>
    </w:p>
    <w:p>
      <w:pPr>
        <w:pStyle w:val="Heading2"/>
        <w:spacing w:after="160" w:before="280"/>
      </w:pPr>
      <w:r>
        <w:rPr>
          <w:rFonts w:ascii="Arial" w:cs="Arial" w:eastAsia="Arial" w:hAnsi="Arial"/>
          <w:b/>
          <w:bCs/>
          <w:color w:val="1F3864"/>
          <w:sz w:val="24"/>
          <w:szCs w:val="24"/>
        </w:rPr>
        <w:t xml:space="preserve">7.2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/auth/login</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Authenticate with CRM credentials. Returns an access token and the user’s application role.</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POST</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/auth/logout</w:t>
            </w:r>
          </w:p>
        </w:tc>
        <w:tc>
          <w:tcPr>
            <w:tcW w:type="dxa" w:w="4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Invalidate the current token.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/auth/me</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Return the current user’s profile, role, and token expiry.</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GET</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/auth/google</w:t>
            </w:r>
          </w:p>
        </w:tc>
        <w:tc>
          <w:tcPr>
            <w:tcW w:type="dxa" w:w="4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Initiate Google Workspace OAuth flow. Redirects the user to Google’s consent screen.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/auth/google/callback</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Handle the OAuth callback from Google. Stores the user’s OAuth tokens.</w:t>
            </w:r>
          </w:p>
        </w:tc>
      </w:tr>
    </w:tbl>
    <w:p>
      <w:pPr>
        <w:spacing w:after="160"/>
      </w:pPr>
    </w:p>
    <w:p>
      <w:pPr>
        <w:pStyle w:val="Heading2"/>
        <w:spacing w:after="160" w:before="280"/>
      </w:pPr>
      <w:r>
        <w:rPr>
          <w:rFonts w:ascii="Arial" w:cs="Arial" w:eastAsia="Arial" w:hAnsi="Arial"/>
          <w:b/>
          <w:bCs/>
          <w:color w:val="1F3864"/>
          <w:sz w:val="24"/>
          <w:szCs w:val="24"/>
        </w:rPr>
        <w:t xml:space="preserve">7.3 View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/views</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List all active views available to the current user.</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GET</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/views/:id/data</w:t>
            </w:r>
          </w:p>
        </w:tc>
        <w:tc>
          <w:tcPr>
            <w:tcW w:type="dxa" w:w="4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Execute the view’s underlying data source query with role-based parameters and view-level filters. Returns the full result set.</w:t>
            </w:r>
          </w:p>
        </w:tc>
      </w:tr>
    </w:tbl>
    <w:p>
      <w:pPr>
        <w:spacing w:after="160"/>
      </w:pPr>
    </w:p>
    <w:p>
      <w:pPr>
        <w:pStyle w:val="Heading2"/>
        <w:spacing w:after="160" w:before="280"/>
      </w:pPr>
      <w:r>
        <w:rPr>
          <w:rFonts w:ascii="Arial" w:cs="Arial" w:eastAsia="Arial" w:hAnsi="Arial"/>
          <w:b/>
          <w:bCs/>
          <w:color w:val="1F3864"/>
          <w:sz w:val="24"/>
          <w:szCs w:val="24"/>
        </w:rPr>
        <w:t xml:space="preserve">7.4 View Management Endpoints (Admin and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/admin/views</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Create a new view.</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PUT</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/admin/views/:id</w:t>
            </w:r>
          </w:p>
        </w:tc>
        <w:tc>
          <w:tcPr>
            <w:tcW w:type="dxa" w:w="4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Update an existing view.</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PATCH</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/admin/views/:id/status</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Set a view to Active or Inactive.</w:t>
            </w:r>
          </w:p>
        </w:tc>
      </w:tr>
    </w:tbl>
    <w:p>
      <w:pPr>
        <w:spacing w:after="160"/>
      </w:pPr>
    </w:p>
    <w:p>
      <w:pPr>
        <w:pStyle w:val="Heading2"/>
        <w:spacing w:after="160" w:before="280"/>
      </w:pPr>
      <w:r>
        <w:rPr>
          <w:rFonts w:ascii="Arial" w:cs="Arial" w:eastAsia="Arial" w:hAnsi="Arial"/>
          <w:b/>
          <w:bCs/>
          <w:color w:val="1F3864"/>
          <w:sz w:val="24"/>
          <w:szCs w:val="24"/>
        </w:rPr>
        <w:t xml:space="preserve">7.5 Data Source Management Endpoints (Super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GET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/admin/datasources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List all data sources.</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POST</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/admin/datasources</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Create a new data source.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PUT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/admin/datasources/:id</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Update an existing data source.</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PATCH</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/admin/datasources/:id/status</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Set a data source to Active or Inactive. Warns of dependent views.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POST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/admin/datasources/:id/preview</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Execute the data source query with supplied test parameters. Returns a flat result set for preview.</w:t>
            </w:r>
          </w:p>
        </w:tc>
      </w:tr>
    </w:tbl>
    <w:p>
      <w:pPr>
        <w:spacing w:after="160"/>
      </w:pPr>
    </w:p>
    <w:p>
      <w:pPr>
        <w:pStyle w:val="Heading2"/>
        <w:spacing w:after="160" w:before="280"/>
      </w:pPr>
      <w:r>
        <w:rPr>
          <w:rFonts w:ascii="Arial" w:cs="Arial" w:eastAsia="Arial" w:hAnsi="Arial"/>
          <w:b/>
          <w:bCs/>
          <w:color w:val="1F3864"/>
          <w:sz w:val="24"/>
          <w:szCs w:val="24"/>
        </w:rPr>
        <w:t xml:space="preserve">7.6 Write Endpoints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PATCH</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/records/:entityType/:id</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Update one or more fields on a record. Proxied to the CRM API.</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POST</w:t>
            </w:r>
          </w:p>
        </w:tc>
        <w:tc>
          <w:tcPr>
            <w:tcW w:type="dxa" w:w="3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/records/:entityType</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Create a new record (for example, a session). Proxied to the CRM API.</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POST</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/records/:entityType/:id/relationships/:linkName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Add a relationship to a record. Proxied to the CRM API.</w:t>
            </w:r>
          </w:p>
        </w:tc>
      </w:tr>
    </w:tbl>
    <w:p>
      <w:pPr>
        <w:spacing w:after="160"/>
      </w:pPr>
    </w:p>
    <w:p>
      <w:pPr>
        <w:pStyle w:val="Heading2"/>
        <w:spacing w:after="160" w:before="280"/>
      </w:pPr>
      <w:r>
        <w:rPr>
          <w:rFonts w:ascii="Arial" w:cs="Arial" w:eastAsia="Arial" w:hAnsi="Arial"/>
          <w:b/>
          <w:bCs/>
          <w:color w:val="1F3864"/>
          <w:sz w:val="24"/>
          <w:szCs w:val="24"/>
        </w:rPr>
        <w:t xml:space="preserve">7.7 Google Workspace Endpoints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POST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/calendar/events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Create a Google Calendar event for the next session. Includes attendees from the engagement. Returns the event ID.</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POST</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/email/send</w:t>
            </w:r>
          </w:p>
        </w:tc>
        <w:tc>
          <w:tcPr>
            <w:tcW w:type="dxa" w:w="43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Send a session summary email via Gmail API. Accepts recipients, subject, and body content. Returns send confirmation.</w:t>
            </w:r>
          </w:p>
        </w:tc>
      </w:tr>
    </w:tbl>
    <w:p>
      <w:pPr>
        <w:spacing w:after="160"/>
      </w:pPr>
    </w:p>
    <w:p>
      <w:pPr>
        <w:pStyle w:val="Heading2"/>
        <w:spacing w:after="160" w:before="280"/>
      </w:pPr>
      <w:r>
        <w:rPr>
          <w:rFonts w:ascii="Arial" w:cs="Arial" w:eastAsia="Arial" w:hAnsi="Arial"/>
          <w:b/>
          <w:bCs/>
          <w:color w:val="1F3864"/>
          <w:sz w:val="24"/>
          <w:szCs w:val="24"/>
        </w:rPr>
        <w:t xml:space="preserve">7.8 Error Handling</w:t>
      </w:r>
    </w:p>
    <w:p>
      <w:pPr>
        <w:spacing w:after="160"/>
      </w:pPr>
      <w:r>
        <w:rPr>
          <w:rFonts w:ascii="Arial" w:cs="Arial" w:eastAsia="Arial" w:hAnsi="Arial"/>
          <w:color w:val="000000"/>
          <w:sz w:val="22"/>
          <w:szCs w:val="22"/>
        </w:rPr>
        <w:t xml:space="preserve">All API responses use standard HTTP status codes. Error responses include a JSON body with an error code and a human-readable message. CRM API errors encountered during write operations are translated into application-level error responses and returned to the frontend for display to the user. Google Workspace API errors (for example, calendar permission issues or email send failures) are similarly translated and surfaced to the user.</w:t>
      </w:r>
    </w:p>
    <w:p>
      <w:r>
        <w:br w:type="page"/>
      </w:r>
    </w:p>
    <w:p>
      <w:pPr>
        <w:pStyle w:val="Heading1"/>
        <w:spacing w:after="200" w:before="360"/>
      </w:pPr>
      <w:r>
        <w:rPr>
          <w:rFonts w:ascii="Arial" w:cs="Arial" w:eastAsia="Arial" w:hAnsi="Arial"/>
          <w:b/>
          <w:bCs/>
          <w:color w:val="1F3864"/>
          <w:sz w:val="28"/>
          <w:szCs w:val="28"/>
        </w:rPr>
        <w:t xml:space="preserve">8. Authentication and Security</w:t>
      </w:r>
    </w:p>
    <w:p>
      <w:pPr>
        <w:pStyle w:val="Heading2"/>
        <w:spacing w:after="160" w:before="280"/>
      </w:pPr>
      <w:r>
        <w:rPr>
          <w:rFonts w:ascii="Arial" w:cs="Arial" w:eastAsia="Arial" w:hAnsi="Arial"/>
          <w:b/>
          <w:bCs/>
          <w:color w:val="1F3864"/>
          <w:sz w:val="24"/>
          <w:szCs w:val="24"/>
        </w:rPr>
        <w:t xml:space="preserve">8.1 CRM Authentication Integration</w:t>
      </w:r>
    </w:p>
    <w:p>
      <w:pPr>
        <w:spacing w:after="160"/>
      </w:pPr>
      <w:r>
        <w:rPr>
          <w:rFonts w:ascii="Arial" w:cs="Arial" w:eastAsia="Arial" w:hAnsi="Arial"/>
          <w:color w:val="000000"/>
          <w:sz w:val="22"/>
          <w:szCs w:val="22"/>
        </w:rPr>
        <w:t xml:space="preserve">The application authenticates users against the CRM’s existing user system. Users log in with their CRM credentials. The application does not maintain its own user accounts or passwords. If a user’s CRM account is deactivated, they can no longer authenticate with the application.</w:t>
      </w:r>
    </w:p>
    <w:p>
      <w:pPr>
        <w:pStyle w:val="Heading2"/>
        <w:spacing w:after="160" w:before="280"/>
      </w:pPr>
      <w:r>
        <w:rPr>
          <w:rFonts w:ascii="Arial" w:cs="Arial" w:eastAsia="Arial" w:hAnsi="Arial"/>
          <w:b/>
          <w:bCs/>
          <w:color w:val="1F3864"/>
          <w:sz w:val="24"/>
          <w:szCs w:val="24"/>
        </w:rPr>
        <w:t xml:space="preserve">8.2 Token-Based Session Management</w:t>
      </w:r>
    </w:p>
    <w:p>
      <w:pPr>
        <w:spacing w:after="160"/>
      </w:pPr>
      <w:r>
        <w:rPr>
          <w:rFonts w:ascii="Arial" w:cs="Arial" w:eastAsia="Arial" w:hAnsi="Arial"/>
          <w:color w:val="000000"/>
          <w:sz w:val="22"/>
          <w:szCs w:val="22"/>
        </w:rPr>
        <w:t xml:space="preserve">Upon successful authentication, the backend issues a token (JWT or equivalent) to the frontend. The frontend includes this token in the header of every subsequent API request. The token contains or references the user’s identity and application role.</w:t>
      </w:r>
    </w:p>
    <w:p>
      <w:pPr>
        <w:spacing w:after="160"/>
      </w:pPr>
      <w:r>
        <w:rPr>
          <w:rFonts w:ascii="Arial" w:cs="Arial" w:eastAsia="Arial" w:hAnsi="Arial"/>
          <w:color w:val="000000"/>
          <w:sz w:val="22"/>
          <w:szCs w:val="22"/>
        </w:rPr>
        <w:t xml:space="preserve">Token lifecycle:</w:t>
      </w:r>
    </w:p>
    <w:p>
      <w:pPr>
        <w:pStyle w:val="ListParagraph"/>
        <w:numPr>
          <w:ilvl w:val="0"/>
          <w:numId w:val="2"/>
        </w:numPr>
        <w:spacing w:after="80"/>
      </w:pPr>
      <w:r>
        <w:rPr>
          <w:rFonts w:ascii="Arial" w:cs="Arial" w:eastAsia="Arial" w:hAnsi="Arial"/>
          <w:sz w:val="22"/>
          <w:szCs w:val="22"/>
        </w:rPr>
        <w:t xml:space="preserve">The token auto-refreshes with each API request, resetting the expiry window.</w:t>
      </w:r>
    </w:p>
    <w:p>
      <w:pPr>
        <w:pStyle w:val="ListParagraph"/>
        <w:numPr>
          <w:ilvl w:val="0"/>
          <w:numId w:val="2"/>
        </w:numPr>
        <w:spacing w:after="80"/>
      </w:pPr>
      <w:r>
        <w:rPr>
          <w:rFonts w:ascii="Arial" w:cs="Arial" w:eastAsia="Arial" w:hAnsi="Arial"/>
          <w:sz w:val="22"/>
          <w:szCs w:val="22"/>
        </w:rPr>
        <w:t xml:space="preserve">If the user makes no API request for a full calendar day, the token expires.</w:t>
      </w:r>
    </w:p>
    <w:p>
      <w:pPr>
        <w:pStyle w:val="ListParagraph"/>
        <w:numPr>
          <w:ilvl w:val="0"/>
          <w:numId w:val="2"/>
        </w:numPr>
        <w:spacing w:after="80"/>
      </w:pPr>
      <w:r>
        <w:rPr>
          <w:rFonts w:ascii="Arial" w:cs="Arial" w:eastAsia="Arial" w:hAnsi="Arial"/>
          <w:sz w:val="22"/>
          <w:szCs w:val="22"/>
        </w:rPr>
        <w:t xml:space="preserve">Upon token expiry, the user must re-authenticate.</w:t>
      </w:r>
    </w:p>
    <w:p>
      <w:pPr>
        <w:pStyle w:val="ListParagraph"/>
        <w:numPr>
          <w:ilvl w:val="0"/>
          <w:numId w:val="2"/>
        </w:numPr>
        <w:spacing w:after="80"/>
      </w:pPr>
      <w:r>
        <w:rPr>
          <w:rFonts w:ascii="Arial" w:cs="Arial" w:eastAsia="Arial" w:hAnsi="Arial"/>
          <w:sz w:val="22"/>
          <w:szCs w:val="22"/>
        </w:rPr>
        <w:t xml:space="preserve">The logout endpoint explicitly invalidates the token.</w:t>
      </w:r>
    </w:p>
    <w:p>
      <w:pPr>
        <w:pStyle w:val="Heading2"/>
        <w:spacing w:after="160" w:before="280"/>
      </w:pPr>
      <w:r>
        <w:rPr>
          <w:rFonts w:ascii="Arial" w:cs="Arial" w:eastAsia="Arial" w:hAnsi="Arial"/>
          <w:b/>
          <w:bCs/>
          <w:color w:val="1F3864"/>
          <w:sz w:val="24"/>
          <w:szCs w:val="24"/>
        </w:rPr>
        <w:t xml:space="preserve">8.3 Role-Based API Authorization</w:t>
      </w:r>
    </w:p>
    <w:p>
      <w:pPr>
        <w:spacing w:after="160"/>
      </w:pPr>
      <w:r>
        <w:rPr>
          <w:rFonts w:ascii="Arial" w:cs="Arial" w:eastAsia="Arial" w:hAnsi="Arial"/>
          <w:color w:val="000000"/>
          <w:sz w:val="22"/>
          <w:szCs w:val="22"/>
        </w:rPr>
        <w:t xml:space="preserve">The backend checks the authenticated user’s role on every API request before processing it. Requests to endpoints that exceed the user’s role are rejected with an authorization error. The role hierarchy:</w:t>
      </w:r>
    </w:p>
    <w:p>
      <w:pPr>
        <w:pStyle w:val="ListParagraph"/>
        <w:numPr>
          <w:ilvl w:val="0"/>
          <w:numId w:val="2"/>
        </w:numPr>
        <w:spacing w:after="80"/>
      </w:pPr>
      <w:r>
        <w:rPr>
          <w:rFonts w:ascii="Arial" w:cs="Arial" w:eastAsia="Arial" w:hAnsi="Arial"/>
          <w:sz w:val="22"/>
          <w:szCs w:val="22"/>
        </w:rPr>
        <w:t xml:space="preserve">Mentor: access to view endpoints, view data endpoints, write endpoints, Google Workspace endpoints, and own-user profile.</w:t>
      </w:r>
    </w:p>
    <w:p>
      <w:pPr>
        <w:pStyle w:val="ListParagraph"/>
        <w:numPr>
          <w:ilvl w:val="0"/>
          <w:numId w:val="2"/>
        </w:numPr>
        <w:spacing w:after="80"/>
      </w:pPr>
      <w:r>
        <w:rPr>
          <w:rFonts w:ascii="Arial" w:cs="Arial" w:eastAsia="Arial" w:hAnsi="Arial"/>
          <w:sz w:val="22"/>
          <w:szCs w:val="22"/>
        </w:rPr>
        <w:t xml:space="preserve">Admin: all Mentor endpoints plus view management endpoints.</w:t>
      </w:r>
    </w:p>
    <w:p>
      <w:pPr>
        <w:pStyle w:val="ListParagraph"/>
        <w:numPr>
          <w:ilvl w:val="0"/>
          <w:numId w:val="2"/>
        </w:numPr>
        <w:spacing w:after="80"/>
      </w:pPr>
      <w:r>
        <w:rPr>
          <w:rFonts w:ascii="Arial" w:cs="Arial" w:eastAsia="Arial" w:hAnsi="Arial"/>
          <w:sz w:val="22"/>
          <w:szCs w:val="22"/>
        </w:rPr>
        <w:t xml:space="preserve">Super Admin: all Admin endpoints plus data source management endpoints and role-mapping configuration.</w:t>
      </w:r>
    </w:p>
    <w:p>
      <w:pPr>
        <w:pStyle w:val="Heading2"/>
        <w:spacing w:after="160" w:before="280"/>
      </w:pPr>
      <w:r>
        <w:rPr>
          <w:rFonts w:ascii="Arial" w:cs="Arial" w:eastAsia="Arial" w:hAnsi="Arial"/>
          <w:b/>
          <w:bCs/>
          <w:color w:val="1F3864"/>
          <w:sz w:val="24"/>
          <w:szCs w:val="24"/>
        </w:rPr>
        <w:t xml:space="preserve">8.4 Data-Level Security</w:t>
      </w:r>
    </w:p>
    <w:p>
      <w:pPr>
        <w:spacing w:after="160"/>
      </w:pPr>
      <w:r>
        <w:rPr>
          <w:rFonts w:ascii="Arial" w:cs="Arial" w:eastAsia="Arial" w:hAnsi="Arial"/>
          <w:color w:val="000000"/>
          <w:sz w:val="22"/>
          <w:szCs w:val="22"/>
        </w:rPr>
        <w:t xml:space="preserve">Role-based data filtering is enforced at the SQL query level via parameter injection, as described in Section 3.2 (Named Parameters) and Section 6.1 (Read Path). This ensures that data visibility constraints cannot be bypassed by direct API calls, since the filtering is applied before results are returned from the database.</w:t>
      </w:r>
    </w:p>
    <w:p>
      <w:r>
        <w:br w:type="page"/>
      </w:r>
    </w:p>
    <w:p>
      <w:pPr>
        <w:pStyle w:val="Heading1"/>
        <w:spacing w:after="200" w:before="360"/>
      </w:pPr>
      <w:r>
        <w:rPr>
          <w:rFonts w:ascii="Arial" w:cs="Arial" w:eastAsia="Arial" w:hAnsi="Arial"/>
          <w:b/>
          <w:bCs/>
          <w:color w:val="1F3864"/>
          <w:sz w:val="28"/>
          <w:szCs w:val="28"/>
        </w:rPr>
        <w:t xml:space="preserve">9. Google Workspace Integration</w:t>
      </w:r>
    </w:p>
    <w:p>
      <w:pPr>
        <w:pStyle w:val="Heading2"/>
        <w:spacing w:after="160" w:before="280"/>
      </w:pPr>
      <w:r>
        <w:rPr>
          <w:rFonts w:ascii="Arial" w:cs="Arial" w:eastAsia="Arial" w:hAnsi="Arial"/>
          <w:b/>
          <w:bCs/>
          <w:color w:val="1F3864"/>
          <w:sz w:val="24"/>
          <w:szCs w:val="24"/>
        </w:rPr>
        <w:t xml:space="preserve">9.1 Overview</w:t>
      </w:r>
    </w:p>
    <w:p>
      <w:pPr>
        <w:spacing w:after="160"/>
      </w:pPr>
      <w:r>
        <w:rPr>
          <w:rFonts w:ascii="Arial" w:cs="Arial" w:eastAsia="Arial" w:hAnsi="Arial"/>
          <w:color w:val="000000"/>
          <w:sz w:val="22"/>
          <w:szCs w:val="22"/>
        </w:rPr>
        <w:t xml:space="preserve">The application integrates with Google Workspace to provide calendar event creation and email sending capabilities. Both services are accessed through Google APIs using OAuth 2.0 authentication, allowing the application to act on behalf of the authenticated user.</w:t>
      </w:r>
    </w:p>
    <w:p>
      <w:pPr>
        <w:pStyle w:val="Heading2"/>
        <w:spacing w:after="160" w:before="280"/>
      </w:pPr>
      <w:r>
        <w:rPr>
          <w:rFonts w:ascii="Arial" w:cs="Arial" w:eastAsia="Arial" w:hAnsi="Arial"/>
          <w:b/>
          <w:bCs/>
          <w:color w:val="1F3864"/>
          <w:sz w:val="24"/>
          <w:szCs w:val="24"/>
        </w:rPr>
        <w:t xml:space="preserve">9.2 OAuth 2.0 Authorization</w:t>
      </w:r>
    </w:p>
    <w:p>
      <w:pPr>
        <w:spacing w:after="160"/>
      </w:pPr>
      <w:r>
        <w:rPr>
          <w:rFonts w:ascii="Arial" w:cs="Arial" w:eastAsia="Arial" w:hAnsi="Arial"/>
          <w:color w:val="000000"/>
          <w:sz w:val="22"/>
          <w:szCs w:val="22"/>
        </w:rPr>
        <w:t xml:space="preserve">On first login (or when Google authorization has expired or been revoked), the application prompts the user to authorize access to their Google account. The OAuth consent flow requests the following scopes:</w:t>
      </w:r>
    </w:p>
    <w:p>
      <w:pPr>
        <w:pStyle w:val="ListParagraph"/>
        <w:numPr>
          <w:ilvl w:val="0"/>
          <w:numId w:val="2"/>
        </w:numPr>
        <w:spacing w:after="80"/>
      </w:pPr>
      <w:r>
        <w:rPr>
          <w:rFonts w:ascii="Arial" w:cs="Arial" w:eastAsia="Arial" w:hAnsi="Arial"/>
          <w:sz w:val="22"/>
          <w:szCs w:val="22"/>
        </w:rPr>
        <w:t xml:space="preserve">Google Calendar: permission to create events on the user’s calendar.</w:t>
      </w:r>
    </w:p>
    <w:p>
      <w:pPr>
        <w:pStyle w:val="ListParagraph"/>
        <w:numPr>
          <w:ilvl w:val="0"/>
          <w:numId w:val="2"/>
        </w:numPr>
        <w:spacing w:after="80"/>
      </w:pPr>
      <w:r>
        <w:rPr>
          <w:rFonts w:ascii="Arial" w:cs="Arial" w:eastAsia="Arial" w:hAnsi="Arial"/>
          <w:sz w:val="22"/>
          <w:szCs w:val="22"/>
        </w:rPr>
        <w:t xml:space="preserve">Gmail: permission to send email on the user’s behalf.</w:t>
      </w:r>
    </w:p>
    <w:p>
      <w:pPr>
        <w:spacing w:after="160"/>
      </w:pPr>
      <w:r>
        <w:rPr>
          <w:rFonts w:ascii="Arial" w:cs="Arial" w:eastAsia="Arial" w:hAnsi="Arial"/>
          <w:color w:val="000000"/>
          <w:sz w:val="22"/>
          <w:szCs w:val="22"/>
        </w:rPr>
        <w:t xml:space="preserve">The user’s OAuth tokens (access token and refresh token) are stored securely by the backend in the application’s dedicated database tables. Tokens are refreshed automatically when they expire. If a refresh fails (for example, the user revokes access), the application prompts the user to re-authorize.</w:t>
      </w:r>
    </w:p>
    <w:p>
      <w:pPr>
        <w:pStyle w:val="Heading2"/>
        <w:spacing w:after="160" w:before="280"/>
      </w:pPr>
      <w:r>
        <w:rPr>
          <w:rFonts w:ascii="Arial" w:cs="Arial" w:eastAsia="Arial" w:hAnsi="Arial"/>
          <w:b/>
          <w:bCs/>
          <w:color w:val="1F3864"/>
          <w:sz w:val="24"/>
          <w:szCs w:val="24"/>
        </w:rPr>
        <w:t xml:space="preserve">9.3 Google Calendar Integration</w:t>
      </w:r>
    </w:p>
    <w:p>
      <w:pPr>
        <w:spacing w:after="160"/>
      </w:pPr>
      <w:r>
        <w:rPr>
          <w:rFonts w:ascii="Arial" w:cs="Arial" w:eastAsia="Arial" w:hAnsi="Arial"/>
          <w:color w:val="000000"/>
          <w:sz w:val="22"/>
          <w:szCs w:val="22"/>
        </w:rPr>
        <w:t xml:space="preserve">When a mentor enters a next session date and time in the session form, the application creates a Google Calendar event with the following properties:</w:t>
      </w:r>
    </w:p>
    <w:p>
      <w:pPr>
        <w:pStyle w:val="ListParagraph"/>
        <w:numPr>
          <w:ilvl w:val="0"/>
          <w:numId w:val="2"/>
        </w:numPr>
        <w:spacing w:after="80"/>
      </w:pPr>
      <w:r>
        <w:rPr>
          <w:rFonts w:ascii="Arial" w:cs="Arial" w:eastAsia="Arial" w:hAnsi="Arial"/>
          <w:sz w:val="22"/>
          <w:szCs w:val="22"/>
        </w:rPr>
        <w:t xml:space="preserve">The event is created on the mentor’s Google Calendar.</w:t>
      </w:r>
    </w:p>
    <w:p>
      <w:pPr>
        <w:pStyle w:val="ListParagraph"/>
        <w:numPr>
          <w:ilvl w:val="0"/>
          <w:numId w:val="2"/>
        </w:numPr>
        <w:spacing w:after="80"/>
      </w:pPr>
      <w:r>
        <w:rPr>
          <w:rFonts w:ascii="Arial" w:cs="Arial" w:eastAsia="Arial" w:hAnsi="Arial"/>
          <w:sz w:val="22"/>
          <w:szCs w:val="22"/>
        </w:rPr>
        <w:t xml:space="preserve">The event title, date, time, and duration are derived from the session form data.</w:t>
      </w:r>
    </w:p>
    <w:p>
      <w:pPr>
        <w:pStyle w:val="ListParagraph"/>
        <w:numPr>
          <w:ilvl w:val="0"/>
          <w:numId w:val="2"/>
        </w:numPr>
        <w:spacing w:after="80"/>
      </w:pPr>
      <w:r>
        <w:rPr>
          <w:rFonts w:ascii="Arial" w:cs="Arial" w:eastAsia="Arial" w:hAnsi="Arial"/>
          <w:sz w:val="22"/>
          <w:szCs w:val="22"/>
        </w:rPr>
        <w:t xml:space="preserve">All engagement contacts and co-mentors/SMEs are added as event attendees.</w:t>
      </w:r>
    </w:p>
    <w:p>
      <w:pPr>
        <w:pStyle w:val="ListParagraph"/>
        <w:numPr>
          <w:ilvl w:val="0"/>
          <w:numId w:val="2"/>
        </w:numPr>
        <w:spacing w:after="80"/>
      </w:pPr>
      <w:r>
        <w:rPr>
          <w:rFonts w:ascii="Arial" w:cs="Arial" w:eastAsia="Arial" w:hAnsi="Arial"/>
          <w:sz w:val="22"/>
          <w:szCs w:val="22"/>
        </w:rPr>
        <w:t xml:space="preserve">Google Calendar automatically sends invite emails to all attendees.</w:t>
      </w:r>
    </w:p>
    <w:p>
      <w:pPr>
        <w:spacing w:after="160"/>
      </w:pPr>
      <w:r>
        <w:rPr>
          <w:rFonts w:ascii="Arial" w:cs="Arial" w:eastAsia="Arial" w:hAnsi="Arial"/>
          <w:color w:val="000000"/>
          <w:sz w:val="22"/>
          <w:szCs w:val="22"/>
        </w:rPr>
        <w:t xml:space="preserve">The calendar event ID is stored on the session record in the CRM for reference.</w:t>
      </w:r>
    </w:p>
    <w:p>
      <w:pPr>
        <w:pStyle w:val="Heading2"/>
        <w:spacing w:after="160" w:before="280"/>
      </w:pPr>
      <w:r>
        <w:rPr>
          <w:rFonts w:ascii="Arial" w:cs="Arial" w:eastAsia="Arial" w:hAnsi="Arial"/>
          <w:b/>
          <w:bCs/>
          <w:color w:val="1F3864"/>
          <w:sz w:val="24"/>
          <w:szCs w:val="24"/>
        </w:rPr>
        <w:t xml:space="preserve">9.4 Gmail Integration</w:t>
      </w:r>
    </w:p>
    <w:p>
      <w:pPr>
        <w:spacing w:after="160"/>
      </w:pPr>
      <w:r>
        <w:rPr>
          <w:rFonts w:ascii="Arial" w:cs="Arial" w:eastAsia="Arial" w:hAnsi="Arial"/>
          <w:color w:val="000000"/>
          <w:sz w:val="22"/>
          <w:szCs w:val="22"/>
        </w:rPr>
        <w:t xml:space="preserve">When a mentor completes a session and chooses to send a summary email, the application sends the email via the Gmail API with the following behavior:</w:t>
      </w:r>
    </w:p>
    <w:p>
      <w:pPr>
        <w:pStyle w:val="ListParagraph"/>
        <w:numPr>
          <w:ilvl w:val="0"/>
          <w:numId w:val="2"/>
        </w:numPr>
        <w:spacing w:after="80"/>
      </w:pPr>
      <w:r>
        <w:rPr>
          <w:rFonts w:ascii="Arial" w:cs="Arial" w:eastAsia="Arial" w:hAnsi="Arial"/>
          <w:sz w:val="22"/>
          <w:szCs w:val="22"/>
        </w:rPr>
        <w:t xml:space="preserve">The email is sent from the mentor’s Gmail account (their address appears as the sender).</w:t>
      </w:r>
    </w:p>
    <w:p>
      <w:pPr>
        <w:pStyle w:val="ListParagraph"/>
        <w:numPr>
          <w:ilvl w:val="0"/>
          <w:numId w:val="2"/>
        </w:numPr>
        <w:spacing w:after="80"/>
      </w:pPr>
      <w:r>
        <w:rPr>
          <w:rFonts w:ascii="Arial" w:cs="Arial" w:eastAsia="Arial" w:hAnsi="Arial"/>
          <w:sz w:val="22"/>
          <w:szCs w:val="22"/>
        </w:rPr>
        <w:t xml:space="preserve">The email body is pre-populated with the session notes and next steps from the session form.</w:t>
      </w:r>
    </w:p>
    <w:p>
      <w:pPr>
        <w:pStyle w:val="ListParagraph"/>
        <w:numPr>
          <w:ilvl w:val="0"/>
          <w:numId w:val="2"/>
        </w:numPr>
        <w:spacing w:after="80"/>
      </w:pPr>
      <w:r>
        <w:rPr>
          <w:rFonts w:ascii="Arial" w:cs="Arial" w:eastAsia="Arial" w:hAnsi="Arial"/>
          <w:sz w:val="22"/>
          <w:szCs w:val="22"/>
        </w:rPr>
        <w:t xml:space="preserve">The mentor can edit the email content and adjust the recipient list before sending.</w:t>
      </w:r>
    </w:p>
    <w:p>
      <w:pPr>
        <w:pStyle w:val="ListParagraph"/>
        <w:numPr>
          <w:ilvl w:val="0"/>
          <w:numId w:val="2"/>
        </w:numPr>
        <w:spacing w:after="80"/>
      </w:pPr>
      <w:r>
        <w:rPr>
          <w:rFonts w:ascii="Arial" w:cs="Arial" w:eastAsia="Arial" w:hAnsi="Arial"/>
          <w:sz w:val="22"/>
          <w:szCs w:val="22"/>
        </w:rPr>
        <w:t xml:space="preserve">The sent email appears in the mentor’s Gmail Sent folder.</w:t>
      </w:r>
    </w:p>
    <w:p>
      <w:r>
        <w:br w:type="page"/>
      </w:r>
    </w:p>
    <w:p>
      <w:pPr>
        <w:pStyle w:val="Heading1"/>
        <w:spacing w:after="200" w:before="360"/>
      </w:pPr>
      <w:r>
        <w:rPr>
          <w:rFonts w:ascii="Arial" w:cs="Arial" w:eastAsia="Arial" w:hAnsi="Arial"/>
          <w:b/>
          <w:bCs/>
          <w:color w:val="1F3864"/>
          <w:sz w:val="28"/>
          <w:szCs w:val="28"/>
        </w:rPr>
        <w:t xml:space="preserve">10. Deployment and Infrastructure</w:t>
      </w:r>
    </w:p>
    <w:p>
      <w:pPr>
        <w:pStyle w:val="Heading2"/>
        <w:spacing w:after="160" w:before="280"/>
      </w:pPr>
      <w:r>
        <w:rPr>
          <w:rFonts w:ascii="Arial" w:cs="Arial" w:eastAsia="Arial" w:hAnsi="Arial"/>
          <w:b/>
          <w:bCs/>
          <w:color w:val="1F3864"/>
          <w:sz w:val="24"/>
          <w:szCs w:val="24"/>
        </w:rPr>
        <w:t xml:space="preserve">10.1 Deployment Model</w:t>
      </w:r>
    </w:p>
    <w:p>
      <w:pPr>
        <w:spacing w:after="160"/>
      </w:pPr>
      <w:r>
        <w:rPr>
          <w:rFonts w:ascii="Arial" w:cs="Arial" w:eastAsia="Arial" w:hAnsi="Arial"/>
          <w:color w:val="000000"/>
          <w:sz w:val="22"/>
          <w:szCs w:val="22"/>
        </w:rPr>
        <w:t xml:space="preserve">The application is deployed as a Docker container on the same server as the CRM, running alongside the CRM’s Docker containers. The application container joins the CRM’s Docker network, providing direct network access to the CRM database and CRM API without exposing either to the public internet.</w:t>
      </w:r>
    </w:p>
    <w:p>
      <w:pPr>
        <w:pStyle w:val="Heading2"/>
        <w:spacing w:after="160" w:before="280"/>
      </w:pPr>
      <w:r>
        <w:rPr>
          <w:rFonts w:ascii="Arial" w:cs="Arial" w:eastAsia="Arial" w:hAnsi="Arial"/>
          <w:b/>
          <w:bCs/>
          <w:color w:val="1F3864"/>
          <w:sz w:val="24"/>
          <w:szCs w:val="24"/>
        </w:rPr>
        <w:t xml:space="preserve">10.2 Network Configuration</w:t>
      </w:r>
    </w:p>
    <w:p>
      <w:pPr>
        <w:spacing w:after="160"/>
      </w:pPr>
      <w:r>
        <w:rPr>
          <w:rFonts w:ascii="Arial" w:cs="Arial" w:eastAsia="Arial" w:hAnsi="Arial"/>
          <w:color w:val="000000"/>
          <w:sz w:val="22"/>
          <w:szCs w:val="22"/>
        </w:rPr>
        <w:t xml:space="preserve">The application is served on its own subdomain with its own SSL certificate. Users access the application via the subdomain URL in a standard web browser. The CRM database and CRM API are accessible to the application container via the Docker internal network and are not exposed on the subdomain.</w:t>
      </w:r>
    </w:p>
    <w:p>
      <w:pPr>
        <w:pStyle w:val="Heading2"/>
        <w:spacing w:after="160" w:before="280"/>
      </w:pPr>
      <w:r>
        <w:rPr>
          <w:rFonts w:ascii="Arial" w:cs="Arial" w:eastAsia="Arial" w:hAnsi="Arial"/>
          <w:b/>
          <w:bCs/>
          <w:color w:val="1F3864"/>
          <w:sz w:val="24"/>
          <w:szCs w:val="24"/>
        </w:rPr>
        <w:t xml:space="preserve">10.3 Dedicated Database Tables</w:t>
      </w:r>
    </w:p>
    <w:p>
      <w:pPr>
        <w:spacing w:after="160"/>
      </w:pPr>
      <w:r>
        <w:rPr>
          <w:rFonts w:ascii="Arial" w:cs="Arial" w:eastAsia="Arial" w:hAnsi="Arial"/>
          <w:color w:val="000000"/>
          <w:sz w:val="22"/>
          <w:szCs w:val="22"/>
        </w:rPr>
        <w:t xml:space="preserve">The application stores its configuration data (data source definitions, view definitions, role mappings, user preferences such as last-selected view, and Google OAuth tokens) in dedicated tables within the CRM’s database. These tables use a distinct table prefix to avoid collisions with CRM schema. The application never modifies CRM-owned tables directly.</w:t>
      </w:r>
    </w:p>
    <w:p>
      <w:pPr>
        <w:pStyle w:val="Heading2"/>
        <w:spacing w:after="160" w:before="280"/>
      </w:pPr>
      <w:r>
        <w:rPr>
          <w:rFonts w:ascii="Arial" w:cs="Arial" w:eastAsia="Arial" w:hAnsi="Arial"/>
          <w:b/>
          <w:bCs/>
          <w:color w:val="1F3864"/>
          <w:sz w:val="24"/>
          <w:szCs w:val="24"/>
        </w:rPr>
        <w:t xml:space="preserve">10.4 Deployment Management</w:t>
      </w:r>
    </w:p>
    <w:p>
      <w:pPr>
        <w:spacing w:after="160"/>
      </w:pPr>
      <w:r>
        <w:rPr>
          <w:rFonts w:ascii="Arial" w:cs="Arial" w:eastAsia="Arial" w:hAnsi="Arial"/>
          <w:color w:val="000000"/>
          <w:sz w:val="22"/>
          <w:szCs w:val="22"/>
        </w:rPr>
        <w:t xml:space="preserve">Deployment, updates, and operational management of the application are handled by CRM Builder as part of its existing CRM deployment pipeline. This includes initial deployment, configuration, and subsequent updates.</w:t>
      </w:r>
    </w:p>
    <w:p>
      <w:r>
        <w:br w:type="page"/>
      </w:r>
    </w:p>
    <w:p>
      <w:pPr>
        <w:pStyle w:val="Heading1"/>
        <w:spacing w:after="200" w:before="360"/>
      </w:pPr>
      <w:r>
        <w:rPr>
          <w:rFonts w:ascii="Arial" w:cs="Arial" w:eastAsia="Arial" w:hAnsi="Arial"/>
          <w:b/>
          <w:bCs/>
          <w:color w:val="1F3864"/>
          <w:sz w:val="28"/>
          <w:szCs w:val="28"/>
        </w:rPr>
        <w:t xml:space="preserve">11. Initial Implementation — CBM Proof of Concept</w:t>
      </w:r>
    </w:p>
    <w:p>
      <w:pPr>
        <w:pStyle w:val="Heading2"/>
        <w:spacing w:after="160" w:before="280"/>
      </w:pPr>
      <w:r>
        <w:rPr>
          <w:rFonts w:ascii="Arial" w:cs="Arial" w:eastAsia="Arial" w:hAnsi="Arial"/>
          <w:b/>
          <w:bCs/>
          <w:color w:val="1F3864"/>
          <w:sz w:val="24"/>
          <w:szCs w:val="24"/>
        </w:rPr>
        <w:t xml:space="preserve">11.1 Overview</w:t>
      </w:r>
    </w:p>
    <w:p>
      <w:pPr>
        <w:spacing w:after="160"/>
      </w:pPr>
      <w:r>
        <w:rPr>
          <w:rFonts w:ascii="Arial" w:cs="Arial" w:eastAsia="Arial" w:hAnsi="Arial"/>
          <w:color w:val="000000"/>
          <w:sz w:val="22"/>
          <w:szCs w:val="22"/>
        </w:rPr>
        <w:t xml:space="preserve">The initial proof of concept implements one data source, one view, and the complete engagement/session workflow for the Cleveland Business Mentors (CBM) program. This scope is sufficient to validate the application’s core architecture and provide immediate value to CBM volunteer mentors.</w:t>
      </w:r>
    </w:p>
    <w:p>
      <w:pPr>
        <w:pStyle w:val="Heading2"/>
        <w:spacing w:after="160" w:before="280"/>
      </w:pPr>
      <w:r>
        <w:rPr>
          <w:rFonts w:ascii="Arial" w:cs="Arial" w:eastAsia="Arial" w:hAnsi="Arial"/>
          <w:b/>
          <w:bCs/>
          <w:color w:val="1F3864"/>
          <w:sz w:val="24"/>
          <w:szCs w:val="24"/>
        </w:rPr>
        <w:t xml:space="preserve">11.2 Data Source: Engagement Summary</w:t>
      </w:r>
    </w:p>
    <w:p>
      <w:pPr>
        <w:spacing w:after="160"/>
      </w:pPr>
      <w:r>
        <w:rPr>
          <w:rFonts w:ascii="Arial" w:cs="Arial" w:eastAsia="Arial" w:hAnsi="Arial"/>
          <w:color w:val="000000"/>
          <w:sz w:val="22"/>
          <w:szCs w:val="22"/>
        </w:rPr>
        <w:t xml:space="preserve">A single data source named “Engagement Summary” provides the foundation for the proof-of-concept view. The data source query joins across the following CRM entities:</w:t>
      </w:r>
    </w:p>
    <w:p>
      <w:pPr>
        <w:pStyle w:val="ListParagraph"/>
        <w:numPr>
          <w:ilvl w:val="0"/>
          <w:numId w:val="2"/>
        </w:numPr>
        <w:spacing w:after="80"/>
      </w:pPr>
      <w:r>
        <w:rPr>
          <w:rFonts w:ascii="Arial" w:cs="Arial" w:eastAsia="Arial" w:hAnsi="Arial"/>
          <w:sz w:val="22"/>
          <w:szCs w:val="22"/>
        </w:rPr>
        <w:t xml:space="preserve">Contact (client and mentor records)</w:t>
      </w:r>
    </w:p>
    <w:p>
      <w:pPr>
        <w:pStyle w:val="ListParagraph"/>
        <w:numPr>
          <w:ilvl w:val="0"/>
          <w:numId w:val="2"/>
        </w:numPr>
        <w:spacing w:after="80"/>
      </w:pPr>
      <w:r>
        <w:rPr>
          <w:rFonts w:ascii="Arial" w:cs="Arial" w:eastAsia="Arial" w:hAnsi="Arial"/>
          <w:sz w:val="22"/>
          <w:szCs w:val="22"/>
        </w:rPr>
        <w:t xml:space="preserve">Account (company/organization)</w:t>
      </w:r>
    </w:p>
    <w:p>
      <w:pPr>
        <w:pStyle w:val="ListParagraph"/>
        <w:numPr>
          <w:ilvl w:val="0"/>
          <w:numId w:val="2"/>
        </w:numPr>
        <w:spacing w:after="80"/>
      </w:pPr>
      <w:r>
        <w:rPr>
          <w:rFonts w:ascii="Arial" w:cs="Arial" w:eastAsia="Arial" w:hAnsi="Arial"/>
          <w:sz w:val="22"/>
          <w:szCs w:val="22"/>
        </w:rPr>
        <w:t xml:space="preserve">Engagement</w:t>
      </w:r>
    </w:p>
    <w:p>
      <w:pPr>
        <w:pStyle w:val="ListParagraph"/>
        <w:numPr>
          <w:ilvl w:val="0"/>
          <w:numId w:val="2"/>
        </w:numPr>
        <w:spacing w:after="80"/>
      </w:pPr>
      <w:r>
        <w:rPr>
          <w:rFonts w:ascii="Arial" w:cs="Arial" w:eastAsia="Arial" w:hAnsi="Arial"/>
          <w:sz w:val="22"/>
          <w:szCs w:val="22"/>
        </w:rPr>
        <w:t xml:space="preserve">Session</w:t>
      </w:r>
    </w:p>
    <w:p>
      <w:pPr>
        <w:spacing w:after="160"/>
      </w:pPr>
      <w:r>
        <w:rPr>
          <w:rFonts w:ascii="Arial" w:cs="Arial" w:eastAsia="Arial" w:hAnsi="Arial"/>
          <w:color w:val="000000"/>
          <w:sz w:val="22"/>
          <w:szCs w:val="22"/>
        </w:rPr>
        <w:t xml:space="preserve">The query returns a flat result set that includes fields from all four entities. The hierarchy definition organizes results by engagement as the top level, with sessions as the child level.</w:t>
      </w:r>
    </w:p>
    <w:p>
      <w:pPr>
        <w:spacing w:after="160"/>
      </w:pPr>
      <w:r>
        <w:rPr>
          <w:rFonts w:ascii="Arial" w:cs="Arial" w:eastAsia="Arial" w:hAnsi="Arial"/>
          <w:color w:val="000000"/>
          <w:sz w:val="22"/>
          <w:szCs w:val="22"/>
        </w:rPr>
        <w:t xml:space="preserve">Named parameters include the current user’s ID for mentor-based filtering.</w:t>
      </w:r>
    </w:p>
    <w:p>
      <w:pPr>
        <w:pStyle w:val="Heading2"/>
        <w:spacing w:after="160" w:before="280"/>
      </w:pPr>
      <w:r>
        <w:rPr>
          <w:rFonts w:ascii="Arial" w:cs="Arial" w:eastAsia="Arial" w:hAnsi="Arial"/>
          <w:b/>
          <w:bCs/>
          <w:color w:val="1F3864"/>
          <w:sz w:val="24"/>
          <w:szCs w:val="24"/>
        </w:rPr>
        <w:t xml:space="preserve">11.3 View: My Active Engagements</w:t>
      </w:r>
    </w:p>
    <w:p>
      <w:pPr>
        <w:spacing w:after="160"/>
      </w:pPr>
      <w:r>
        <w:rPr>
          <w:rFonts w:ascii="Arial" w:cs="Arial" w:eastAsia="Arial" w:hAnsi="Arial"/>
          <w:color w:val="000000"/>
          <w:sz w:val="22"/>
          <w:szCs w:val="22"/>
        </w:rPr>
        <w:t xml:space="preserve">A single view named “My Active Engagements” is built on the Engagement Summary data source. The view displays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Column</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Source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Client Name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Contact entity (client)</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Company</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Account entity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Engagement Start 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Engagement entity</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Engagement Status</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Engagement entity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Sessions Completed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Computed: count of sessions with Completed status</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Last Session Date</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Computed: most recent session date with Completed status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Next Scheduled Session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Computed: earliest session date with Scheduled status</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Co-Mentors / SMEs</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Engagement relationships (Additional Mentors)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QuickNote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Engagement entity (editable in grid via detail screen)</w:t>
            </w:r>
          </w:p>
        </w:tc>
      </w:tr>
    </w:tbl>
    <w:p>
      <w:pPr>
        <w:spacing w:after="160"/>
      </w:pPr>
    </w:p>
    <w:p>
      <w:pPr>
        <w:spacing w:after="160"/>
      </w:pPr>
      <w:r>
        <w:rPr>
          <w:rFonts w:ascii="Arial" w:cs="Arial" w:eastAsia="Arial" w:hAnsi="Arial"/>
          <w:color w:val="000000"/>
          <w:sz w:val="22"/>
          <w:szCs w:val="22"/>
        </w:rPr>
        <w:t xml:space="preserve">The view applies a preset filter for active engagements only. For Mentors, the role-based parameter further filters to only their assigned engagements. Default sort is by Next Scheduled Session ascending (soonest first).</w:t>
      </w:r>
    </w:p>
    <w:p>
      <w:pPr>
        <w:pStyle w:val="Heading2"/>
        <w:spacing w:after="160" w:before="280"/>
      </w:pPr>
      <w:r>
        <w:rPr>
          <w:rFonts w:ascii="Arial" w:cs="Arial" w:eastAsia="Arial" w:hAnsi="Arial"/>
          <w:b/>
          <w:bCs/>
          <w:color w:val="1F3864"/>
          <w:sz w:val="24"/>
          <w:szCs w:val="24"/>
        </w:rPr>
        <w:t xml:space="preserve">11.4 Engagement Detail Screen</w:t>
      </w:r>
    </w:p>
    <w:p>
      <w:pPr>
        <w:spacing w:after="160"/>
      </w:pPr>
      <w:r>
        <w:rPr>
          <w:rFonts w:ascii="Arial" w:cs="Arial" w:eastAsia="Arial" w:hAnsi="Arial"/>
          <w:color w:val="000000"/>
          <w:sz w:val="22"/>
          <w:szCs w:val="22"/>
        </w:rPr>
        <w:t xml:space="preserve">Selecting an engagement from the grid opens the engagement detail screen, which displays:</w:t>
      </w:r>
    </w:p>
    <w:p>
      <w:pPr>
        <w:pStyle w:val="ListParagraph"/>
        <w:numPr>
          <w:ilvl w:val="0"/>
          <w:numId w:val="2"/>
        </w:numPr>
        <w:spacing w:after="80"/>
      </w:pPr>
      <w:r>
        <w:rPr>
          <w:rFonts w:ascii="Arial" w:cs="Arial" w:eastAsia="Arial" w:hAnsi="Arial"/>
          <w:sz w:val="22"/>
          <w:szCs w:val="22"/>
        </w:rPr>
        <w:t xml:space="preserve">Client contact details: name, phone, email</w:t>
      </w:r>
    </w:p>
    <w:p>
      <w:pPr>
        <w:pStyle w:val="ListParagraph"/>
        <w:numPr>
          <w:ilvl w:val="0"/>
          <w:numId w:val="2"/>
        </w:numPr>
        <w:spacing w:after="80"/>
      </w:pPr>
      <w:r>
        <w:rPr>
          <w:rFonts w:ascii="Arial" w:cs="Arial" w:eastAsia="Arial" w:hAnsi="Arial"/>
          <w:sz w:val="22"/>
          <w:szCs w:val="22"/>
        </w:rPr>
        <w:t xml:space="preserve">Company details</w:t>
      </w:r>
    </w:p>
    <w:p>
      <w:pPr>
        <w:pStyle w:val="ListParagraph"/>
        <w:numPr>
          <w:ilvl w:val="0"/>
          <w:numId w:val="2"/>
        </w:numPr>
        <w:spacing w:after="80"/>
      </w:pPr>
      <w:r>
        <w:rPr>
          <w:rFonts w:ascii="Arial" w:cs="Arial" w:eastAsia="Arial" w:hAnsi="Arial"/>
          <w:sz w:val="22"/>
          <w:szCs w:val="22"/>
        </w:rPr>
        <w:t xml:space="preserve">Engagement metadata: start date, status, meeting cadence</w:t>
      </w:r>
    </w:p>
    <w:p>
      <w:pPr>
        <w:pStyle w:val="ListParagraph"/>
        <w:numPr>
          <w:ilvl w:val="0"/>
          <w:numId w:val="2"/>
        </w:numPr>
        <w:spacing w:after="80"/>
      </w:pPr>
      <w:r>
        <w:rPr>
          <w:rFonts w:ascii="Arial" w:cs="Arial" w:eastAsia="Arial" w:hAnsi="Arial"/>
          <w:sz w:val="22"/>
          <w:szCs w:val="22"/>
        </w:rPr>
        <w:t xml:space="preserve">Co-mentors and SMEs assigned</w:t>
      </w:r>
    </w:p>
    <w:p>
      <w:pPr>
        <w:pStyle w:val="ListParagraph"/>
        <w:numPr>
          <w:ilvl w:val="0"/>
          <w:numId w:val="2"/>
        </w:numPr>
        <w:spacing w:after="80"/>
      </w:pPr>
      <w:r>
        <w:rPr>
          <w:rFonts w:ascii="Arial" w:cs="Arial" w:eastAsia="Arial" w:hAnsi="Arial"/>
          <w:sz w:val="22"/>
          <w:szCs w:val="22"/>
        </w:rPr>
        <w:t xml:space="preserve">QuickNote (editable)</w:t>
      </w:r>
    </w:p>
    <w:p>
      <w:pPr>
        <w:pStyle w:val="ListParagraph"/>
        <w:numPr>
          <w:ilvl w:val="0"/>
          <w:numId w:val="2"/>
        </w:numPr>
        <w:spacing w:after="80"/>
      </w:pPr>
      <w:r>
        <w:rPr>
          <w:rFonts w:ascii="Arial" w:cs="Arial" w:eastAsia="Arial" w:hAnsi="Arial"/>
          <w:sz w:val="22"/>
          <w:szCs w:val="22"/>
        </w:rPr>
        <w:t xml:space="preserve">Engagement Notes</w:t>
      </w:r>
    </w:p>
    <w:p>
      <w:pPr>
        <w:pStyle w:val="ListParagraph"/>
        <w:numPr>
          <w:ilvl w:val="0"/>
          <w:numId w:val="2"/>
        </w:numPr>
        <w:spacing w:after="80"/>
      </w:pPr>
      <w:r>
        <w:rPr>
          <w:rFonts w:ascii="Arial" w:cs="Arial" w:eastAsia="Arial" w:hAnsi="Arial"/>
          <w:sz w:val="22"/>
          <w:szCs w:val="22"/>
        </w:rPr>
        <w:t xml:space="preserve">Session history: all sessions with date, status, and session notes</w:t>
      </w:r>
    </w:p>
    <w:p>
      <w:pPr>
        <w:spacing w:after="160"/>
      </w:pPr>
      <w:r>
        <w:rPr>
          <w:rFonts w:ascii="Arial" w:cs="Arial" w:eastAsia="Arial" w:hAnsi="Arial"/>
          <w:color w:val="000000"/>
          <w:sz w:val="22"/>
          <w:szCs w:val="22"/>
        </w:rPr>
        <w:t xml:space="preserve">All fields are editable with auto-save. The mentor can add co-mentors/SMEs via the relationship addition feature.</w:t>
      </w:r>
    </w:p>
    <w:p>
      <w:pPr>
        <w:pStyle w:val="Heading2"/>
        <w:spacing w:after="160" w:before="280"/>
      </w:pPr>
      <w:r>
        <w:rPr>
          <w:rFonts w:ascii="Arial" w:cs="Arial" w:eastAsia="Arial" w:hAnsi="Arial"/>
          <w:b/>
          <w:bCs/>
          <w:color w:val="1F3864"/>
          <w:sz w:val="24"/>
          <w:szCs w:val="24"/>
        </w:rPr>
        <w:t xml:space="preserve">11.5 Session Workflow</w:t>
      </w:r>
    </w:p>
    <w:p>
      <w:pPr>
        <w:spacing w:after="160"/>
      </w:pPr>
      <w:r>
        <w:rPr>
          <w:rFonts w:ascii="Arial" w:cs="Arial" w:eastAsia="Arial" w:hAnsi="Arial"/>
          <w:color w:val="000000"/>
          <w:sz w:val="22"/>
          <w:szCs w:val="22"/>
        </w:rPr>
        <w:t xml:space="preserve">From the engagement detail screen, the mentor selects an existing scheduled session or creates a new one. The session form captures: date/time, duration, attendees, status, session notes, topics discussed, and next session date/time.</w:t>
      </w:r>
    </w:p>
    <w:p>
      <w:pPr>
        <w:spacing w:after="160"/>
      </w:pPr>
      <w:r>
        <w:rPr>
          <w:rFonts w:ascii="Arial" w:cs="Arial" w:eastAsia="Arial" w:hAnsi="Arial"/>
          <w:color w:val="000000"/>
          <w:sz w:val="22"/>
          <w:szCs w:val="22"/>
        </w:rPr>
        <w:t xml:space="preserve">Entering a next session date/time triggers Google Calendar event creation with all engagement contacts and co-mentors/SMEs as attendees. Pressing Done presents the session summary email workflow, pre-populated with session notes and next steps, with recipients defaulting to all engagement contacts.</w:t>
      </w:r>
    </w:p>
    <w:p>
      <w:r>
        <w:br w:type="page"/>
      </w:r>
    </w:p>
    <w:p>
      <w:pPr>
        <w:pStyle w:val="Heading1"/>
        <w:spacing w:after="200" w:before="360"/>
      </w:pPr>
      <w:r>
        <w:rPr>
          <w:rFonts w:ascii="Arial" w:cs="Arial" w:eastAsia="Arial" w:hAnsi="Arial"/>
          <w:b/>
          <w:bCs/>
          <w:color w:val="1F3864"/>
          <w:sz w:val="28"/>
          <w:szCs w:val="28"/>
        </w:rPr>
        <w:t xml:space="preserve">12. Open Issues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Issue</w:t>
            </w:r>
          </w:p>
        </w:tc>
        <w:tc>
          <w:tcPr>
            <w:tcW w:type="dxa" w:w="5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Technology stack selection</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Frontend framework (React, Vue, etc.) and backend framework/language have not been selected. This decision should be made before proof-of-concept development begins.</w:t>
            </w:r>
          </w:p>
        </w:tc>
      </w:tr>
      <w:tr>
        <w:tc>
          <w:tcPr>
            <w:tcW w:type="dxa" w:w="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2</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CRM security team to role mapping mechanism</w:t>
            </w:r>
          </w:p>
        </w:tc>
        <w:tc>
          <w:tcPr>
            <w:tcW w:type="dxa" w:w="5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The application reads CRM security team memberships to determine roles, but the specific configuration interface (admin screen, config file, or database table with direct edit) needs definition.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3</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Mentor-client relationship identification</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The specific CRM field or relationship that identifies which clients belong to which mentor must be defined to implement the role-based data filtering parameter.</w:t>
            </w:r>
          </w:p>
        </w:tc>
      </w:tr>
      <w:tr>
        <w:tc>
          <w:tcPr>
            <w:tcW w:type="dxa" w:w="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4</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Detail screen design and build process</w:t>
            </w:r>
          </w:p>
        </w:tc>
        <w:tc>
          <w:tcPr>
            <w:tcW w:type="dxa" w:w="5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The AI-assisted design workflow for detail screen components needs to be formalized, including tooling, review criteria, and deployment process.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5</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Constrained query builder</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Identified as a future-release replacement for raw SQL in data source creation. Requirements for the query builder should be captured as a separate specification when prioritized.</w:t>
            </w:r>
          </w:p>
        </w:tc>
      </w:tr>
      <w:tr>
        <w:tc>
          <w:tcPr>
            <w:tcW w:type="dxa" w:w="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6</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CRM schema change management</w:t>
            </w:r>
          </w:p>
        </w:tc>
        <w:tc>
          <w:tcPr>
            <w:tcW w:type="dxa" w:w="5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Data source queries reference CRM database tables directly. A process for validating data sources after CRM upgrades needs to be defined to prevent broken views.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7</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Google Workspace OAuth configuration</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The Google Cloud project, OAuth client credentials, authorized redirect URIs, and scope approvals need to be configured for the production environment.</w:t>
            </w:r>
          </w:p>
        </w:tc>
      </w:tr>
      <w:tr>
        <w:tc>
          <w:tcPr>
            <w:tcW w:type="dxa" w:w="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8</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Calendar event update and cancellation</w:t>
            </w:r>
          </w:p>
        </w:tc>
        <w:tc>
          <w:tcPr>
            <w:tcW w:type="dxa" w:w="5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The current specification creates calendar events but does not address updating or canceling events when sessions are rescheduled or canceled. This workflow should be defined.</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9</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Session summary email template</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The pre-populated email format (subject line, body structure, signature) should be defined and made configurable.</w:t>
            </w:r>
          </w:p>
        </w:tc>
      </w:tr>
      <w:tr>
        <w:tc>
          <w:tcPr>
            <w:tcW w:type="dxa" w:w="6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10</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Engagement Summary data source SQL</w:t>
            </w:r>
          </w:p>
        </w:tc>
        <w:tc>
          <w:tcPr>
            <w:tcW w:type="dxa" w:w="5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The specific SQL query for the CBM Engagement Summary data source needs to be authored once the CRM schema is deployed.</w:t>
            </w:r>
          </w:p>
        </w:tc>
      </w:tr>
    </w:tbl>
    <w:p>
      <w:pPr>
        <w:spacing w:after="160"/>
      </w:pPr>
    </w:p>
    <w:p>
      <w:r>
        <w:br w:type="page"/>
      </w:r>
    </w:p>
    <w:p>
      <w:pPr>
        <w:pStyle w:val="Heading1"/>
        <w:spacing w:after="200" w:before="360"/>
      </w:pPr>
      <w:r>
        <w:rPr>
          <w:rFonts w:ascii="Arial" w:cs="Arial" w:eastAsia="Arial" w:hAnsi="Arial"/>
          <w:b/>
          <w:bCs/>
          <w:color w:val="1F3864"/>
          <w:sz w:val="28"/>
          <w:szCs w:val="28"/>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2"/>
                <w:szCs w:val="22"/>
              </w:rPr>
              <w:t xml:space="preserve">Definition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Admin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An application role that can use all views, see all client data, and create and manage views on existing data sources. Maps to CRM Client Admin and Mentor Admin security teams.</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Data Source</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named, reusable query definition consisting of a SQL query, column metadata, hierarchy definition, and named parameters. Serves as the foundation for one or more views.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Detail Screen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 custom-designed user interface that combines fields from a record and its related entities into a single editing view. Built as a code artifact, not a runtime configuration.</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Hierarchy</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parent-child grouping structure defined on a data source that controls how flat query results are organized into expandable/collapsible levels in the data grid.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Mentor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An application role that can use all views but sees only their own assigned clients. Maps to the CRM Mentor security team.</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Named Parameter</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placeholder in a data source SQL query that the backend replaces with a runtime value (such as the current user’s ID) at query execution time.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OAuth 2.0</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An authorization framework that allows the application to access Google Workspace services (Calendar, Gmail) on behalf of the user without storing their Google password.</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QuickNote</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short-form text field on the engagement record that is visible in the grid view, allowing mentors to see brief status notes without opening the detail screen.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Role-Mapping Table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 configuration table that maps CRM security team memberships to application roles (Mentor, Admin, Super Admin).</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Session Form</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The data entry interface for capturing session details including date, duration, attendees, notes, topics, and next session scheduling.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Super Admin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Arial" w:cs="Arial" w:eastAsia="Arial" w:hAnsi="Arial"/>
                <w:sz w:val="22"/>
                <w:szCs w:val="22"/>
              </w:rPr>
              <w:t xml:space="preserve">An application role with full access: all Admin capabilities plus data source management and role-mapping configuration.</w:t>
            </w:r>
          </w:p>
        </w:tc>
      </w:tr>
      <w:tr>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View</w:t>
            </w:r>
          </w:p>
        </w:tc>
        <w:tc>
          <w:tcPr>
            <w:tcW w:type="dxa" w:w="6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top"/>
          </w:tcPr>
          <w:p>
            <w:r>
              <w:rPr>
                <w:rFonts w:ascii="Arial" w:cs="Arial" w:eastAsia="Arial" w:hAnsi="Arial"/>
                <w:sz w:val="22"/>
                <w:szCs w:val="22"/>
              </w:rPr>
              <w:t xml:space="preserve">A named presentation configuration built on a data source that selects columns, applies filters, sets sort order, and controls display behavior.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pPr>
    <w:r>
      <w:rPr>
        <w:rFonts w:ascii="Arial" w:cs="Arial" w:eastAsia="Arial" w:hAnsi="Arial"/>
        <w:color w:val="888888"/>
        <w:sz w:val="18"/>
        <w:szCs w:val="18"/>
      </w:rPr>
      <w:t xml:space="preserve">Cleveland Business Mentors</w:t>
    </w:r>
    <w:r>
      <w:rPr>
        <w:rFonts w:ascii="Arial" w:cs="Arial" w:eastAsia="Arial" w:hAnsi="Arial"/>
        <w:color w:val="888888"/>
        <w:sz w:val="18"/>
        <w:szCs w:val="18"/>
      </w:rPr>
      <w:t xml:space="preserve">	Mentor Engagement Application — L2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2026-04-02T16:21:37.358Z</dcterms:created>
  <dcterms:modified xsi:type="dcterms:W3CDTF">2026-04-02T16:21:37.360Z</dcterms:modified>
</cp:coreProperties>
</file>

<file path=docProps/custom.xml><?xml version="1.0" encoding="utf-8"?>
<Properties xmlns="http://schemas.openxmlformats.org/officeDocument/2006/custom-properties" xmlns:vt="http://schemas.openxmlformats.org/officeDocument/2006/docPropsVTypes"/>
</file>