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1.13</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04-08-26 19:45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2"/>
        <w:spacing w:after="160" w:before="280"/>
      </w:pPr>
      <w:r>
        <w:rPr>
          <w:rFonts w:ascii="Arial" w:cs="Arial" w:eastAsia="Arial" w:hAnsi="Arial"/>
          <w:b/>
          <w:bCs/>
          <w:color w:val="1F3864"/>
          <w:sz w:val="24"/>
          <w:szCs w:val="24"/>
        </w:rPr>
        <w:t xml:space="preserve">16.15 Clarification topic collection timing (ISS-015)</w:t>
      </w:r>
    </w:p>
    <w:p>
      <w:pPr>
        <w:spacing w:after="160"/>
      </w:pPr>
      <w:r>
        <w:rPr>
          <w:rFonts w:ascii="Arial" w:cs="Arial" w:eastAsia="Arial" w:hAnsi="Arial"/>
          <w:color w:val="000000"/>
          <w:sz w:val="22"/>
          <w:szCs w:val="22"/>
        </w:rPr>
        <w:t xml:space="preserve">Sections 14.3.3 and 14.4.1 state that the application prompts the administrator for a clarification question or topic at the “Request Clarification” action on the Work Item Detail header, with the Session Orchestration view displaying the entered topic for editing before prompt generation. In practice, neither the WorkflowEngine nor the PromptGenerator stores a clarification topic on the AISession row at the request step — the topic is collected fresh at prompt-generation time in the Session Orchestration view’s PreGenerationConfig widget. This mirrors the ISS-013 situation for revision reasons: the prose describes collection at the earlier action, but the implementation collects it at prompt-generation time because no column exists to store it between the two steps. Step 15b’s implementation correctly matches the engine API. The prose in Sections 14.3.3 and 14.4.1 should be corrected to state that the clarification topic is collected at prompt-generation time, not at the request step. Alternatively, a future schema update could add a clarification_topic column to AISession (batched with the ISS-013 resolution) so both the reason and topic can be stored at request time and retrieved for display. Resolution: prose correction for now; schema update deferred until batched with ISS-013.</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