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20:00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v1.6</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twelve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 2 is performed once for the entire implementation. Phases 3 and 4 repeat for each Cross-Domain Service. Phases 3, 5, and 6 repeat for each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Entity PRDs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+ 1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3–6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spacing w:after="120" w:before="240"/>
      </w:pPr>
      <w:r>
        <w:rPr>
          <w:rFonts w:ascii="Arial" w:cs="Arial" w:eastAsia="Arial" w:hAnsi="Arial"/>
          <w:b/>
          <w:bCs/>
          <w:i w:val="false"/>
          <w:iCs w:val="false"/>
          <w:color w:val="1F3864"/>
          <w:sz w:val="28"/>
          <w:szCs w:val="28"/>
        </w:rPr>
        <w:t xml:space="preserve">3.2 Phase 2: Entity Definition</w:t>
      </w:r>
    </w:p>
    <w:p>
      <w:pPr>
        <w:spacing w:after="120"/>
      </w:pPr>
      <w:r>
        <w:rPr>
          <w:rFonts w:ascii="Arial" w:cs="Arial" w:eastAsia="Arial" w:hAnsi="Arial"/>
          <w:b w:val="false"/>
          <w:bCs w:val="false"/>
          <w:i w:val="false"/>
          <w:iCs w:val="false"/>
          <w:sz w:val="22"/>
          <w:szCs w:val="22"/>
        </w:rPr>
        <w:t xml:space="preserve">Entity Definition establishes the data objects the CRM must manage before any process is defined in detail. It consists of two steps performed in sequence.</w:t>
      </w:r>
    </w:p>
    <w:p>
      <w:pPr>
        <w:pStyle w:val="Heading3"/>
        <w:spacing w:after="120" w:before="240"/>
      </w:pPr>
      <w:r>
        <w:rPr>
          <w:rFonts w:ascii="Arial" w:cs="Arial" w:eastAsia="Arial" w:hAnsi="Arial"/>
          <w:b/>
          <w:bCs/>
          <w:i w:val="false"/>
          <w:iCs w:val="false"/>
          <w:sz w:val="24"/>
          <w:szCs w:val="24"/>
        </w:rPr>
        <w:t xml:space="preserve">Step 1: Entity Discovery</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Entity Inventory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PRDs/{Implementation}-Entity-Inventory.docx</w:t>
      </w:r>
    </w:p>
    <w:p>
      <w:pPr>
        <w:spacing w:after="120"/>
      </w:pPr>
      <w:r>
        <w:rPr>
          <w:rFonts w:ascii="Arial" w:cs="Arial" w:eastAsia="Arial" w:hAnsi="Arial"/>
          <w:b w:val="false"/>
          <w:bCs w:val="false"/>
          <w:i w:val="false"/>
          <w:iCs w:val="false"/>
          <w:sz w:val="22"/>
          <w:szCs w:val="22"/>
        </w:rPr>
        <w:t xml:space="preserve">Claude and the administrator walk through each domain and its processes as defined in the Master PRD, asking: what things does the system need to track to support this? The goal is completeness — identifying every entity before going deep on any one of them.</w:t>
      </w:r>
    </w:p>
    <w:p>
      <w:pPr>
        <w:spacing w:after="120"/>
      </w:pPr>
      <w:r>
        <w:rPr>
          <w:rFonts w:ascii="Arial" w:cs="Arial" w:eastAsia="Arial" w:hAnsi="Arial"/>
          <w:b w:val="false"/>
          <w:bCs w:val="false"/>
          <w:i w:val="false"/>
          <w:iCs w:val="false"/>
          <w:sz w:val="22"/>
          <w:szCs w:val="22"/>
        </w:rPr>
        <w:t xml:space="preserve">The Entity Inventory is a single document listing every identified entity. For each entity, the inventory captures:</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Purpose — a one-sentence description of what the entity represents</w:t>
      </w:r>
    </w:p>
    <w:p>
      <w:pPr>
        <w:pStyle w:val="ListParagraph"/>
        <w:numPr>
          <w:ilvl w:val="0"/>
          <w:numId w:val="2"/>
        </w:numPr>
        <w:spacing w:after="60"/>
      </w:pPr>
      <w:r>
        <w:rPr>
          <w:rFonts w:ascii="Arial" w:cs="Arial" w:eastAsia="Arial" w:hAnsi="Arial"/>
          <w:b w:val="false"/>
          <w:bCs w:val="false"/>
          <w:i w:val="false"/>
          <w:iCs w:val="false"/>
          <w:sz w:val="22"/>
          <w:szCs w:val="22"/>
        </w:rPr>
        <w:t xml:space="preserve">Primary domain — the domain that owns the entity’s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Additional domains — other domains that reference or interact with the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Participating processes — which processes create, read, update, or depend on this entity</w:t>
      </w:r>
    </w:p>
    <w:p>
      <w:pPr>
        <w:spacing w:after="120"/>
      </w:pPr>
      <w:r>
        <w:rPr>
          <w:rFonts w:ascii="Arial" w:cs="Arial" w:eastAsia="Arial" w:hAnsi="Arial"/>
          <w:b w:val="false"/>
          <w:bCs w:val="false"/>
          <w:i w:val="false"/>
          <w:iCs w:val="false"/>
          <w:sz w:val="22"/>
          <w:szCs w:val="22"/>
        </w:rPr>
        <w:t xml:space="preserve">During the discovery conversation, Claude also identifies:</w:t>
      </w:r>
    </w:p>
    <w:p>
      <w:pPr>
        <w:pStyle w:val="ListParagraph"/>
        <w:numPr>
          <w:ilvl w:val="0"/>
          <w:numId w:val="2"/>
        </w:numPr>
        <w:spacing w:after="60"/>
      </w:pPr>
      <w:r>
        <w:rPr>
          <w:rFonts w:ascii="Arial" w:cs="Arial" w:eastAsia="Arial" w:hAnsi="Arial"/>
          <w:b w:val="false"/>
          <w:bCs w:val="false"/>
          <w:i w:val="false"/>
          <w:iCs w:val="false"/>
          <w:sz w:val="22"/>
          <w:szCs w:val="22"/>
        </w:rPr>
        <w:t xml:space="preserve">Cross-domain entities — entities that appear in multiple domains are flagged so the detailed interview can capture all perspectives, not just one domain’s view</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vs. entity variant — whether something is its own entity or a type/variant of another (e.g., whether Partner Contact is a separate entity or a Contact with a type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Dependency order — a recommended sequence for the entity definition interviews, with foundational entities (those that other entities reference) defined first</w:t>
      </w:r>
    </w:p>
    <w:p>
      <w:pPr>
        <w:pStyle w:val="Heading3"/>
        <w:spacing w:after="120" w:before="240"/>
      </w:pPr>
      <w:r>
        <w:rPr>
          <w:rFonts w:ascii="Arial" w:cs="Arial" w:eastAsia="Arial" w:hAnsi="Arial"/>
          <w:b/>
          <w:bCs/>
          <w:i w:val="false"/>
          <w:iCs w:val="false"/>
          <w:sz w:val="24"/>
          <w:szCs w:val="24"/>
        </w:rPr>
        <w:t xml:space="preserve">Step 2: Entity Definition Interviews</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entity, done in the dependency order established in Step 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all previously completed Entity PRDs.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Entity PRD (Word document) per entity.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PRDs/entities/{EntityName}.docx</w:t>
      </w:r>
    </w:p>
    <w:p>
      <w:pPr>
        <w:spacing w:after="120"/>
      </w:pPr>
      <w:r>
        <w:rPr>
          <w:rFonts w:ascii="Arial" w:cs="Arial" w:eastAsia="Arial" w:hAnsi="Arial"/>
          <w:b w:val="false"/>
          <w:bCs w:val="false"/>
          <w:i w:val="false"/>
          <w:iCs w:val="false"/>
          <w:sz w:val="22"/>
          <w:szCs w:val="22"/>
        </w:rPr>
        <w:t xml:space="preserve">Each conversation focuses on a single entity. Claude conducts a focused interview about the entity’s purpose, fields, relationships, and business rules, producing an Entity PRD document.</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entity conversation receives the Master PRD, the Entity Inventory, and all previously completed Entity PRDs as uploaded files. This gives Claude full visibility into what entities have already been defined and what relationships have been established — without requiring cross-session memory.</w:t>
      </w:r>
    </w:p>
    <w:p>
      <w:pPr>
        <w:spacing w:after="120"/>
      </w:pPr>
      <w:r>
        <w:rPr>
          <w:rFonts w:ascii="Arial" w:cs="Arial" w:eastAsia="Arial" w:hAnsi="Arial"/>
          <w:b w:val="false"/>
          <w:bCs w:val="false"/>
          <w:i w:val="false"/>
          <w:iCs w:val="false"/>
          <w:sz w:val="22"/>
          <w:szCs w:val="22"/>
        </w:rPr>
        <w:t xml:space="preserve">By the time the last entity is being defined, Claude has the complete entity context available in the conversation.</w:t>
      </w:r>
    </w:p>
    <w:p>
      <w:pPr>
        <w:pStyle w:val="Heading3"/>
        <w:spacing w:after="120" w:before="240"/>
      </w:pPr>
      <w:r>
        <w:rPr>
          <w:rFonts w:ascii="Arial" w:cs="Arial" w:eastAsia="Arial" w:hAnsi="Arial"/>
          <w:b/>
          <w:bCs/>
          <w:i w:val="false"/>
          <w:iCs w:val="false"/>
          <w:sz w:val="24"/>
          <w:szCs w:val="24"/>
        </w:rPr>
        <w:t xml:space="preserve">Entity PRD Structure</w:t>
      </w:r>
    </w:p>
    <w:p>
      <w:pPr>
        <w:spacing w:after="120"/>
      </w:pPr>
      <w:r>
        <w:rPr>
          <w:rFonts w:ascii="Arial" w:cs="Arial" w:eastAsia="Arial" w:hAnsi="Arial"/>
          <w:b w:val="false"/>
          <w:bCs w:val="false"/>
          <w:i w:val="false"/>
          <w:iCs w:val="false"/>
          <w:sz w:val="22"/>
          <w:szCs w:val="22"/>
        </w:rPr>
        <w:t xml:space="preserve">Every Entity PRD must contain all nine of the following sections. The Entity Definition guide (guide-entity-definition.md) provides detailed descriptions of each section. A generator template (generate-entity-prd-template.js) is available to produce Entity PRDs with consistent formatting.</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Overview — entity metadata, native/custom status, entity type, contributing domains, and discriminator details for shared entities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 fields that already exist on the entity because of its platform entity type, documented to prevent duplicate creation during YAML generation</w:t>
      </w:r>
    </w:p>
    <w:p>
      <w:pPr>
        <w:pStyle w:val="ListParagraph"/>
        <w:numPr>
          <w:ilvl w:val="0"/>
          <w:numId w:val="2"/>
        </w:numPr>
        <w:spacing w:after="60"/>
      </w:pPr>
      <w:r>
        <w:rPr>
          <w:rFonts w:ascii="Arial" w:cs="Arial" w:eastAsia="Arial" w:hAnsi="Arial"/>
          <w:b w:val="false"/>
          <w:bCs w:val="false"/>
          <w:i w:val="false"/>
          <w:iCs w:val="false"/>
          <w:sz w:val="22"/>
          <w:szCs w:val="22"/>
        </w:rPr>
        <w:t xml:space="preserve">Custom Fields — fields created via YAML, organized by scope (shared vs. type-specific) with full field-level detail including domain attribution, visibility rules, and implementation notes</w:t>
      </w:r>
    </w:p>
    <w:p>
      <w:pPr>
        <w:pStyle w:val="ListParagraph"/>
        <w:numPr>
          <w:ilvl w:val="0"/>
          <w:numId w:val="2"/>
        </w:numPr>
        <w:spacing w:after="60"/>
      </w:pPr>
      <w:r>
        <w:rPr>
          <w:rFonts w:ascii="Arial" w:cs="Arial" w:eastAsia="Arial" w:hAnsi="Arial"/>
          <w:b w:val="false"/>
          <w:bCs w:val="false"/>
          <w:i w:val="false"/>
          <w:iCs w:val="false"/>
          <w:sz w:val="22"/>
          <w:szCs w:val="22"/>
        </w:rPr>
        <w:t xml:space="preserve">Relationships — all relationships involving this entity, compiled from all domains, with link types, PRD references, and domain attribution</w:t>
      </w:r>
    </w:p>
    <w:p>
      <w:pPr>
        <w:pStyle w:val="ListParagraph"/>
        <w:numPr>
          <w:ilvl w:val="0"/>
          <w:numId w:val="2"/>
        </w:numPr>
        <w:spacing w:after="60"/>
      </w:pPr>
      <w:r>
        <w:rPr>
          <w:rFonts w:ascii="Arial" w:cs="Arial" w:eastAsia="Arial" w:hAnsi="Arial"/>
          <w:b w:val="false"/>
          <w:bCs w:val="false"/>
          <w:i w:val="false"/>
          <w:iCs w:val="false"/>
          <w:sz w:val="22"/>
          <w:szCs w:val="22"/>
        </w:rPr>
        <w:t xml:space="preserve">Dynamic Logic Rules — consolidated visibility rules for type-specific fields and panels, grouped by discriminator value</w:t>
      </w:r>
    </w:p>
    <w:p>
      <w:pPr>
        <w:pStyle w:val="ListParagraph"/>
        <w:numPr>
          <w:ilvl w:val="0"/>
          <w:numId w:val="2"/>
        </w:numPr>
        <w:spacing w:after="60"/>
      </w:pPr>
      <w:r>
        <w:rPr>
          <w:rFonts w:ascii="Arial" w:cs="Arial" w:eastAsia="Arial" w:hAnsi="Arial"/>
          <w:b w:val="false"/>
          <w:bCs w:val="false"/>
          <w:i w:val="false"/>
          <w:iCs w:val="false"/>
          <w:sz w:val="22"/>
          <w:szCs w:val="22"/>
        </w:rPr>
        <w:t xml:space="preserve">Layout Guidance — suggested panel and tab grouping for the detail view, with notes on which panels are controlled by dynamic logic</w:t>
      </w:r>
    </w:p>
    <w:p>
      <w:pPr>
        <w:pStyle w:val="ListParagraph"/>
        <w:numPr>
          <w:ilvl w:val="0"/>
          <w:numId w:val="2"/>
        </w:numPr>
        <w:spacing w:after="60"/>
      </w:pPr>
      <w:r>
        <w:rPr>
          <w:rFonts w:ascii="Arial" w:cs="Arial" w:eastAsia="Arial" w:hAnsi="Arial"/>
          <w:b w:val="false"/>
          <w:bCs w:val="false"/>
          <w:i w:val="false"/>
          <w:iCs w:val="false"/>
          <w:sz w:val="22"/>
          <w:szCs w:val="22"/>
        </w:rPr>
        <w:t xml:space="preserve">Implementation Notes — calculated field formulas, access control restrictions, audited fields, system-populated fields, and other implementation details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specific to this entity’s implementation, including issues carried forward from the Entity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decisions made during the entity definition session, with identifiers and rationale, including decisions that affect other Entity PRDs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An Entity PRD is not complete until all nine sections are present and:</w:t>
      </w:r>
    </w:p>
    <w:p>
      <w:pPr>
        <w:pStyle w:val="ListParagraph"/>
        <w:numPr>
          <w:ilvl w:val="0"/>
          <w:numId w:val="2"/>
        </w:numPr>
        <w:spacing w:after="60"/>
      </w:pPr>
      <w:r>
        <w:rPr>
          <w:rFonts w:ascii="Arial" w:cs="Arial" w:eastAsia="Arial" w:hAnsi="Arial"/>
          <w:b w:val="false"/>
          <w:bCs w:val="false"/>
          <w:i w:val="false"/>
          <w:iCs w:val="false"/>
          <w:sz w:val="22"/>
          <w:szCs w:val="22"/>
        </w:rPr>
        <w:t xml:space="preserve">Every field has full field-level detail (name, type, required status, enum values where applicable, and description)</w:t>
      </w:r>
    </w:p>
    <w:p>
      <w:pPr>
        <w:pStyle w:val="ListParagraph"/>
        <w:numPr>
          <w:ilvl w:val="0"/>
          <w:numId w:val="2"/>
        </w:numPr>
        <w:spacing w:after="60"/>
      </w:pPr>
      <w:r>
        <w:rPr>
          <w:rFonts w:ascii="Arial" w:cs="Arial" w:eastAsia="Arial" w:hAnsi="Arial"/>
          <w:b w:val="false"/>
          <w:bCs w:val="false"/>
          <w:i w:val="false"/>
          <w:iCs w:val="false"/>
          <w:sz w:val="22"/>
          <w:szCs w:val="22"/>
        </w:rPr>
        <w:t xml:space="preserve">Every relationship to a previously defined entity is confirmed by both sides</w:t>
      </w:r>
    </w:p>
    <w:p>
      <w:pPr>
        <w:pStyle w:val="ListParagraph"/>
        <w:numPr>
          <w:ilvl w:val="0"/>
          <w:numId w:val="2"/>
        </w:numPr>
        <w:spacing w:after="60"/>
      </w:pPr>
      <w:r>
        <w:rPr>
          <w:rFonts w:ascii="Arial" w:cs="Arial" w:eastAsia="Arial" w:hAnsi="Arial"/>
          <w:b w:val="false"/>
          <w:bCs w:val="false"/>
          <w:i w:val="false"/>
          <w:iCs w:val="false"/>
          <w:sz w:val="22"/>
          <w:szCs w:val="22"/>
        </w:rPr>
        <w:t xml:space="preserve">All dynamic logic visibility rules are documented for type-specific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are clearly distinguished from custom fields so that YAML generation does not attempt to create fields that already exist on the platform</w:t>
      </w:r>
    </w:p>
    <w:p>
      <w:pPr>
        <w:pStyle w:val="Heading2"/>
        <w:spacing w:after="120" w:before="240"/>
      </w:pPr>
      <w:r>
        <w:rPr>
          <w:rFonts w:ascii="Arial" w:cs="Arial" w:eastAsia="Arial" w:hAnsi="Arial"/>
          <w:b/>
          <w:bCs/>
          <w:i w:val="false"/>
          <w:iCs w:val="false"/>
          <w:color w:val="1F3864"/>
          <w:sz w:val="28"/>
          <w:szCs w:val="28"/>
        </w:rPr>
        <w:t xml:space="preserve">3.3 Phase 3: Domain Overview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Entity PRDs for entities participating in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Overview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PRDs/{domain_code}/{Implementation}-Domain-Overview-{DomainName}.docx</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pStyle w:val="Heading2"/>
        <w:spacing w:after="120" w:before="240"/>
      </w:pPr>
      <w:r>
        <w:rPr>
          <w:rFonts w:ascii="Arial" w:cs="Arial" w:eastAsia="Arial" w:hAnsi="Arial"/>
          <w:b/>
          <w:bCs/>
          <w:i w:val="false"/>
          <w:iCs w:val="false"/>
          <w:color w:val="1F3864"/>
          <w:sz w:val="28"/>
          <w:szCs w:val="28"/>
        </w:rPr>
        <w:t xml:space="preserve">Sub-Domain Overviews</w:t>
      </w:r>
    </w:p>
    <w:p>
      <w:pPr>
        <w:spacing w:after="120"/>
      </w:pPr>
      <w:r>
        <w:rPr>
          <w:rFonts w:ascii="Arial" w:cs="Arial" w:eastAsia="Arial" w:hAnsi="Arial"/>
          <w:b w:val="false"/>
          <w:bCs w:val="false"/>
          <w:i w:val="false"/>
          <w:iCs w:val="false"/>
          <w:sz w:val="22"/>
          <w:szCs w:val="22"/>
        </w:rPr>
        <w:t xml:space="preserve">For domains with sub-domains, Phase 3 produces multiple overview documents. The parent domain receives a Domain Overview that covers the domain’s overall purpose, the sub-domain structure and rationale, shared personas, cross-sub-domain relationships, and consolidated oversight and analytics requirements. Each sub-domain then receives its own Sub-Domain Overview following the standard Domain Overview structure — purpose, personas, process inventory with dependency ordering, and data reference. Sub-Domain Overview documents are the primary input for process definition conversations within that sub-domain, replacing the parent Domain Overview for that purpose.</w:t>
      </w:r>
    </w:p>
    <w:p>
      <w:pPr>
        <w:spacing w:after="120"/>
      </w:pPr>
      <w:r>
        <w:rPr>
          <w:rFonts w:ascii="Arial" w:cs="Arial" w:eastAsia="Arial" w:hAnsi="Arial"/>
          <w:b w:val="false"/>
          <w:bCs w:val="false"/>
          <w:i w:val="false"/>
          <w:iCs w:val="false"/>
          <w:sz w:val="22"/>
          <w:szCs w:val="22"/>
        </w:rPr>
        <w:t xml:space="preserve">Conversations: 1 per domain. For domains with sub-domains, 1 for the parent domain overview plus 1 per sub-domain overview.</w:t>
      </w:r>
    </w:p>
    <w:p>
      <w:pPr>
        <w:spacing w:after="120"/>
      </w:pPr>
      <w:r>
        <w:rPr>
          <w:rFonts w:ascii="Arial" w:cs="Arial" w:eastAsia="Arial" w:hAnsi="Arial"/>
          <w:b w:val="false"/>
          <w:bCs w:val="false"/>
          <w:i w:val="false"/>
          <w:iCs w:val="false"/>
          <w:sz w:val="22"/>
          <w:szCs w:val="22"/>
        </w:rPr>
        <w:t xml:space="preserve">Context passing for sub-domain overviews: the parent Domain Overview plus the Master PRD, Entity Inventory, and Entity PRDs for entities participating in that sub-domain.</w:t>
      </w:r>
    </w:p>
    <w:p>
      <w:pPr>
        <w:pStyle w:val="Heading2"/>
        <w:spacing w:after="120" w:before="240"/>
      </w:pPr>
      <w:r>
        <w:rPr>
          <w:rFonts w:ascii="Arial" w:cs="Arial" w:eastAsia="Arial" w:hAnsi="Arial"/>
          <w:b/>
          <w:bCs/>
          <w:i w:val="false"/>
          <w:iCs w:val="false"/>
          <w:color w:val="1F3864"/>
          <w:sz w:val="28"/>
          <w:szCs w:val="28"/>
        </w:rPr>
        <w:t xml:space="preserve">3.4 Phase 4: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defined in Phase 2 (Entity Definition)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3.5 Phase 5: Process Definition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business process, done in dependency order within each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all previously completed process documents for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process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PRDs/{domain_code}/{PROCESS-CODE}.docx</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that are already defined in the Entity PRDs and may reference Cross-Domain Services as described in the Master PRD. The process document identifies which entities the process uses or affects, and captures process-specific details about how those entities are created, read, or updated during the process. If a process reveals a field or entity not captured during Entity Definition,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For processes within a sub-domain, the primary input is the Sub-Domain Overview plus all previously completed process documents within that sub-domain. The parent Domain Overview is not uploaded into individual process conversations — its content relevant to the sub-domain has already been incorporated into the Sub-Domain Overview.</w:t>
      </w:r>
    </w:p>
    <w:p>
      <w:pPr>
        <w:spacing w:after="120"/>
      </w:pPr>
      <w:r>
        <w:rPr>
          <w:rFonts w:ascii="Arial" w:cs="Arial" w:eastAsia="Arial" w:hAnsi="Arial"/>
          <w:b w:val="false"/>
          <w:bCs w:val="false"/>
          <w:i w:val="false"/>
          <w:iCs w:val="false"/>
          <w:sz w:val="22"/>
          <w:szCs w:val="22"/>
        </w:rPr>
        <w:t xml:space="preserve">Within domains that use sub-domains, process ordering is determined within each sub-domain independently. Cross-sub-domain dependencies are identified in the parent Domain Overview but are expected to be rare given that sub-domains are designed to be autonomous.</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spacing w:after="120" w:before="240"/>
      </w:pPr>
      <w:r>
        <w:rPr>
          <w:rFonts w:ascii="Arial" w:cs="Arial" w:eastAsia="Arial" w:hAnsi="Arial"/>
          <w:b/>
          <w:bCs/>
          <w:i w:val="false"/>
          <w:iCs w:val="false"/>
          <w:color w:val="1F3864"/>
          <w:sz w:val="28"/>
          <w:szCs w:val="28"/>
        </w:rPr>
        <w:t xml:space="preserve">3.6 Phase 6: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3.7 Phase 7: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6.</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3.8 Phase 8: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8,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3.9 Phase 9: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3.10 Phase 10: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3.11 Phase 11: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3.12 Phase 12: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Entity Inventory + Entity PRDs for entities participating in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