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20:00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v1.6</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twelve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and 4 repeat for each Cross-Domain Service. Phases 3, 5, and 6 repeat for each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3–6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Sub-Domain Overviews</w:t>
      </w:r>
    </w:p>
    <w:p>
      <w:pPr>
        <w:spacing w:after="120"/>
      </w:pPr>
      <w:r>
        <w:rPr>
          <w:rFonts w:ascii="Arial" w:cs="Arial" w:eastAsia="Arial" w:hAnsi="Arial"/>
          <w:b w:val="false"/>
          <w:bCs w:val="false"/>
          <w:i w:val="false"/>
          <w:iCs w:val="false"/>
          <w:sz w:val="22"/>
          <w:szCs w:val="22"/>
        </w:rPr>
        <w:t xml:space="preserve">For domains with sub-domains, Phase 3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2"/>
        <w:spacing w:after="120" w:before="240"/>
      </w:pPr>
      <w:r>
        <w:rPr>
          <w:rFonts w:ascii="Arial" w:cs="Arial" w:eastAsia="Arial" w:hAnsi="Arial"/>
          <w:b/>
          <w:bCs/>
          <w:i w:val="false"/>
          <w:iCs w:val="false"/>
          <w:color w:val="1F3864"/>
          <w:sz w:val="28"/>
          <w:szCs w:val="28"/>
        </w:rPr>
        <w:t xml:space="preserve">3.4 Phase 4: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3.5 Phase 5: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and may reference Cross-Domain Services as described in the Master PRD.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3.7 Phase 7: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6.</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3.8 Phase 8: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8,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3.9 Phase 9: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3.10 Phase 10: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3.11 Phase 11: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3.12 Phase 12: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