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3864"/>
          <w:sz w:val="56"/>
          <w:szCs w:val="56"/>
        </w:rPr>
        <w:t xml:space="preserve">CoSpatia® Accounting Module</w:t>
      </w:r>
    </w:p>
    <w:p>
      <w:pPr>
        <w:spacing w:after="0" w:before="160"/>
        <w:jc w:val="center"/>
      </w:pPr>
      <w:r>
        <w:rPr>
          <w:b/>
          <w:bCs/>
          <w:color w:val="2E75B6"/>
          <w:sz w:val="32"/>
          <w:szCs w:val="32"/>
        </w:rPr>
        <w:t xml:space="preserve">Developer Feature Specification</w:t>
      </w:r>
    </w:p>
    <w:p>
      <w:pPr>
        <w:spacing w:after="0" w:before="120"/>
        <w:jc w:val="center"/>
      </w:pPr>
      <w:r>
        <w:rPr>
          <w:i/>
          <w:iCs/>
          <w:color w:val="595959"/>
          <w:sz w:val="24"/>
          <w:szCs w:val="24"/>
        </w:rPr>
        <w:t xml:space="preserve">Full accounting add-on — books, reports, and tax-ready exports for small businesses</w:t>
      </w:r>
    </w:p>
    <w:p>
      <w:pPr>
        <w:spacing w:after="0" w:before="1800"/>
        <w:jc w:val="center"/>
      </w:pPr>
      <w:r>
        <w:rPr>
          <w:b/>
          <w:bCs/>
          <w:sz w:val="24"/>
          <w:szCs w:val="24"/>
        </w:rPr>
        <w:t xml:space="preserve">InteractiveGIS, Inc.</w:t>
      </w:r>
    </w:p>
    <w:p>
      <w:pPr>
        <w:spacing w:after="0" w:before="60"/>
        <w:jc w:val="center"/>
      </w:pPr>
      <w:r>
        <w:rPr>
          <w:color w:val="595959"/>
          <w:sz w:val="20"/>
          <w:szCs w:val="20"/>
        </w:rPr>
        <w:t xml:space="preserve">Prepared for the development team  •  Version 1.0  •  May 2026</w:t>
      </w:r>
    </w:p>
    <w:p>
      <w:pPr>
        <w:spacing w:after="0" w:before="60"/>
        <w:jc w:val="center"/>
      </w:pPr>
      <w:r>
        <w:rPr>
          <w:color w:val="595959"/>
          <w:sz w:val="20"/>
          <w:szCs w:val="20"/>
        </w:rPr>
        <w:t xml:space="preserve">Status: Draft for review</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and Scope</w:t>
      </w:r>
    </w:p>
    <w:p>
      <w:pPr>
        <w:spacing w:after="120" w:before="0"/>
      </w:pPr>
      <w:r>
        <w:t xml:space="preserve">This document specifies the Accounting module for CoSpatia®. The build target is a full bookkeeping system — chart of accounts, double-entry ledger, bank reconciliation, accounts receivable and payable, payroll data, fixed assets, and sales tax — with one defining requirement: every export the module produces must be something a small business’s accountant can use directly to complete quarterly filings and annual state and federal returns without re-keying data.</w:t>
      </w:r>
    </w:p>
    <w:p>
      <w:pPr>
        <w:spacing w:after="120" w:before="0"/>
      </w:pPr>
      <w:r>
        <w:t xml:space="preserve">The module serves any small business, not a single entity type. It must produce correct books and correct exports whether the business files as a sole proprietorship or single-member LLC (Schedule C), a partnership or multi-member LLC (Form 1065), an S corporation (Form 1120-S), or a C corporation (Form 1120). Entity type is set once during company setup and drives the tax-line mapping, the available reports, and the structure of the year-end export package.</w:t>
      </w:r>
    </w:p>
    <w:p>
      <w:pPr>
        <w:spacing w:after="120" w:before="0"/>
      </w:pPr>
      <w:r>
        <w:rPr>
          <w:i/>
          <w:iCs/>
        </w:rPr>
        <w:t xml:space="preserve">The guiding test for every feature decision: hand the export to a CPA who has never seen CoSpatia®, and they should be able to prepare the return. If a feature does not move toward that outcome, it is out of scope for version 1.</w:t>
      </w:r>
    </w:p>
    <w:p>
      <w:pPr>
        <w:pStyle w:val="Heading2"/>
      </w:pPr>
      <w:r>
        <w:t xml:space="preserve">1.1 Design principles</w:t>
      </w:r>
    </w:p>
    <w:p>
      <w:pPr>
        <w:pStyle w:val="ListParagraph"/>
        <w:numPr>
          <w:ilvl w:val="0"/>
          <w:numId w:val="2"/>
        </w:numPr>
        <w:spacing w:after="60"/>
      </w:pPr>
      <w:r>
        <w:t xml:space="preserve">Double-entry is non-negotiable. Every transaction posts balanced debits and credits to the general ledger. The trial balance must always net to zero. There is no “single-entry” or “checkbook” mode.</w:t>
      </w:r>
    </w:p>
    <w:p>
      <w:pPr>
        <w:pStyle w:val="ListParagraph"/>
        <w:numPr>
          <w:ilvl w:val="0"/>
          <w:numId w:val="2"/>
        </w:numPr>
        <w:spacing w:after="60"/>
      </w:pPr>
      <w:r>
        <w:t xml:space="preserve">The general ledger is the source of truth. Reports and exports are views over the ledger, never separate data stores. If a number appears on an export, it can be traced to specific journal lines.</w:t>
      </w:r>
    </w:p>
    <w:p>
      <w:pPr>
        <w:pStyle w:val="ListParagraph"/>
        <w:numPr>
          <w:ilvl w:val="0"/>
          <w:numId w:val="2"/>
        </w:numPr>
        <w:spacing w:after="60"/>
      </w:pPr>
      <w:r>
        <w:t xml:space="preserve">Nothing is ever hard-deleted. Posted transactions are reversed or voided with an audit trail, never erased. Accountants need to trust that the books they receive match the books at close.</w:t>
      </w:r>
    </w:p>
    <w:p>
      <w:pPr>
        <w:pStyle w:val="ListParagraph"/>
        <w:numPr>
          <w:ilvl w:val="0"/>
          <w:numId w:val="2"/>
        </w:numPr>
        <w:spacing w:after="60"/>
      </w:pPr>
      <w:r>
        <w:t xml:space="preserve">Accountant-readable beats clever. Exports use the formats tax software already imports. The module does not invent a new interchange format.</w:t>
      </w:r>
    </w:p>
    <w:p>
      <w:pPr>
        <w:pStyle w:val="ListParagraph"/>
        <w:numPr>
          <w:ilvl w:val="0"/>
          <w:numId w:val="2"/>
        </w:numPr>
        <w:spacing w:after="60"/>
      </w:pPr>
      <w:r>
        <w:t xml:space="preserve">Cash and accrual are both first-class. The business keeps books one way; the accountant frequently needs the other. Every financial report can be produced on either basis from the same ledger.</w:t>
      </w:r>
    </w:p>
    <w:p>
      <w:pPr>
        <w:pStyle w:val="ListParagraph"/>
        <w:numPr>
          <w:ilvl w:val="0"/>
          <w:numId w:val="2"/>
        </w:numPr>
        <w:spacing w:after="60"/>
      </w:pPr>
      <w:r>
        <w:t xml:space="preserve">Periods can be locked. Once a quarter or year is filed, that period is closed to edits. Later corrections post to an open period as adjusting entries.</w:t>
      </w:r>
    </w:p>
    <w:p>
      <w:pPr>
        <w:pStyle w:val="Heading2"/>
      </w:pPr>
      <w:r>
        <w:t xml:space="preserve">1.2 What is explicitly out of scope for v1</w:t>
      </w:r>
    </w:p>
    <w:p>
      <w:pPr>
        <w:spacing w:after="120" w:before="0"/>
      </w:pPr>
      <w:r>
        <w:t xml:space="preserve">The module does not file returns and does not calculate tax owed. It does not e-file Form 941, W-2s, or 1099s. It does not connect to the IRS or state agencies. It produces the data and the reports; the accountant (or downstream payroll/e-file service) does the filing. Inventory costing beyond simple item tracking, multi-currency, and job costing are deferred to later versions. The module assumes a US-based business; international reporting is not addressed.</w:t>
      </w:r>
    </w:p>
    <w:p>
      <w:r>
        <w:br w:type="page"/>
      </w:r>
    </w:p>
    <w:p>
      <w:pPr>
        <w:pStyle w:val="Heading1"/>
      </w:pPr>
      <w:r>
        <w:t xml:space="preserve">2. The Accountant’s Requirement — What the Export Must Satisfy</w:t>
      </w:r>
    </w:p>
    <w:p>
      <w:pPr>
        <w:spacing w:after="120" w:before="0"/>
      </w:pPr>
      <w:r>
        <w:t xml:space="preserve">Before specifying data structures, this section defines the target. These are the things an accountant asks a small business for at quarter-end and year-end. The module is correct when its exports supply all of them. Everything in sections 3 through 7 exists to produce this list.</w:t>
      </w:r>
    </w:p>
    <w:p>
      <w:pPr>
        <w:pStyle w:val="Heading2"/>
      </w:pPr>
      <w:r>
        <w:t xml:space="preserve">2.1 Quarterly — what is filed every quarter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296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Filing</w:t>
            </w:r>
          </w:p>
        </w:tc>
        <w:tc>
          <w:tcPr>
            <w:tcW w:type="dxa" w:w="4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What it needs</w:t>
            </w:r>
          </w:p>
        </w:tc>
        <w:tc>
          <w:tcPr>
            <w:tcW w:type="dxa" w:w="29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Module output that feeds it</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Form 941 — Employer’s Quarterly Federal Tax Return</w:t>
            </w:r>
          </w:p>
        </w:tc>
        <w:tc>
          <w:tcPr>
            <w:tcW w:type="dxa" w:w="4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Total wages, federal income tax withheld, Social Security and Medicare wages and tax (employee + employer), tax liability by month, deposits made</w:t>
            </w:r>
          </w:p>
        </w:tc>
        <w:tc>
          <w:tcPr>
            <w:tcW w:type="dxa" w:w="2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Payroll Summary (quarterly), Payroll Tax Liability report, deposit history</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State income tax withholding return</w:t>
            </w:r>
          </w:p>
        </w:tc>
        <w:tc>
          <w:tcPr>
            <w:tcW w:type="dxa" w:w="4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Wages and state tax withheld for the quarter, by employee where required</w:t>
            </w:r>
          </w:p>
        </w:tc>
        <w:tc>
          <w:tcPr>
            <w:tcW w:type="dxa" w:w="29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Payroll Summary filtered by state, state withholding register</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State unemployment (SUTA)</w:t>
            </w:r>
          </w:p>
        </w:tc>
        <w:tc>
          <w:tcPr>
            <w:tcW w:type="dxa" w:w="4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Gross wages, taxable wages up to the state wage base, by employee</w:t>
            </w:r>
          </w:p>
        </w:tc>
        <w:tc>
          <w:tcPr>
            <w:tcW w:type="dxa" w:w="2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Payroll Summary with taxable-wage cap applied per employee</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Estimated income tax — 1040-ES (owners) or 1120-W (C corp)</w:t>
            </w:r>
          </w:p>
        </w:tc>
        <w:tc>
          <w:tcPr>
            <w:tcW w:type="dxa" w:w="4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Year-to-date profit or loss so the accountant can project the next payment</w:t>
            </w:r>
          </w:p>
        </w:tc>
        <w:tc>
          <w:tcPr>
            <w:tcW w:type="dxa" w:w="29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P&amp;L year-to-date, on the entity’s tax basis</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Sales and use tax return (where applicable)</w:t>
            </w:r>
          </w:p>
        </w:tc>
        <w:tc>
          <w:tcPr>
            <w:tcW w:type="dxa" w:w="4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Taxable sales, exempt sales, tax collected by jurisdiction, for the filing period</w:t>
            </w:r>
          </w:p>
        </w:tc>
        <w:tc>
          <w:tcPr>
            <w:tcW w:type="dxa" w:w="2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Sales Tax Liability report by jurisdiction</w:t>
            </w:r>
          </w:p>
        </w:tc>
      </w:tr>
    </w:tbl>
    <w:p>
      <w:pPr>
        <w:spacing w:after="120" w:before="0"/>
      </w:pPr>
      <w:r>
        <w:rPr>
          <w:i/>
          <w:iCs/>
          <w:sz w:val="19"/>
          <w:szCs w:val="19"/>
        </w:rPr>
        <w:t xml:space="preserve">Federal unemployment (Form 940) is annual, not quarterly, but is fed by the same payroll data and is listed with the year-end items below.</w:t>
      </w:r>
    </w:p>
    <w:p>
      <w:pPr>
        <w:pStyle w:val="Heading2"/>
      </w:pPr>
      <w:r>
        <w:t xml:space="preserve">2.2 Annual — the year-end package the accountant uses to prepare the return</w:t>
      </w:r>
    </w:p>
    <w:p>
      <w:pPr>
        <w:spacing w:after="120" w:before="0"/>
      </w:pPr>
      <w:r>
        <w:t xml:space="preserve">This is the single most important export in the module. It is requested once a year and it determines whether the engagement is smooth or painful. Section 7.4 specifies it as a packaged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Item</w:t>
            </w:r>
          </w:p>
        </w:tc>
        <w:tc>
          <w:tcPr>
            <w:tcW w:type="dxa" w:w="6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Why the accountant needs it</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Adjusted trial balance</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The starting point for the return. Every account, debit/credit balance, as of year-end. Must net to zero.</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General ledger (full detail)</w:t>
            </w:r>
          </w:p>
        </w:tc>
        <w:tc>
          <w:tcPr>
            <w:tcW w:type="dxa" w:w="6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Every transaction for the year, by account, with date, amount, and description. Used to verify and reclassify.</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Profit &amp; Loss — cash and accrual</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Income and expense by account. Maps to the income and deduction lines of the return.</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Balance Sheet — year-end and prior year-end</w:t>
            </w:r>
          </w:p>
        </w:tc>
        <w:tc>
          <w:tcPr>
            <w:tcW w:type="dxa" w:w="6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Assets, liabilities, equity. Required for 1065, 1120-S, and 1120 (Schedule L). Prior year proves continuity.</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Statement of Cash Flows</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Often used for review and for the cash-basis reconciliation.</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Bank and credit card reconciliation reports</w:t>
            </w:r>
          </w:p>
        </w:tc>
        <w:tc>
          <w:tcPr>
            <w:tcW w:type="dxa" w:w="6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Proof the cash accounts are reconciled to statements. Unreconciled books cannot be relied on.</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A/R aging and A/P aging (year-end)</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Confirms receivables and payables on the balance sheet. Drives cash-vs-accrual adjustments.</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Fixed asset and depreciation schedule</w:t>
            </w:r>
          </w:p>
        </w:tc>
        <w:tc>
          <w:tcPr>
            <w:tcW w:type="dxa" w:w="6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Asset list with cost, in-service date, method, prior and current depreciation. Feeds Form 4562.</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Payroll: four quarterly 941s, W-2/W-3 totals, Form 940 data, state filings</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Reconciles wages on the return to payroll filings. Mismatches trigger notices.</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1099 vendor report</w:t>
            </w:r>
          </w:p>
        </w:tc>
        <w:tc>
          <w:tcPr>
            <w:tcW w:type="dxa" w:w="6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Vendors paid for services at or above the reporting threshold, with totals and tax IDs. Feeds 1099-NEC.</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Sales tax liability summary</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Annual roll-up by jurisdiction; reconciles to returns filed during the year.</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Loan and note schedules</w:t>
            </w:r>
          </w:p>
        </w:tc>
        <w:tc>
          <w:tcPr>
            <w:tcW w:type="dxa" w:w="6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Beginning balance, payments split into principal and interest, ending balance, for each note.</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Owner equity detail</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Contributions, draws or distributions, by owner. Critical for partnerships and S corps (basis and K-1s).</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Tax-line mapping report</w:t>
            </w:r>
          </w:p>
        </w:tc>
        <w:tc>
          <w:tcPr>
            <w:tcW w:type="dxa" w:w="6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Each account mapped to its line on the entity’s return, with any unmapped accounts flagged.</w:t>
            </w:r>
          </w:p>
        </w:tc>
      </w:tr>
    </w:tbl>
    <w:p>
      <w:pPr>
        <w:pStyle w:val="Heading2"/>
      </w:pPr>
      <w:r>
        <w:t xml:space="preserve">2.3 Information returns — issued to people, filed with the government</w:t>
      </w:r>
    </w:p>
    <w:p>
      <w:pPr>
        <w:spacing w:after="120" w:before="0"/>
      </w:pPr>
      <w:r>
        <w:t xml:space="preserve">These are produced from payroll and vendor data and are due in late January / early February for the prior year.</w:t>
      </w:r>
    </w:p>
    <w:p>
      <w:pPr>
        <w:pStyle w:val="ListParagraph"/>
        <w:numPr>
          <w:ilvl w:val="0"/>
          <w:numId w:val="2"/>
        </w:numPr>
        <w:spacing w:after="60"/>
      </w:pPr>
      <w:r>
        <w:t xml:space="preserve">W-2 / W-3 — one W-2 per employee, W-3 transmittal. Needs full-year wages, withholdings, and the Social Security and Medicare wage bases applied correctly.</w:t>
      </w:r>
    </w:p>
    <w:p>
      <w:pPr>
        <w:pStyle w:val="ListParagraph"/>
        <w:numPr>
          <w:ilvl w:val="0"/>
          <w:numId w:val="2"/>
        </w:numPr>
        <w:spacing w:after="60"/>
      </w:pPr>
      <w:r>
        <w:t xml:space="preserve">1099-NEC — one per non-employee (contractor, unincorporated vendor) paid for services at or above the reporting threshold. For payments made in 2026 the threshold is $2,000, raised from $600; it indexes for inflation starting 2027. The module must track the current-year threshold as a configurable value, not a hard-coded constant.</w:t>
      </w:r>
    </w:p>
    <w:p>
      <w:pPr>
        <w:pStyle w:val="ListParagraph"/>
        <w:numPr>
          <w:ilvl w:val="0"/>
          <w:numId w:val="2"/>
        </w:numPr>
        <w:spacing w:after="60"/>
      </w:pPr>
      <w:r>
        <w:t xml:space="preserve">1099-MISC — for rent, legal settlements, and similar payments; lower volume but the same vendor and payment data feeds it.</w:t>
      </w:r>
    </w:p>
    <w:p>
      <w:pPr>
        <w:spacing w:after="120" w:before="0"/>
      </w:pPr>
      <w:r>
        <w:t xml:space="preserve">E-file trigger: if the business issues </w:t>
      </w:r>
      <w:r>
        <w:rPr>
          <w:b/>
          <w:bCs/>
        </w:rPr>
        <w:t xml:space="preserve">10 or more information returns in aggregate</w:t>
      </w:r>
      <w:r>
        <w:t xml:space="preserve"> (W-2s and all 1099s combined), the IRS requires electronic filing. The module does not e-file, but the 1099 and W-2 exports must be in a layout an e-file service or the accountant can upload.</w:t>
      </w:r>
    </w:p>
    <w:p>
      <w:r>
        <w:br w:type="page"/>
      </w:r>
    </w:p>
    <w:p>
      <w:pPr>
        <w:pStyle w:val="Heading1"/>
      </w:pPr>
      <w:r>
        <w:t xml:space="preserve">3. Data Model</w:t>
      </w:r>
    </w:p>
    <w:p>
      <w:pPr>
        <w:spacing w:after="120" w:before="0"/>
      </w:pPr>
      <w:r>
        <w:t xml:space="preserve">This section specifies the entities the module stores. Field lists are the minimum required to produce the exports in sections 6 and 7; the team may add system fields (IDs, timestamps, soft-delete flags) as needed. All monetary fields are signed decimals with two-place precision stored in the smallest currency unit where practical.</w:t>
      </w:r>
    </w:p>
    <w:p>
      <w:pPr>
        <w:pStyle w:val="Heading2"/>
      </w:pPr>
      <w:r>
        <w:t xml:space="preserve">3.1 Company / entity profile</w:t>
      </w:r>
    </w:p>
    <w:p>
      <w:pPr>
        <w:spacing w:after="120" w:before="0"/>
      </w:pPr>
      <w:r>
        <w:t xml:space="preserve">One record per business. Drives tax-line mapping, report availability, and export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Field</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Notes</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Legal name, DBA</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As filed with the state.</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EIN</w:t>
            </w:r>
          </w:p>
        </w:tc>
        <w:tc>
          <w:tcPr>
            <w:tcW w:type="dxa" w:w="6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Employer Identification Number. Required on every payroll and information-return export.</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Entity type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Enum: Sole Proprietor / Single-Member LLC, Partnership / Multi-Member LLC, S Corporation, C Corporation. This is the master switch for tax-line mapping.</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Tax year type</w:t>
            </w:r>
          </w:p>
        </w:tc>
        <w:tc>
          <w:tcPr>
            <w:tcW w:type="dxa" w:w="6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Calendar or fiscal; fiscal year-end month if fiscal.</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Accounting basis (books)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Cash or accrual. Reports can override for output, but this is the default.</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State(s) of operation, registration</w:t>
            </w:r>
          </w:p>
        </w:tc>
        <w:tc>
          <w:tcPr>
            <w:tcW w:type="dxa" w:w="6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Drives state payroll and sales tax obligations.</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Sales tax registrations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Zero or more jurisdictions with filing frequency (monthly, quarterly, annual).</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Owners / shareholders / partners</w:t>
            </w:r>
          </w:p>
        </w:tc>
        <w:tc>
          <w:tcPr>
            <w:tcW w:type="dxa" w:w="6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Name, TIN, ownership percentage, ownership period. Needed for K-1 allocation and equity detail.</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Prior-year ending balances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Imported at onboarding so the opening balance sheet is correct and the trial balance has comparatives.</w:t>
            </w:r>
          </w:p>
        </w:tc>
      </w:tr>
    </w:tbl>
    <w:p>
      <w:pPr>
        <w:pStyle w:val="Heading2"/>
      </w:pPr>
      <w:r>
        <w:t xml:space="preserve">3.2 Chart of accounts</w:t>
      </w:r>
    </w:p>
    <w:p>
      <w:pPr>
        <w:spacing w:after="120" w:before="0"/>
      </w:pPr>
      <w:r>
        <w:t xml:space="preserve">The backbone. Every account has a type, and type determines which financial statement it lands on and the sign convention used in the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000"/>
        <w:gridCol w:w="316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Field</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
            </w:r>
          </w:p>
        </w:tc>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
            </w:r>
          </w:p>
        </w:tc>
        <w:tc>
          <w:tcPr>
            <w:tcW w:type="dxa" w:w="3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sz w:val="19"/>
                <w:szCs w:val="19"/>
              </w:rPr>
              <w:t xml:space="preserve">account_number</w:t>
            </w:r>
          </w:p>
        </w:tc>
        <w:tc>
          <w:tcPr>
            <w:tcW w:type="dxa" w:w="1500"/>
            <w:gridSpan w:val="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string</w:t>
            </w:r>
          </w:p>
        </w:tc>
        <w:tc>
          <w:tcPr>
            <w:tcW w:type="dxa" w:w="3000"/>
            <w:gridSpan w:val="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Sortable code, e.g. 4000 series for income. Optional but recommended; accountants expect numbered accounts.</w:t>
            </w:r>
          </w:p>
        </w:tc>
      </w:tr>
      <w:tr>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bCs/>
                <w:sz w:val="19"/>
                <w:szCs w:val="19"/>
              </w:rPr>
              <w:t xml:space="preserve">name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string</w:t>
            </w:r>
          </w:p>
        </w:tc>
        <w:tc>
          <w:tcPr>
            <w:tcW w:type="dxa" w:w="3000"/>
            <w:gridSpan w:val="2"/>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Human-readable, e.g. “Subscription Revenue.”</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sz w:val="19"/>
                <w:szCs w:val="19"/>
              </w:rPr>
              <w:t xml:space="preserve">type</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enum</w:t>
            </w:r>
          </w:p>
        </w:tc>
        <w:tc>
          <w:tcPr>
            <w:tcW w:type="dxa" w:w="3000"/>
            <w:gridSpan w:val="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Asset, Liability, Equity, Income, Cost of Goods Sold, Expense, Other Income, Other Expense.</w:t>
            </w:r>
          </w:p>
        </w:tc>
      </w:tr>
      <w:tr>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bCs/>
                <w:sz w:val="19"/>
                <w:szCs w:val="19"/>
              </w:rPr>
              <w:t xml:space="preserve">subtype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enum</w:t>
            </w:r>
          </w:p>
        </w:tc>
        <w:tc>
          <w:tcPr>
            <w:tcW w:type="dxa" w:w="3000"/>
            <w:gridSpan w:val="2"/>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e.g. Bank, Accounts Receivable, Fixed Asset, Accumulated Depreciation, Credit Card, Accounts Payable, Long-Term Liability, Retained Earnings.</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sz w:val="19"/>
                <w:szCs w:val="19"/>
              </w:rPr>
              <w:t xml:space="preserve">tax_line</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ref</w:t>
            </w:r>
          </w:p>
        </w:tc>
        <w:tc>
          <w:tcPr>
            <w:tcW w:type="dxa" w:w="3000"/>
            <w:gridSpan w:val="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Foreign key to a tax-line code (section 5). Nullable, but unmapped accounts are flagged on export.</w:t>
            </w:r>
          </w:p>
        </w:tc>
      </w:tr>
      <w:tr>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bCs/>
                <w:sz w:val="19"/>
                <w:szCs w:val="19"/>
              </w:rPr>
              <w:t xml:space="preserve">parent_account</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ref</w:t>
            </w:r>
          </w:p>
        </w:tc>
        <w:tc>
          <w:tcPr>
            <w:tcW w:type="dxa" w:w="3000"/>
            <w:gridSpan w:val="2"/>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Self-reference for sub-accounts and roll-up subtotals.</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sz w:val="19"/>
                <w:szCs w:val="19"/>
              </w:rPr>
              <w:t xml:space="preserve">is_active</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bool</w:t>
            </w:r>
          </w:p>
        </w:tc>
        <w:tc>
          <w:tcPr>
            <w:tcW w:type="dxa" w:w="3000"/>
            <w:gridSpan w:val="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Inactive accounts keep history but cannot receive new postings.</w:t>
            </w:r>
          </w:p>
        </w:tc>
      </w:tr>
      <w:tr>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b/>
                <w:bCs/>
                <w:sz w:val="19"/>
                <w:szCs w:val="19"/>
              </w:rPr>
              <w:t xml:space="preserve">reconcilable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bool</w:t>
            </w:r>
          </w:p>
        </w:tc>
        <w:tc>
          <w:tcPr>
            <w:tcW w:type="dxa" w:w="3000"/>
            <w:gridSpan w:val="2"/>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True for bank and credit card accounts that get reconciled to statements.</w:t>
            </w:r>
          </w:p>
        </w:tc>
      </w:tr>
    </w:tbl>
    <w:p>
      <w:pPr>
        <w:spacing w:after="120" w:before="0"/>
      </w:pPr>
      <w:r>
        <w:t xml:space="preserve">Ship a default chart per entity type so a new company is usable on day one. The default chart must already have tax-line mappings populated, because mapping is the single biggest source of year-end pain when left to the user.</w:t>
      </w:r>
    </w:p>
    <w:p>
      <w:pPr>
        <w:pStyle w:val="Heading2"/>
      </w:pPr>
      <w:r>
        <w:t xml:space="preserve">3.3 General ledger — journal entries and lines</w:t>
      </w:r>
    </w:p>
    <w:p>
      <w:pPr>
        <w:spacing w:after="120" w:before="0"/>
      </w:pPr>
      <w:r>
        <w:t xml:space="preserve">Every financial event in the system — an invoice, a bill payment, a payroll run, a depreciation entry, a manual adjustment — resolves to a journal entry with two or more lines. This is the only table that the trial balance, general ledger, and all financial statements read from.</w:t>
      </w:r>
    </w:p>
    <w:p>
      <w:pPr>
        <w:pStyle w:val="Heading3"/>
      </w:pPr>
      <w:r>
        <w:t xml:space="preserve">Journal entry (header)</w:t>
      </w:r>
    </w:p>
    <w:p>
      <w:pPr>
        <w:pStyle w:val="ListParagraph"/>
        <w:numPr>
          <w:ilvl w:val="0"/>
          <w:numId w:val="2"/>
        </w:numPr>
        <w:spacing w:after="60"/>
      </w:pPr>
      <w:r>
        <w:t xml:space="preserve">entry_id, entry_date, posting period (derived), entry type (invoice, payment, bill, check, deposit, payroll, depreciation, adjusting, closing, opening), source document reference, memo, created_by, created_at, posted/void status, reversal_of (link if this entry reverses another).</w:t>
      </w:r>
    </w:p>
    <w:p>
      <w:pPr>
        <w:pStyle w:val="Heading3"/>
      </w:pPr>
      <w:r>
        <w:t xml:space="preserve">Journal line</w:t>
      </w:r>
    </w:p>
    <w:p>
      <w:pPr>
        <w:pStyle w:val="ListParagraph"/>
        <w:numPr>
          <w:ilvl w:val="0"/>
          <w:numId w:val="2"/>
        </w:numPr>
        <w:spacing w:after="60"/>
      </w:pPr>
      <w:r>
        <w:t xml:space="preserve">line_id, entry_id, account (ref to chart of accounts), debit amount, credit amount (exactly one is non-zero), line memo, optional dimensions: customer, vendor, employee, class/department, tax code.</w:t>
      </w:r>
    </w:p>
    <w:p>
      <w:pPr>
        <w:spacing w:after="120" w:before="0"/>
      </w:pPr>
      <w:r>
        <w:t xml:space="preserve">Hard rule enforced at write time: the sum of debits equals the sum of credits for every entry. An unbalanced entry cannot be saved. The module rejects it; it does not “plug” the difference.</w:t>
      </w:r>
    </w:p>
    <w:p>
      <w:pPr>
        <w:spacing w:after="120" w:before="0"/>
      </w:pPr>
      <w:r>
        <w:t xml:space="preserve">Entries in a locked period are immutable. A correction is a new adjusting entry in an open period, optionally a reversal of the original. The audit trail (section 8.2) records who changed what and when.</w:t>
      </w:r>
    </w:p>
    <w:p>
      <w:pPr>
        <w:pStyle w:val="Heading2"/>
      </w:pPr>
      <w:r>
        <w:t xml:space="preserve">3.4 Bank and credit card accounts — reconciliation</w:t>
      </w:r>
    </w:p>
    <w:p>
      <w:pPr>
        <w:spacing w:after="120" w:before="0"/>
      </w:pPr>
      <w:r>
        <w:t xml:space="preserve">Each reconcilable account supports a reconciliation workflow: import or enter the statement ending balance and date, match ledger transactions to statement lines, mark them cleared, and confirm the cleared balance equals the statement balance. The result is a saved, dated reconciliation report that cannot be silently altered.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Stored per reconciliation</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Notes</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Statement date, statement ending balance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From the bank or card statement.</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Beginning balance</w:t>
            </w:r>
          </w:p>
        </w:tc>
        <w:tc>
          <w:tcPr>
            <w:tcW w:type="dxa" w:w="6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Carried from the prior reconciliation.</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List of cleared transactions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Each links to its journal entry line.</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Cleared balance, difference</w:t>
            </w:r>
          </w:p>
        </w:tc>
        <w:tc>
          <w:tcPr>
            <w:tcW w:type="dxa" w:w="6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Difference must be zero to finalize.</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Reconciled-on date, reconciled-by</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Audit fields.</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Status</w:t>
            </w:r>
          </w:p>
        </w:tc>
        <w:tc>
          <w:tcPr>
            <w:tcW w:type="dxa" w:w="6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In progress, finalized. Finalized reconciliations are part of the year-end package.</w:t>
            </w:r>
          </w:p>
        </w:tc>
      </w:tr>
    </w:tbl>
    <w:p>
      <w:pPr>
        <w:spacing w:after="120" w:before="0"/>
      </w:pPr>
      <w:r>
        <w:t xml:space="preserve">Bank feed integration (automatic transaction import) is desirable but can follow v1; manual statement reconciliation must work on its own first, because the accountant needs the reconciliation report regardless of how transactions got into the system.</w:t>
      </w:r>
    </w:p>
    <w:p>
      <w:pPr>
        <w:pStyle w:val="Heading2"/>
      </w:pPr>
      <w:r>
        <w:t xml:space="preserve">3.5 Accounts receivable</w:t>
      </w:r>
    </w:p>
    <w:p>
      <w:pPr>
        <w:spacing w:after="120" w:before="0"/>
      </w:pPr>
      <w:r>
        <w:t xml:space="preserve">Customers, invoices, and payments received. AR exists so the balance sheet shows what is owed to the business and so the accountant can convert between cash and accrual.</w:t>
      </w:r>
    </w:p>
    <w:p>
      <w:pPr>
        <w:pStyle w:val="ListParagraph"/>
        <w:numPr>
          <w:ilvl w:val="0"/>
          <w:numId w:val="2"/>
        </w:numPr>
        <w:spacing w:after="60"/>
      </w:pPr>
      <w:r>
        <w:t xml:space="preserve">Customer: name, billing address, TIN (if needed), terms, opening balance.</w:t>
      </w:r>
    </w:p>
    <w:p>
      <w:pPr>
        <w:pStyle w:val="ListParagraph"/>
        <w:numPr>
          <w:ilvl w:val="0"/>
          <w:numId w:val="2"/>
        </w:numPr>
        <w:spacing w:after="60"/>
      </w:pPr>
      <w:r>
        <w:t xml:space="preserve">Invoice: number, customer, date, due date, line items (each posts to an income account, optional sales tax code), subtotal, tax, total, status (open, partial, paid, void).</w:t>
      </w:r>
    </w:p>
    <w:p>
      <w:pPr>
        <w:pStyle w:val="ListParagraph"/>
        <w:numPr>
          <w:ilvl w:val="0"/>
          <w:numId w:val="2"/>
        </w:numPr>
        <w:spacing w:after="60"/>
      </w:pPr>
      <w:r>
        <w:t xml:space="preserve">Payment received: date, customer, amount, deposit-to account, invoices applied. Posts a journal entry debiting cash (or undeposited funds) and crediting AR.</w:t>
      </w:r>
    </w:p>
    <w:p>
      <w:pPr>
        <w:spacing w:after="120" w:before="0"/>
      </w:pPr>
      <w:r>
        <w:t xml:space="preserve">Every invoice and payment posts to the ledger automatically. AR aging is a report over open invoices grouped by age bucket; it is not a separate ledger.</w:t>
      </w:r>
    </w:p>
    <w:p>
      <w:pPr>
        <w:pStyle w:val="Heading2"/>
      </w:pPr>
      <w:r>
        <w:t xml:space="preserve">3.6 Accounts payable</w:t>
      </w:r>
    </w:p>
    <w:p>
      <w:pPr>
        <w:spacing w:after="120" w:before="0"/>
      </w:pPr>
      <w:r>
        <w:t xml:space="preserve">Vendors, bills, and payments made. AP carries the 1099 data, so vendor records are richer than customer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Vendor field</w:t>
            </w:r>
          </w:p>
        </w:tc>
        <w:tc>
          <w:tcPr>
            <w:tcW w:type="dxa" w:w="69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Notes</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Name, address</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As it must appear on a 1099.</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TIN / EIN / SSN</w:t>
            </w:r>
          </w:p>
        </w:tc>
        <w:tc>
          <w:tcPr>
            <w:tcW w:type="dxa" w:w="69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Required to issue a 1099. Collected from the vendor’s W-9.</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1099 eligible</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Boolean. True for unincorporated service providers. Corporations are generally exempt.</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1099 box</w:t>
            </w:r>
          </w:p>
        </w:tc>
        <w:tc>
          <w:tcPr>
            <w:tcW w:type="dxa" w:w="69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Which box the payments report in (e.g. NEC box 1, MISC rent box 1).</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Default expense account</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Speeds bill entry; can be overridden per line.</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Payment terms</w:t>
            </w:r>
          </w:p>
        </w:tc>
        <w:tc>
          <w:tcPr>
            <w:tcW w:type="dxa" w:w="69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Drives AP aging due dates.</w:t>
            </w:r>
          </w:p>
        </w:tc>
      </w:tr>
    </w:tbl>
    <w:p>
      <w:pPr>
        <w:pStyle w:val="ListParagraph"/>
        <w:numPr>
          <w:ilvl w:val="0"/>
          <w:numId w:val="2"/>
        </w:numPr>
        <w:spacing w:after="60"/>
      </w:pPr>
      <w:r>
        <w:t xml:space="preserve">Bill: vendor, date, due date, line items posting to expense or asset accounts, total, status.</w:t>
      </w:r>
    </w:p>
    <w:p>
      <w:pPr>
        <w:pStyle w:val="ListParagraph"/>
        <w:numPr>
          <w:ilvl w:val="0"/>
          <w:numId w:val="2"/>
        </w:numPr>
        <w:spacing w:after="60"/>
      </w:pPr>
      <w:r>
        <w:t xml:space="preserve">Bill payment / check / card charge: date, vendor, amount, paid-from account, bills applied. Tracks the payment method and date because 1099 totals are based on the payment date, not the bill date.</w:t>
      </w:r>
    </w:p>
    <w:p>
      <w:pPr>
        <w:spacing w:after="120" w:before="0"/>
      </w:pPr>
      <w:r>
        <w:t xml:space="preserve">The 1099 vendor report sums payments by vendor for the calendar year, filters to 1099-eligible vendors at or above the current threshold, and excludes payments made by credit card or third-party network (those are reported by the card processor on 1099-K, not by the business).</w:t>
      </w:r>
    </w:p>
    <w:p>
      <w:pPr>
        <w:pStyle w:val="Heading2"/>
      </w:pPr>
      <w:r>
        <w:t xml:space="preserve">3.7 Payroll data</w:t>
      </w:r>
    </w:p>
    <w:p>
      <w:pPr>
        <w:spacing w:after="120" w:before="0"/>
      </w:pPr>
      <w:r>
        <w:t xml:space="preserve">The module is not required to run payroll calculations in v1 — many small businesses use an outside payroll service. But it must store payroll results at enough detail to produce Form 941, W-2, Form 940, and state filing data, and to post the payroll journal entry. If payroll is run by an outside service, this data is imported; if run in-module, it is calculated. Either way the storage shape is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Stored per pay run / per employee</w:t>
            </w:r>
          </w:p>
        </w:tc>
        <w:tc>
          <w:tcPr>
            <w:tcW w:type="dxa" w:w="68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Notes</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Employee: name, SSN, address, hire/term dates, status</w:t>
            </w:r>
          </w:p>
        </w:tc>
        <w:tc>
          <w:tcPr>
            <w:tcW w:type="dxa" w:w="68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W-2 requires name, SSN, address.</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Pay date, pay period start/end</w:t>
            </w:r>
          </w:p>
        </w:tc>
        <w:tc>
          <w:tcPr>
            <w:tcW w:type="dxa" w:w="68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941 and state returns are by quarter based on pay date.</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Gross wages by type</w:t>
            </w:r>
          </w:p>
        </w:tc>
        <w:tc>
          <w:tcPr>
            <w:tcW w:type="dxa" w:w="68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Regular, overtime, bonus, etc. Some types affect taxable wages differently.</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Federal income tax withheld</w:t>
            </w:r>
          </w:p>
        </w:tc>
        <w:tc>
          <w:tcPr>
            <w:tcW w:type="dxa" w:w="68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Feeds 941 line for FIT, and W-2 box 2.</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Social Security wages and tax</w:t>
            </w:r>
          </w:p>
        </w:tc>
        <w:tc>
          <w:tcPr>
            <w:tcW w:type="dxa" w:w="68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Employee and employer share. Wages capped at the annual wage base ($184,500 for 2026). W-2 boxes 3 and 4.</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Medicare wages and tax</w:t>
            </w:r>
          </w:p>
        </w:tc>
        <w:tc>
          <w:tcPr>
            <w:tcW w:type="dxa" w:w="68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Employee and employer share, plus Additional Medicare withholding above the threshold. W-2 boxes 5 and 6.</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State income tax withheld, by state</w:t>
            </w:r>
          </w:p>
        </w:tc>
        <w:tc>
          <w:tcPr>
            <w:tcW w:type="dxa" w:w="68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Feeds state withholding returns and W-2 boxes 15–17.</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State unemployment wages and tax</w:t>
            </w:r>
          </w:p>
        </w:tc>
        <w:tc>
          <w:tcPr>
            <w:tcW w:type="dxa" w:w="68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Taxable wages capped at each state’s wage base.</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Federal unemployment (FUTA) wages</w:t>
            </w:r>
          </w:p>
        </w:tc>
        <w:tc>
          <w:tcPr>
            <w:tcW w:type="dxa" w:w="68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For Form 940.</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Pre-tax and post-tax deductions</w:t>
            </w:r>
          </w:p>
        </w:tc>
        <w:tc>
          <w:tcPr>
            <w:tcW w:type="dxa" w:w="68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Retirement, health, garnishments. Affects taxable wage bases.</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Employer tax liability and deposits</w:t>
            </w:r>
          </w:p>
        </w:tc>
        <w:tc>
          <w:tcPr>
            <w:tcW w:type="dxa" w:w="68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Deposit date and amount, for the 941 deposit schedule.</w:t>
            </w:r>
          </w:p>
        </w:tc>
      </w:tr>
    </w:tbl>
    <w:p>
      <w:pPr>
        <w:spacing w:after="120" w:before="0"/>
      </w:pPr>
      <w:r>
        <w:t xml:space="preserve">Wage-base constants (Social Security wage base, FUTA base, state bases, Additional Medicare threshold) must live in a dated configuration table, not in code, so a new year is a data update rather than a release.</w:t>
      </w:r>
    </w:p>
    <w:p>
      <w:pPr>
        <w:pStyle w:val="Heading2"/>
      </w:pPr>
      <w:r>
        <w:t xml:space="preserve">3.8 Fixed assets and depreciation</w:t>
      </w:r>
    </w:p>
    <w:p>
      <w:pPr>
        <w:spacing w:after="120" w:before="0"/>
      </w:pPr>
      <w:r>
        <w:t xml:space="preserve">Fixed assets drive the depreciation schedule, which feeds Form 4562 and the balance sheet. The module maintains a book depreciation schedule; it does not need to compute every IRS depreciation convention, but it must store enough that the accountant can compute tax depreciation and reconcile.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Asset field</w:t>
            </w:r>
          </w:p>
        </w:tc>
        <w:tc>
          <w:tcPr>
            <w:tcW w:type="dxa" w:w="68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Notes</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Description, asset class/category</w:t>
            </w:r>
          </w:p>
        </w:tc>
        <w:tc>
          <w:tcPr>
            <w:tcW w:type="dxa" w:w="68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e.g. computer equipment, furniture, vehicles.</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Acquisition date, placed-in-service date</w:t>
            </w:r>
          </w:p>
        </w:tc>
        <w:tc>
          <w:tcPr>
            <w:tcW w:type="dxa" w:w="68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Placed-in-service date drives the first year of depreciation.</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Cost basis</w:t>
            </w:r>
          </w:p>
        </w:tc>
        <w:tc>
          <w:tcPr>
            <w:tcW w:type="dxa" w:w="68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Purchase price plus capitalizable costs.</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Depreciation method, useful life, convention</w:t>
            </w:r>
          </w:p>
        </w:tc>
        <w:tc>
          <w:tcPr>
            <w:tcW w:type="dxa" w:w="68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Straight-line at minimum; allow declining-balance. Store the convention (half-year, mid-quarter, mid-month).</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Section 179 / bonus depreciation taken</w:t>
            </w:r>
          </w:p>
        </w:tc>
        <w:tc>
          <w:tcPr>
            <w:tcW w:type="dxa" w:w="68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Stored so the accountant can reconcile book to tax.</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Accumulated depreciation, current-year depreciation</w:t>
            </w:r>
          </w:p>
        </w:tc>
        <w:tc>
          <w:tcPr>
            <w:tcW w:type="dxa" w:w="68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Posted to the ledger via a periodic depreciation entry.</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Disposal date, proceeds, gain/loss</w:t>
            </w:r>
          </w:p>
        </w:tc>
        <w:tc>
          <w:tcPr>
            <w:tcW w:type="dxa" w:w="68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When sold or scrapped; drives the disposition entry and the 4562/4797 data.</w:t>
            </w:r>
          </w:p>
        </w:tc>
      </w:tr>
    </w:tbl>
    <w:p>
      <w:pPr>
        <w:spacing w:after="120" w:before="0"/>
      </w:pPr>
      <w:r>
        <w:t xml:space="preserve">The depreciation schedule report lists every asset with cost, prior accumulated depreciation, current-year depreciation, ending accumulated depreciation, and net book value. It must reconcile to the Fixed Asset and Accumulated Depreciation accounts on the balance sheet.</w:t>
      </w:r>
    </w:p>
    <w:p>
      <w:pPr>
        <w:pStyle w:val="Heading2"/>
      </w:pPr>
      <w:r>
        <w:t xml:space="preserve">3.9 Sales tax</w:t>
      </w:r>
    </w:p>
    <w:p>
      <w:pPr>
        <w:spacing w:after="120" w:before="0"/>
      </w:pPr>
      <w:r>
        <w:t xml:space="preserve">For businesses that collect sales tax, the module tracks tax by jurisdiction so returns can be filed and the liability is correct on the balance sheet.</w:t>
      </w:r>
    </w:p>
    <w:p>
      <w:pPr>
        <w:pStyle w:val="ListParagraph"/>
        <w:numPr>
          <w:ilvl w:val="0"/>
          <w:numId w:val="2"/>
        </w:numPr>
        <w:spacing w:after="60"/>
      </w:pPr>
      <w:r>
        <w:t xml:space="preserve">Tax code / rate: jurisdiction, rate, effective dates. Support combined rates (state + county + city) that report to the same return.</w:t>
      </w:r>
    </w:p>
    <w:p>
      <w:pPr>
        <w:pStyle w:val="ListParagraph"/>
        <w:numPr>
          <w:ilvl w:val="0"/>
          <w:numId w:val="2"/>
        </w:numPr>
        <w:spacing w:after="60"/>
      </w:pPr>
      <w:r>
        <w:t xml:space="preserve">Taxable vs. exempt flag on each invoice line, with exemption reason where exempt.</w:t>
      </w:r>
    </w:p>
    <w:p>
      <w:pPr>
        <w:pStyle w:val="ListParagraph"/>
        <w:numPr>
          <w:ilvl w:val="0"/>
          <w:numId w:val="2"/>
        </w:numPr>
        <w:spacing w:after="60"/>
      </w:pPr>
      <w:r>
        <w:t xml:space="preserve">Sales tax payable account, credited when tax is charged, debited when the return is paid.</w:t>
      </w:r>
    </w:p>
    <w:p>
      <w:pPr>
        <w:pStyle w:val="ListParagraph"/>
        <w:numPr>
          <w:ilvl w:val="0"/>
          <w:numId w:val="2"/>
        </w:numPr>
        <w:spacing w:after="60"/>
      </w:pPr>
      <w:r>
        <w:t xml:space="preserve">Sales Tax Liability report: taxable sales, exempt sales, tax collected, by jurisdiction, for any date range, matching the filing frequency.</w:t>
      </w:r>
    </w:p>
    <w:p>
      <w:r>
        <w:br w:type="page"/>
      </w:r>
    </w:p>
    <w:p>
      <w:pPr>
        <w:pStyle w:val="Heading1"/>
      </w:pPr>
      <w:r>
        <w:t xml:space="preserve">4. Accounting Integrity Rules</w:t>
      </w:r>
    </w:p>
    <w:p>
      <w:pPr>
        <w:spacing w:after="120" w:before="0"/>
      </w:pPr>
      <w:r>
        <w:t xml:space="preserve">These rules are what make an accountant trust the export. They are requirements, not preferences, and they should be enforced by the data layer rather than the UI.</w:t>
      </w:r>
    </w:p>
    <w:p>
      <w:pPr>
        <w:pStyle w:val="ListParagraph"/>
        <w:numPr>
          <w:ilvl w:val="0"/>
          <w:numId w:val="3"/>
        </w:numPr>
        <w:spacing w:after="60"/>
      </w:pPr>
      <w:r>
        <w:t xml:space="preserve">Debits equal credits on every entry. Enforced at save. No exceptions, no rounding plugs.</w:t>
      </w:r>
    </w:p>
    <w:p>
      <w:pPr>
        <w:pStyle w:val="ListParagraph"/>
        <w:numPr>
          <w:ilvl w:val="0"/>
          <w:numId w:val="3"/>
        </w:numPr>
        <w:spacing w:after="60"/>
      </w:pPr>
      <w:r>
        <w:t xml:space="preserve">The trial balance always nets to zero. If it ever does not, that is a P0 data-integrity bug.</w:t>
      </w:r>
    </w:p>
    <w:p>
      <w:pPr>
        <w:pStyle w:val="ListParagraph"/>
        <w:numPr>
          <w:ilvl w:val="0"/>
          <w:numId w:val="3"/>
        </w:numPr>
        <w:spacing w:after="60"/>
      </w:pPr>
      <w:r>
        <w:t xml:space="preserve">Posted transactions are never hard-deleted. Void or reverse, with the original retained and the reversal linked to it.</w:t>
      </w:r>
    </w:p>
    <w:p>
      <w:pPr>
        <w:pStyle w:val="ListParagraph"/>
        <w:numPr>
          <w:ilvl w:val="0"/>
          <w:numId w:val="3"/>
        </w:numPr>
        <w:spacing w:after="60"/>
      </w:pPr>
      <w:r>
        <w:t xml:space="preserve">Period locking. An administrator can lock a period (quarter or year) after filing. Locked periods reject new postings and edits. Corrections post to the next open period.</w:t>
      </w:r>
    </w:p>
    <w:p>
      <w:pPr>
        <w:pStyle w:val="ListParagraph"/>
        <w:numPr>
          <w:ilvl w:val="0"/>
          <w:numId w:val="3"/>
        </w:numPr>
        <w:spacing w:after="60"/>
      </w:pPr>
      <w:r>
        <w:t xml:space="preserve">Opening balances are a real opening journal entry, dated the first day of the first period, so the ledger is internally complete.</w:t>
      </w:r>
    </w:p>
    <w:p>
      <w:pPr>
        <w:pStyle w:val="ListParagraph"/>
        <w:numPr>
          <w:ilvl w:val="0"/>
          <w:numId w:val="3"/>
        </w:numPr>
        <w:spacing w:after="60"/>
      </w:pPr>
      <w:r>
        <w:t xml:space="preserve">Retained earnings roll forward. At year-end close, net income moves to retained earnings (or to owner equity / member capital per entity type). The closing entry is explicit and visible in the ledger.</w:t>
      </w:r>
    </w:p>
    <w:p>
      <w:pPr>
        <w:pStyle w:val="ListParagraph"/>
        <w:numPr>
          <w:ilvl w:val="0"/>
          <w:numId w:val="3"/>
        </w:numPr>
        <w:spacing w:after="60"/>
      </w:pPr>
      <w:r>
        <w:t xml:space="preserve">Cash vs. accrual is a reporting transformation over one ledger. The module stores accrual-basis transactions (invoices, bills) and derives cash-basis reports by excluding the open-AR and open-AP portions. It does not keep two sets of books.</w:t>
      </w:r>
    </w:p>
    <w:p>
      <w:pPr>
        <w:pStyle w:val="ListParagraph"/>
        <w:numPr>
          <w:ilvl w:val="0"/>
          <w:numId w:val="3"/>
        </w:numPr>
        <w:spacing w:after="60"/>
      </w:pPr>
      <w:r>
        <w:t xml:space="preserve">Every report and export is reproducible. Running the same report for the same date range on the same data always returns the same numbers. Reports are pure functions of the ledger plus the as-of date.</w:t>
      </w:r>
    </w:p>
    <w:p>
      <w:pPr>
        <w:pStyle w:val="ListParagraph"/>
        <w:numPr>
          <w:ilvl w:val="0"/>
          <w:numId w:val="3"/>
        </w:numPr>
        <w:spacing w:after="60"/>
      </w:pPr>
      <w:r>
        <w:t xml:space="preserve">Each export carries a generation timestamp and the basis (cash/accrual) and date range it was run for. An accountant must never have to guess what they are looking at.</w:t>
      </w:r>
    </w:p>
    <w:p>
      <w:r>
        <w:br w:type="page"/>
      </w:r>
    </w:p>
    <w:p>
      <w:pPr>
        <w:pStyle w:val="Heading1"/>
      </w:pPr>
      <w:r>
        <w:t xml:space="preserve">5. Tax-Line Mapping</w:t>
      </w:r>
    </w:p>
    <w:p>
      <w:pPr>
        <w:spacing w:after="120" w:before="0"/>
      </w:pPr>
      <w:r>
        <w:t xml:space="preserve">Tax-line mapping is the bridge between the chart of accounts and the tax return. Each account is assigned a tax-line code; the code resolves to a specific line on the entity’s federal return. This is what lets the module produce a tax-line mapping report that an accountant can take straight into their tax software — the same concept QuickBooks and Xero implement, and the feature that most reduces year-end labor.</w:t>
      </w:r>
    </w:p>
    <w:p>
      <w:pPr>
        <w:pStyle w:val="Heading2"/>
      </w:pPr>
      <w:r>
        <w:t xml:space="preserve">5.1 How it works</w:t>
      </w:r>
    </w:p>
    <w:p>
      <w:pPr>
        <w:pStyle w:val="ListParagraph"/>
        <w:numPr>
          <w:ilvl w:val="0"/>
          <w:numId w:val="2"/>
        </w:numPr>
        <w:spacing w:after="60"/>
      </w:pPr>
      <w:r>
        <w:t xml:space="preserve">A tax-line code table is keyed by entity type. The same expense account maps to a different line number depending on whether the business files Schedule C, 1065, 1120-S, or 1120 — but the categories are nearly identical across forms, so the mapping is mostly a lookup of the right line label.</w:t>
      </w:r>
    </w:p>
    <w:p>
      <w:pPr>
        <w:pStyle w:val="ListParagraph"/>
        <w:numPr>
          <w:ilvl w:val="0"/>
          <w:numId w:val="2"/>
        </w:numPr>
        <w:spacing w:after="60"/>
      </w:pPr>
      <w:r>
        <w:t xml:space="preserve">When entity type is set, the module loads that entity’s tax-line set. The default chart of accounts ships pre-mapped.</w:t>
      </w:r>
    </w:p>
    <w:p>
      <w:pPr>
        <w:pStyle w:val="ListParagraph"/>
        <w:numPr>
          <w:ilvl w:val="0"/>
          <w:numId w:val="2"/>
        </w:numPr>
        <w:spacing w:after="60"/>
      </w:pPr>
      <w:r>
        <w:t xml:space="preserve">Any account with no tax-line code is flagged on the year-end export as “unmapped” so it is resolved before the export goes to the accountant, not after.</w:t>
      </w:r>
    </w:p>
    <w:p>
      <w:pPr>
        <w:pStyle w:val="ListParagraph"/>
        <w:numPr>
          <w:ilvl w:val="0"/>
          <w:numId w:val="2"/>
        </w:numPr>
        <w:spacing w:after="60"/>
      </w:pPr>
      <w:r>
        <w:t xml:space="preserve">The mapping is editable. Accountants have preferences; the user (or their accountant) can re-point any account.</w:t>
      </w:r>
    </w:p>
    <w:p>
      <w:pPr>
        <w:pStyle w:val="Heading2"/>
      </w:pPr>
      <w:r>
        <w:t xml:space="preserve">5.2 Representative mapping — income and expense</w:t>
      </w:r>
    </w:p>
    <w:p>
      <w:pPr>
        <w:spacing w:after="120" w:before="0"/>
      </w:pPr>
      <w:r>
        <w:t xml:space="preserve">The table below shows how common accounts map across the four return types. Line numbers follow current federal forms and should be stored as data, reviewed each tax year. This is representative, not the complete set; the full table is an implementation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50"/>
        <w:gridCol w:w="1850"/>
        <w:gridCol w:w="17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Account category</w:t>
            </w:r>
          </w:p>
        </w:tc>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Schedule C</w:t>
            </w:r>
          </w:p>
        </w:tc>
        <w:tc>
          <w:tcPr>
            <w:tcW w:type="dxa" w:w="18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Form 1065</w:t>
            </w:r>
          </w:p>
        </w:tc>
        <w:tc>
          <w:tcPr>
            <w:tcW w:type="dxa" w:w="18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Form 1120-S</w:t>
            </w:r>
          </w:p>
        </w:tc>
        <w:tc>
          <w:tcPr>
            <w:tcW w:type="dxa" w:w="1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Form 1120</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Gross receipts / sales</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1</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1a</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1a</w:t>
            </w:r>
          </w:p>
        </w:tc>
        <w:tc>
          <w:tcPr>
            <w:tcW w:type="dxa" w:w="1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1a</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Returns &amp; allowances</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2</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1b</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1b</w:t>
            </w:r>
          </w:p>
        </w:tc>
        <w:tc>
          <w:tcPr>
            <w:tcW w:type="dxa" w:w="1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1b</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Cost of goods sold</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4 / Part III</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2 / Form 1125-A</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2 / Form 1125-A</w:t>
            </w:r>
          </w:p>
        </w:tc>
        <w:tc>
          <w:tcPr>
            <w:tcW w:type="dxa" w:w="1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2 / Form 1125-A</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Advertising</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8</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20</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19</w:t>
            </w:r>
          </w:p>
        </w:tc>
        <w:tc>
          <w:tcPr>
            <w:tcW w:type="dxa" w:w="1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22</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Car &amp; truck</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9</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20</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19</w:t>
            </w:r>
          </w:p>
        </w:tc>
        <w:tc>
          <w:tcPr>
            <w:tcW w:type="dxa" w:w="1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22</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Contract labor</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11</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20</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19</w:t>
            </w:r>
          </w:p>
        </w:tc>
        <w:tc>
          <w:tcPr>
            <w:tcW w:type="dxa" w:w="1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22</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Depreciation</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13</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16a</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14</w:t>
            </w:r>
          </w:p>
        </w:tc>
        <w:tc>
          <w:tcPr>
            <w:tcW w:type="dxa" w:w="1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20</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Insurance</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15</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20</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19</w:t>
            </w:r>
          </w:p>
        </w:tc>
        <w:tc>
          <w:tcPr>
            <w:tcW w:type="dxa" w:w="1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22</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Interest expense</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Lines 16a/16b</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15</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13</w:t>
            </w:r>
          </w:p>
        </w:tc>
        <w:tc>
          <w:tcPr>
            <w:tcW w:type="dxa" w:w="1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18</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Legal &amp; professional</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17</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20</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19</w:t>
            </w:r>
          </w:p>
        </w:tc>
        <w:tc>
          <w:tcPr>
            <w:tcW w:type="dxa" w:w="1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22</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Office expense</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18</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20</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19</w:t>
            </w:r>
          </w:p>
        </w:tc>
        <w:tc>
          <w:tcPr>
            <w:tcW w:type="dxa" w:w="1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22</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Rent</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20</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13</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11</w:t>
            </w:r>
          </w:p>
        </w:tc>
        <w:tc>
          <w:tcPr>
            <w:tcW w:type="dxa" w:w="1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16</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Repairs &amp; maintenance</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21</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14</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12</w:t>
            </w:r>
          </w:p>
        </w:tc>
        <w:tc>
          <w:tcPr>
            <w:tcW w:type="dxa" w:w="1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17</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Supplies</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22</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20</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19</w:t>
            </w:r>
          </w:p>
        </w:tc>
        <w:tc>
          <w:tcPr>
            <w:tcW w:type="dxa" w:w="1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22</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Taxes &amp; licenses</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23</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14</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12</w:t>
            </w:r>
          </w:p>
        </w:tc>
        <w:tc>
          <w:tcPr>
            <w:tcW w:type="dxa" w:w="1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17</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Travel</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24a</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20</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19</w:t>
            </w:r>
          </w:p>
        </w:tc>
        <w:tc>
          <w:tcPr>
            <w:tcW w:type="dxa" w:w="1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22</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Meals</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24b</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20</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19</w:t>
            </w:r>
          </w:p>
        </w:tc>
        <w:tc>
          <w:tcPr>
            <w:tcW w:type="dxa" w:w="1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22</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Utilities</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25</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20</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19</w:t>
            </w:r>
          </w:p>
        </w:tc>
        <w:tc>
          <w:tcPr>
            <w:tcW w:type="dxa" w:w="1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Line 22</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Wages / salaries</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26</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9</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8</w:t>
            </w:r>
          </w:p>
        </w:tc>
        <w:tc>
          <w:tcPr>
            <w:tcW w:type="dxa" w:w="1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Line 13</w:t>
            </w:r>
          </w:p>
        </w:tc>
      </w:tr>
    </w:tbl>
    <w:p>
      <w:pPr>
        <w:pStyle w:val="Heading2"/>
      </w:pPr>
      <w:r>
        <w:t xml:space="preserve">5.3 Balance sheet mapping</w:t>
      </w:r>
    </w:p>
    <w:p>
      <w:pPr>
        <w:spacing w:after="120" w:before="0"/>
      </w:pPr>
      <w:r>
        <w:t xml:space="preserve">Partnerships, S corporations, and C corporations must file a balance sheet (Schedule L) when they exceed the size thresholds, and most accountants want one regardless. Asset, liability, and equity accounts map to Schedule L lines. Equity is where entity type matters most: a sole proprietor has owner’s capital and draws; a partnership has partners’ capital accounts; an S corp has common stock, additional paid-in capital, retained earnings, and distributions; a C corp has stock, paid-in capital, and retained earnings. The default chart per entity type must carry the correct equity structure so the mapping is right out of the box.</w:t>
      </w:r>
    </w:p>
    <w:p>
      <w:r>
        <w:br w:type="page"/>
      </w:r>
    </w:p>
    <w:p>
      <w:pPr>
        <w:pStyle w:val="Heading1"/>
      </w:pPr>
      <w:r>
        <w:t xml:space="preserve">6. Required Reports</w:t>
      </w:r>
    </w:p>
    <w:p>
      <w:pPr>
        <w:spacing w:after="120" w:before="0"/>
      </w:pPr>
      <w:r>
        <w:t xml:space="preserve">Reports are read-only views over the ledger. Every report below must support a date range (or as-of date), a cash/accrual toggle where meaningful, and export to CSV and PDF. Each report shows on screen what the export contains — no hidden columns.</w:t>
      </w:r>
    </w:p>
    <w:p>
      <w:pPr>
        <w:pStyle w:val="Heading2"/>
      </w:pPr>
      <w:r>
        <w:t xml:space="preserve">6.1 Core financial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Report</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Specification</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Trial Balance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Every account with its debit or credit balance as of a date. Columns: account number, name, debit, credit. Totals must be equal. Support a comparative column (prior year-end). This is the first thing the accountant opens.</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General Ledger</w:t>
            </w:r>
          </w:p>
        </w:tc>
        <w:tc>
          <w:tcPr>
            <w:tcW w:type="dxa" w:w="6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Every transaction, grouped by account, for a date range. Per line: date, entry type, reference, memo, debit, credit, running balance. Per account: opening balance, activity, closing balance. This is the audit-level detail.</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Profit &amp; Loss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Income and expense by account for a date range, with subtotals for gross profit, operating income, and net income. Cash/accrual toggle. Comparative period column. Optional class/department breakdown.</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Balance Sheet</w:t>
            </w:r>
          </w:p>
        </w:tc>
        <w:tc>
          <w:tcPr>
            <w:tcW w:type="dxa" w:w="6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Assets, liabilities, equity as of a date, with prior-year comparative. Must balance. Cash/accrual toggle.</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Statement of Cash Flows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Operating, investing, financing activities for a date range. Indirect method is sufficient for v1.</w:t>
            </w:r>
          </w:p>
        </w:tc>
      </w:tr>
    </w:tbl>
    <w:p>
      <w:pPr>
        <w:pStyle w:val="Heading2"/>
      </w:pPr>
      <w:r>
        <w:t xml:space="preserve">6.2 Subledger and supporting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Report</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Specification</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A/R Aging</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Open invoices by customer, bucketed current / 1–30 / 31–60 / 61–90 / 90+. As-of date. Total ties to the AR account on the balance sheet.</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A/P Aging</w:t>
            </w:r>
          </w:p>
        </w:tc>
        <w:tc>
          <w:tcPr>
            <w:tcW w:type="dxa" w:w="6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Open bills by vendor, same buckets. Total ties to the AP account.</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Bank/Card Reconciliation report</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Per finalized reconciliation: statement balance, cleared items, cleared balance, any uncleared items, difference (zero). Re-printable for any past reconciliation.</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Depreciation Schedule</w:t>
            </w:r>
          </w:p>
        </w:tc>
        <w:tc>
          <w:tcPr>
            <w:tcW w:type="dxa" w:w="6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Every asset: cost, in-service date, method, prior accumulated depreciation, current-year depreciation, ending accumulated depreciation, net book value. Section 179 / bonus shown separately. Ties to balance sheet.</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Payroll Summary</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By employee and in total, for a date range: gross wages by type, each tax withheld, employer taxes, net pay. Quarter and year-to-date views. Filterable by state.</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Payroll Tax Liability</w:t>
            </w:r>
          </w:p>
        </w:tc>
        <w:tc>
          <w:tcPr>
            <w:tcW w:type="dxa" w:w="6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Tax accrued vs. deposited, by tax type and period. Drives the 941 deposit schedule and shows any open liability.</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1099 Vendor Report</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1099-eligible vendors with calendar-year payment totals, TIN, address, 1099 box. Flags vendors over the threshold and vendors missing a TIN. Excludes card/third-party payments.</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Sales Tax Liability</w:t>
            </w:r>
          </w:p>
        </w:tc>
        <w:tc>
          <w:tcPr>
            <w:tcW w:type="dxa" w:w="6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Taxable sales, exempt sales, tax collected, by jurisdiction, for the filing period.</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Loan / Note Schedule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Per note: beginning balance, payments split principal vs. interest, ending balance.</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Owner Equity Detail</w:t>
            </w:r>
          </w:p>
        </w:tc>
        <w:tc>
          <w:tcPr>
            <w:tcW w:type="dxa" w:w="6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Contributions and draws/distributions by owner, for the year. Feeds K-1 allocations and basis tracking.</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Tax-Line Mapping report</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Each account, its balance, and the tax line it maps to, grouped by tax line. Unmapped accounts listed at the top as exceptions.</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Transaction Detail by Account</w:t>
            </w:r>
          </w:p>
        </w:tc>
        <w:tc>
          <w:tcPr>
            <w:tcW w:type="dxa" w:w="6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Flexible drill-down: all transactions hitting a chosen account or set of accounts, any date range. The accountant’s investigation tool.</w:t>
            </w:r>
          </w:p>
        </w:tc>
      </w:tr>
    </w:tbl>
    <w:p>
      <w:r>
        <w:br w:type="page"/>
      </w:r>
    </w:p>
    <w:p>
      <w:pPr>
        <w:pStyle w:val="Heading1"/>
      </w:pPr>
      <w:r>
        <w:t xml:space="preserve">7. Export Formats and File Specifications</w:t>
      </w:r>
    </w:p>
    <w:p>
      <w:pPr>
        <w:spacing w:after="120" w:before="0"/>
      </w:pPr>
      <w:r>
        <w:t xml:space="preserve">Exports are the deliverable. The principle in section 1 applies here above all: use the formats tax and accounting software already imports. Do not invent a format.</w:t>
      </w:r>
    </w:p>
    <w:p>
      <w:pPr>
        <w:pStyle w:val="Heading2"/>
      </w:pPr>
      <w:r>
        <w:t xml:space="preserve">7.1 General-purpose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Format</w:t>
            </w:r>
          </w:p>
        </w:tc>
        <w:tc>
          <w:tcPr>
            <w:tcW w:type="dxa" w:w="7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Use and requirement</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CSV</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Every report exports to CSV. Because CSV is free-form, the module must be rigid and consistent: ISO dates (YYYY-MM-DD), no thousands separators, period as the decimal, negative numbers with a leading minus (not parentheses), UTF-8, one header row, one record per row. Document the column layout for each report.</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Excel (XLSX)</w:t>
            </w:r>
          </w:p>
        </w:tc>
        <w:tc>
          <w:tcPr>
            <w:tcW w:type="dxa" w:w="71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The core financial statements also export to XLSX with formatting preserved — most accountants work in Excel. Numbers must be real numbers, not text.</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PDF</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Every report exports to PDF for the read-only record copy and for clients who just want to look.</w:t>
            </w:r>
          </w:p>
        </w:tc>
      </w:tr>
    </w:tbl>
    <w:p>
      <w:pPr>
        <w:pStyle w:val="Heading2"/>
      </w:pPr>
      <w:r>
        <w:t xml:space="preserve">7.2 Accountant interchange formats</w:t>
      </w:r>
    </w:p>
    <w:p>
      <w:pPr>
        <w:spacing w:after="120" w:before="0"/>
      </w:pPr>
      <w:r>
        <w:t xml:space="preserve">These move data into tax-prep and accounting software without re-keying.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Format</w:t>
            </w:r>
          </w:p>
        </w:tc>
        <w:tc>
          <w:tcPr>
            <w:tcW w:type="dxa" w:w="7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Use and requirement</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Trial Balance CSV</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The workhorse for tax prep. A clean trial balance export — account number, account name, account type, debit, credit, and the mapped tax line — imports into ProConnect, Lacerte, Drake, UltraTax, and Xero. This is the single most valuable interchange file; build it first and well.</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General Ledger export (CSV)</w:t>
            </w:r>
          </w:p>
        </w:tc>
        <w:tc>
          <w:tcPr>
            <w:tcW w:type="dxa" w:w="71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Full transaction detail in a flat layout: date, account number, account name, entry type, reference, name (customer/vendor/employee), memo, debit, credit. This is what an accountant imports or reviews when the trial balance is not enough.</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IIF (Intuit Interchange Format)</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A defined, tab-delimited format that QuickBooks Desktop and many tools import. Support an IIF export of the chart of accounts and journal entries for firms still on QuickBooks Desktop. Lower priority than the CSV exports but real-world useful.</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QBO / QBJ</w:t>
            </w:r>
          </w:p>
        </w:tc>
        <w:tc>
          <w:tcPr>
            <w:tcW w:type="dxa" w:w="71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QuickBooks Online / journal import formats. Consider for a later version; the trial balance and GL CSVs cover most needs.</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1099 export</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A flat file of 1099 vendors and amounts in a layout an e-file service accepts (most accept a documented CSV). Include payer info, recipient name, TIN, address, box amounts.</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W-2 / payroll export</w:t>
            </w:r>
          </w:p>
        </w:tc>
        <w:tc>
          <w:tcPr>
            <w:tcW w:type="dxa" w:w="71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Employee wage and tax totals in a CSV the accountant or payroll service can use to prepare W-2s and reconcile the 941s. The SSA’s EFW2 format is the eventual target; a clean CSV is acceptable for v1.</w:t>
            </w:r>
          </w:p>
        </w:tc>
      </w:tr>
    </w:tbl>
    <w:p>
      <w:pPr>
        <w:pStyle w:val="Heading2"/>
      </w:pPr>
      <w:r>
        <w:t xml:space="preserve">7.3 Field specification — Trial Balance CSV (build this first)</w:t>
      </w:r>
    </w:p>
    <w:p>
      <w:pPr>
        <w:spacing w:after="120" w:before="0"/>
      </w:pPr>
      <w:r>
        <w:t xml:space="preserve">The reference layout. Other CSV exports follow the same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566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Column</w:t>
            </w:r>
          </w:p>
        </w:tc>
        <w:tc>
          <w:tcPr>
            <w:tcW w:type="dxa" w:w="1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Type</w:t>
            </w:r>
          </w:p>
        </w:tc>
        <w:tc>
          <w:tcPr>
            <w:tcW w:type="dxa" w:w="56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Notes</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account_number</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string</w:t>
            </w:r>
          </w:p>
        </w:tc>
        <w:tc>
          <w:tcPr>
            <w:tcW w:type="dxa" w:w="56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Sortable account code.</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account_name</w:t>
            </w:r>
          </w:p>
        </w:tc>
        <w:tc>
          <w:tcPr>
            <w:tcW w:type="dxa" w:w="1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string</w:t>
            </w:r>
          </w:p>
        </w:tc>
        <w:tc>
          <w:tcPr>
            <w:tcW w:type="dxa" w:w="5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Full account name.</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account_type</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string</w:t>
            </w:r>
          </w:p>
        </w:tc>
        <w:tc>
          <w:tcPr>
            <w:tcW w:type="dxa" w:w="56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Asset / Liability / Equity / Income / COGS / Expense / Other Income / Other Expense.</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tax_line</w:t>
            </w:r>
          </w:p>
        </w:tc>
        <w:tc>
          <w:tcPr>
            <w:tcW w:type="dxa" w:w="1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string</w:t>
            </w:r>
          </w:p>
        </w:tc>
        <w:tc>
          <w:tcPr>
            <w:tcW w:type="dxa" w:w="5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Mapped tax-line label for the entity type; empty string if unmapped.</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debit</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decimal</w:t>
            </w:r>
          </w:p>
        </w:tc>
        <w:tc>
          <w:tcPr>
            <w:tcW w:type="dxa" w:w="56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Debit balance, 2 places, blank or 0.00 if none.</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credit</w:t>
            </w:r>
          </w:p>
        </w:tc>
        <w:tc>
          <w:tcPr>
            <w:tcW w:type="dxa" w:w="1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decimal</w:t>
            </w:r>
          </w:p>
        </w:tc>
        <w:tc>
          <w:tcPr>
            <w:tcW w:type="dxa" w:w="5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Credit balance, 2 places, blank or 0.00 if none.</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prior_year_debit</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decimal</w:t>
            </w:r>
          </w:p>
        </w:tc>
        <w:tc>
          <w:tcPr>
            <w:tcW w:type="dxa" w:w="56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Prior year-end comparative (optional column).</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prior_year_credit</w:t>
            </w:r>
          </w:p>
        </w:tc>
        <w:tc>
          <w:tcPr>
            <w:tcW w:type="dxa" w:w="1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decimal</w:t>
            </w:r>
          </w:p>
        </w:tc>
        <w:tc>
          <w:tcPr>
            <w:tcW w:type="dxa" w:w="5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Prior year-end comparative (optional column).</w:t>
            </w:r>
          </w:p>
        </w:tc>
      </w:tr>
    </w:tbl>
    <w:p>
      <w:pPr>
        <w:spacing w:after="120" w:before="0"/>
      </w:pPr>
      <w:r>
        <w:t xml:space="preserve">File-level rules: first row is headers; the export includes a companion metadata line or sidecar noting company name, EIN, basis (cash/accrual), period start, period end, and generation timestamp. Sum of debit equals sum of credit — if not, the export fails with an error rather than producing a bad file.</w:t>
      </w:r>
    </w:p>
    <w:p>
      <w:pPr>
        <w:pStyle w:val="Heading2"/>
      </w:pPr>
      <w:r>
        <w:t xml:space="preserve">7.4 The Year-End Accountant Package</w:t>
      </w:r>
    </w:p>
    <w:p>
      <w:pPr>
        <w:spacing w:after="120" w:before="0"/>
      </w:pPr>
      <w:r>
        <w:t xml:space="preserve">The headline feature. One action — “Export for Accountant” — produces a single dated ZIP containing everything in the section 2.2 checklist for a chosen fiscal year:</w:t>
      </w:r>
    </w:p>
    <w:p>
      <w:pPr>
        <w:pStyle w:val="ListParagraph"/>
        <w:numPr>
          <w:ilvl w:val="0"/>
          <w:numId w:val="2"/>
        </w:numPr>
        <w:spacing w:after="60"/>
      </w:pPr>
      <w:r>
        <w:t xml:space="preserve">Adjusted Trial Balance — CSV and PDF, with tax-line column.</w:t>
      </w:r>
    </w:p>
    <w:p>
      <w:pPr>
        <w:pStyle w:val="ListParagraph"/>
        <w:numPr>
          <w:ilvl w:val="0"/>
          <w:numId w:val="2"/>
        </w:numPr>
        <w:spacing w:after="60"/>
      </w:pPr>
      <w:r>
        <w:t xml:space="preserve">General Ledger — full year, CSV and PDF.</w:t>
      </w:r>
    </w:p>
    <w:p>
      <w:pPr>
        <w:pStyle w:val="ListParagraph"/>
        <w:numPr>
          <w:ilvl w:val="0"/>
          <w:numId w:val="2"/>
        </w:numPr>
        <w:spacing w:after="60"/>
      </w:pPr>
      <w:r>
        <w:t xml:space="preserve">Profit &amp; Loss — cash and accrual, PDF and XLSX.</w:t>
      </w:r>
    </w:p>
    <w:p>
      <w:pPr>
        <w:pStyle w:val="ListParagraph"/>
        <w:numPr>
          <w:ilvl w:val="0"/>
          <w:numId w:val="2"/>
        </w:numPr>
        <w:spacing w:after="60"/>
      </w:pPr>
      <w:r>
        <w:t xml:space="preserve">Balance Sheet — year-end with prior-year comparative, PDF and XLSX.</w:t>
      </w:r>
    </w:p>
    <w:p>
      <w:pPr>
        <w:pStyle w:val="ListParagraph"/>
        <w:numPr>
          <w:ilvl w:val="0"/>
          <w:numId w:val="2"/>
        </w:numPr>
        <w:spacing w:after="60"/>
      </w:pPr>
      <w:r>
        <w:t xml:space="preserve">Statement of Cash Flows — PDF.</w:t>
      </w:r>
    </w:p>
    <w:p>
      <w:pPr>
        <w:pStyle w:val="ListParagraph"/>
        <w:numPr>
          <w:ilvl w:val="0"/>
          <w:numId w:val="2"/>
        </w:numPr>
        <w:spacing w:after="60"/>
      </w:pPr>
      <w:r>
        <w:t xml:space="preserve">All finalized bank and credit card reconciliation reports for the year — PDF.</w:t>
      </w:r>
    </w:p>
    <w:p>
      <w:pPr>
        <w:pStyle w:val="ListParagraph"/>
        <w:numPr>
          <w:ilvl w:val="0"/>
          <w:numId w:val="2"/>
        </w:numPr>
        <w:spacing w:after="60"/>
      </w:pPr>
      <w:r>
        <w:t xml:space="preserve">A/R and A/P aging as of year-end — PDF and CSV.</w:t>
      </w:r>
    </w:p>
    <w:p>
      <w:pPr>
        <w:pStyle w:val="ListParagraph"/>
        <w:numPr>
          <w:ilvl w:val="0"/>
          <w:numId w:val="2"/>
        </w:numPr>
        <w:spacing w:after="60"/>
      </w:pPr>
      <w:r>
        <w:t xml:space="preserve">Depreciation Schedule — PDF and CSV.</w:t>
      </w:r>
    </w:p>
    <w:p>
      <w:pPr>
        <w:pStyle w:val="ListParagraph"/>
        <w:numPr>
          <w:ilvl w:val="0"/>
          <w:numId w:val="2"/>
        </w:numPr>
        <w:spacing w:after="60"/>
      </w:pPr>
      <w:r>
        <w:t xml:space="preserve">Payroll Summary (full year and by quarter), Payroll Tax Liability — PDF and CSV.</w:t>
      </w:r>
    </w:p>
    <w:p>
      <w:pPr>
        <w:pStyle w:val="ListParagraph"/>
        <w:numPr>
          <w:ilvl w:val="0"/>
          <w:numId w:val="2"/>
        </w:numPr>
        <w:spacing w:after="60"/>
      </w:pPr>
      <w:r>
        <w:t xml:space="preserve">1099 Vendor Report — CSV, with the missing-TIN and over-threshold exception list.</w:t>
      </w:r>
    </w:p>
    <w:p>
      <w:pPr>
        <w:pStyle w:val="ListParagraph"/>
        <w:numPr>
          <w:ilvl w:val="0"/>
          <w:numId w:val="2"/>
        </w:numPr>
        <w:spacing w:after="60"/>
      </w:pPr>
      <w:r>
        <w:t xml:space="preserve">Sales Tax Liability summary — PDF and CSV.</w:t>
      </w:r>
    </w:p>
    <w:p>
      <w:pPr>
        <w:pStyle w:val="ListParagraph"/>
        <w:numPr>
          <w:ilvl w:val="0"/>
          <w:numId w:val="2"/>
        </w:numPr>
        <w:spacing w:after="60"/>
      </w:pPr>
      <w:r>
        <w:t xml:space="preserve">Loan/Note schedules and Owner Equity Detail — PDF.</w:t>
      </w:r>
    </w:p>
    <w:p>
      <w:pPr>
        <w:pStyle w:val="ListParagraph"/>
        <w:numPr>
          <w:ilvl w:val="0"/>
          <w:numId w:val="2"/>
        </w:numPr>
        <w:spacing w:after="60"/>
      </w:pPr>
      <w:r>
        <w:t xml:space="preserve">Tax-Line Mapping report, with unmapped accounts flagged — PDF and CSV.</w:t>
      </w:r>
    </w:p>
    <w:p>
      <w:pPr>
        <w:pStyle w:val="ListParagraph"/>
        <w:numPr>
          <w:ilvl w:val="0"/>
          <w:numId w:val="2"/>
        </w:numPr>
        <w:spacing w:after="60"/>
      </w:pPr>
      <w:r>
        <w:t xml:space="preserve">A cover README: company name, EIN, entity type, fiscal year, accounting basis, generation date, and a one-line index of the files.</w:t>
      </w:r>
    </w:p>
    <w:p>
      <w:pPr>
        <w:spacing w:after="120" w:before="0"/>
      </w:pPr>
      <w:r>
        <w:t xml:space="preserve">The package must run a pre-flight check before it builds: trial balance balances, all bank/card accounts reconciled through year-end, no unmapped accounts, no 1099 vendors missing a TIN, no transactions in an undated or suspense account. The user sees the exceptions and can proceed or fix first. An accountant receiving this package should have no follow-up questions about completeness.</w:t>
      </w:r>
    </w:p>
    <w:p>
      <w:pPr>
        <w:pStyle w:val="Heading2"/>
      </w:pPr>
      <w:r>
        <w:t xml:space="preserve">7.5 Quarterly export</w:t>
      </w:r>
    </w:p>
    <w:p>
      <w:pPr>
        <w:spacing w:after="120" w:before="0"/>
      </w:pPr>
      <w:r>
        <w:t xml:space="preserve">A lighter sibling of the year-end package, scoped to one quarter, focused on the section 2.1 filings: Payroll Summary and Payroll Tax Liability for the quarter (for the 941 and state returns), Sales Tax Liability for the period, and a year-to-date P&amp;L (for the estimated-tax projection). One action, one dated ZIP.</w:t>
      </w:r>
    </w:p>
    <w:p>
      <w:r>
        <w:br w:type="page"/>
      </w:r>
    </w:p>
    <w:p>
      <w:pPr>
        <w:pStyle w:val="Heading1"/>
      </w:pPr>
      <w:r>
        <w:t xml:space="preserve">8. Cross-Cutting Requirements</w:t>
      </w:r>
    </w:p>
    <w:p>
      <w:pPr>
        <w:pStyle w:val="Heading2"/>
      </w:pPr>
      <w:r>
        <w:t xml:space="preserve">8.1 Multi-entity</w:t>
      </w:r>
    </w:p>
    <w:p>
      <w:pPr>
        <w:spacing w:after="120" w:before="0"/>
      </w:pPr>
      <w:r>
        <w:t xml:space="preserve">CoSpatia® customers include businesses that own related entities, and accountants often serve several clients. The data model keys everything to a company entity so one login can hold multiple sets of books with no data bleed. Reports and exports are always scoped to one company.</w:t>
      </w:r>
    </w:p>
    <w:p>
      <w:pPr>
        <w:pStyle w:val="Heading2"/>
      </w:pPr>
      <w:r>
        <w:t xml:space="preserve">8.2 Audit trail</w:t>
      </w:r>
    </w:p>
    <w:p>
      <w:pPr>
        <w:spacing w:after="120" w:before="0"/>
      </w:pPr>
      <w:r>
        <w:t xml:space="preserve">Every create, edit, void, and reversal of a transaction is logged with user, timestamp, and before/after values. The audit log is exportable. This is what lets an accountant rely on the books and what protects the business in an examination.</w:t>
      </w:r>
    </w:p>
    <w:p>
      <w:pPr>
        <w:pStyle w:val="Heading2"/>
      </w:pPr>
      <w:r>
        <w:t xml:space="preserve">8.3 Accountant access</w:t>
      </w:r>
    </w:p>
    <w:p>
      <w:pPr>
        <w:spacing w:after="120" w:before="0"/>
      </w:pPr>
      <w:r>
        <w:t xml:space="preserve">A role that can be granted to an outside accountant: full read access to all reports and exports, ability to post adjusting journal entries to open periods, no access to operational CoSpatia® data. The accountant works in the books directly instead of waiting on the business owner to run exports.</w:t>
      </w:r>
    </w:p>
    <w:p>
      <w:pPr>
        <w:pStyle w:val="Heading2"/>
      </w:pPr>
      <w:r>
        <w:t xml:space="preserve">8.4 Data import / onboarding</w:t>
      </w:r>
    </w:p>
    <w:p>
      <w:pPr>
        <w:spacing w:after="120" w:before="0"/>
      </w:pPr>
      <w:r>
        <w:t xml:space="preserve">A business switching from other software needs to bring in its chart of accounts, open AR and AP, and a trial balance as of a conversion date. Support a CSV import for each. The opening trial balance posts as the opening journal entry. Without a clean onboarding path the module cannot win customers who already keep books.</w:t>
      </w:r>
    </w:p>
    <w:p>
      <w:pPr>
        <w:pStyle w:val="Heading2"/>
      </w:pPr>
      <w:r>
        <w:t xml:space="preserve">8.5 Precision and rounding</w:t>
      </w:r>
    </w:p>
    <w:p>
      <w:pPr>
        <w:spacing w:after="120" w:before="0"/>
      </w:pPr>
      <w:r>
        <w:t xml:space="preserve">Store amounts to the cent; never let floating-point drift create a one-cent imbalance. All internal math uses fixed-point or integer-cent arithmetic. Rounding happens only at display, never in the ledger.</w:t>
      </w:r>
    </w:p>
    <w:p>
      <w:pPr>
        <w:pStyle w:val="Heading2"/>
      </w:pPr>
      <w:r>
        <w:t xml:space="preserve">8.6 Tax-year configuration</w:t>
      </w:r>
    </w:p>
    <w:p>
      <w:pPr>
        <w:spacing w:after="120" w:before="0"/>
      </w:pPr>
      <w:r>
        <w:t xml:space="preserve">Wage bases, the 1099 threshold, mileage rates, and tax-line numbers all change yearly. Every one of these lives in a dated configuration table. Rolling the module to a new tax year is a data update, reviewed against the current IRS forms, not a code change.</w:t>
      </w:r>
    </w:p>
    <w:p>
      <w:r>
        <w:br w:type="page"/>
      </w:r>
    </w:p>
    <w:p>
      <w:pPr>
        <w:pStyle w:val="Heading1"/>
      </w:pPr>
      <w:r>
        <w:t xml:space="preserve">9. Acceptance Criteria</w:t>
      </w:r>
    </w:p>
    <w:p>
      <w:pPr>
        <w:spacing w:after="120" w:before="0"/>
      </w:pPr>
      <w:r>
        <w:t xml:space="preserve">Version 1 is done when all of the following are true for a test company in each of the four entity types:</w:t>
      </w:r>
    </w:p>
    <w:p>
      <w:pPr>
        <w:pStyle w:val="ListParagraph"/>
        <w:numPr>
          <w:ilvl w:val="0"/>
          <w:numId w:val="3"/>
        </w:numPr>
        <w:spacing w:after="60"/>
      </w:pPr>
      <w:r>
        <w:t xml:space="preserve">Every transaction type (invoice, payment received, bill, bill payment, check, deposit, payroll entry, depreciation entry, manual journal entry) posts a balanced entry to the general ledger.</w:t>
      </w:r>
    </w:p>
    <w:p>
      <w:pPr>
        <w:pStyle w:val="ListParagraph"/>
        <w:numPr>
          <w:ilvl w:val="0"/>
          <w:numId w:val="3"/>
        </w:numPr>
        <w:spacing w:after="60"/>
      </w:pPr>
      <w:r>
        <w:t xml:space="preserve">The trial balance nets to zero at every point in the test.</w:t>
      </w:r>
    </w:p>
    <w:p>
      <w:pPr>
        <w:pStyle w:val="ListParagraph"/>
        <w:numPr>
          <w:ilvl w:val="0"/>
          <w:numId w:val="3"/>
        </w:numPr>
        <w:spacing w:after="60"/>
      </w:pPr>
      <w:r>
        <w:t xml:space="preserve">The balance sheet balances, and net income on the P&amp;L equals the change in retained earnings plus owner activity.</w:t>
      </w:r>
    </w:p>
    <w:p>
      <w:pPr>
        <w:pStyle w:val="ListParagraph"/>
        <w:numPr>
          <w:ilvl w:val="0"/>
          <w:numId w:val="3"/>
        </w:numPr>
        <w:spacing w:after="60"/>
      </w:pPr>
      <w:r>
        <w:t xml:space="preserve">Cash-basis and accrual-basis P&amp;L both produce correct, explainable numbers from the same data.</w:t>
      </w:r>
    </w:p>
    <w:p>
      <w:pPr>
        <w:pStyle w:val="ListParagraph"/>
        <w:numPr>
          <w:ilvl w:val="0"/>
          <w:numId w:val="3"/>
        </w:numPr>
        <w:spacing w:after="60"/>
      </w:pPr>
      <w:r>
        <w:t xml:space="preserve">A period can be locked; postings to it are rejected; an adjusting entry to the next open period works.</w:t>
      </w:r>
    </w:p>
    <w:p>
      <w:pPr>
        <w:pStyle w:val="ListParagraph"/>
        <w:numPr>
          <w:ilvl w:val="0"/>
          <w:numId w:val="3"/>
        </w:numPr>
        <w:spacing w:after="60"/>
      </w:pPr>
      <w:r>
        <w:t xml:space="preserve">Every report in section 6 produces correct output and exports to CSV and PDF.</w:t>
      </w:r>
    </w:p>
    <w:p>
      <w:pPr>
        <w:pStyle w:val="ListParagraph"/>
        <w:numPr>
          <w:ilvl w:val="0"/>
          <w:numId w:val="3"/>
        </w:numPr>
        <w:spacing w:after="60"/>
      </w:pPr>
      <w:r>
        <w:t xml:space="preserve">The Trial Balance CSV imports cleanly into at least one major tax package without manual cleanup.</w:t>
      </w:r>
    </w:p>
    <w:p>
      <w:pPr>
        <w:pStyle w:val="ListParagraph"/>
        <w:numPr>
          <w:ilvl w:val="0"/>
          <w:numId w:val="3"/>
        </w:numPr>
        <w:spacing w:after="60"/>
      </w:pPr>
      <w:r>
        <w:t xml:space="preserve">The Year-End Accountant Package builds, runs its pre-flight check, lists exceptions, and produces a ZIP containing every listed file.</w:t>
      </w:r>
    </w:p>
    <w:p>
      <w:pPr>
        <w:pStyle w:val="ListParagraph"/>
        <w:numPr>
          <w:ilvl w:val="0"/>
          <w:numId w:val="3"/>
        </w:numPr>
        <w:spacing w:after="60"/>
      </w:pPr>
      <w:r>
        <w:t xml:space="preserve">The quarterly export produces the payroll and sales-tax data needed for a Form 941 and a state withholding return.</w:t>
      </w:r>
    </w:p>
    <w:p>
      <w:pPr>
        <w:pStyle w:val="ListParagraph"/>
        <w:numPr>
          <w:ilvl w:val="0"/>
          <w:numId w:val="3"/>
        </w:numPr>
        <w:spacing w:after="60"/>
      </w:pPr>
      <w:r>
        <w:t xml:space="preserve">The 1099 vendor report correctly includes service vendors over the current threshold, excludes corporations and card payments, and flags missing TINs.</w:t>
      </w:r>
    </w:p>
    <w:p>
      <w:pPr>
        <w:pStyle w:val="ListParagraph"/>
        <w:numPr>
          <w:ilvl w:val="0"/>
          <w:numId w:val="3"/>
        </w:numPr>
        <w:spacing w:after="60"/>
      </w:pPr>
      <w:r>
        <w:t xml:space="preserve">A CPA who has not seen CoSpatia® can take the year-end package and prepare the entity’s return without asking the business owner for additional records.</w:t>
      </w:r>
    </w:p>
    <w:p>
      <w:pPr>
        <w:pStyle w:val="Heading2"/>
      </w:pPr>
      <w:r>
        <w:t xml:space="preserve">9.1 Suggested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Phase</w:t>
            </w:r>
          </w:p>
        </w:tc>
        <w:tc>
          <w:tcPr>
            <w:tcW w:type="dxa" w:w="3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Scope</w:t>
            </w:r>
          </w:p>
        </w:tc>
        <w:tc>
          <w:tcPr>
            <w:tcW w:type="dxa" w:w="50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9"/>
                <w:szCs w:val="19"/>
              </w:rPr>
              <w:t xml:space="preserve">Why this order</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1</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Chart of accounts, general ledger, manual journal entries, trial balance, basic financial statements</w:t>
            </w:r>
          </w:p>
        </w:tc>
        <w:tc>
          <w:tcPr>
            <w:tcW w:type="dxa" w:w="50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Nothing else can be correct until the ledger is. Prove double-entry integrity first.</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2</w:t>
            </w:r>
          </w:p>
        </w:tc>
        <w:tc>
          <w:tcPr>
            <w:tcW w:type="dxa" w:w="3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AR, AP, bank/card accounts and reconciliation</w:t>
            </w:r>
          </w:p>
        </w:tc>
        <w:tc>
          <w:tcPr>
            <w:tcW w:type="dxa" w:w="50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The transaction types most businesses use daily; makes the module usable for real bookkeeping.</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3</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Tax-line mapping, default charts per entity type, Trial Balance CSV and GL export</w:t>
            </w:r>
          </w:p>
        </w:tc>
        <w:tc>
          <w:tcPr>
            <w:tcW w:type="dxa" w:w="50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The first point at which the export is genuinely useful to an accountant.</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4</w:t>
            </w:r>
          </w:p>
        </w:tc>
        <w:tc>
          <w:tcPr>
            <w:tcW w:type="dxa" w:w="3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Payroll data storage, fixed assets/depreciation, sales tax, supporting reports</w:t>
            </w:r>
          </w:p>
        </w:tc>
        <w:tc>
          <w:tcPr>
            <w:tcW w:type="dxa" w:w="50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pPr>
            <w:r>
              <w:rPr>
                <w:sz w:val="19"/>
                <w:szCs w:val="19"/>
              </w:rPr>
              <w:t xml:space="preserve">Completes the data the year-end package needs.</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5</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Year-End Accountant Package, quarterly export, pre-flight checks, onboarding import</w:t>
            </w:r>
          </w:p>
        </w:tc>
        <w:tc>
          <w:tcPr>
            <w:tcW w:type="dxa" w:w="50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19"/>
                <w:szCs w:val="19"/>
              </w:rPr>
              <w:t xml:space="preserve">Ties everything together into the headline deliverable.</w:t>
            </w:r>
          </w:p>
        </w:tc>
      </w:tr>
    </w:tbl>
    <w:p>
      <w:r>
        <w:br w:type="page"/>
      </w:r>
    </w:p>
    <w:p>
      <w:pPr>
        <w:pStyle w:val="Heading1"/>
      </w:pPr>
      <w:r>
        <w:t xml:space="preserve">10. References</w:t>
      </w:r>
    </w:p>
    <w:p>
      <w:pPr>
        <w:spacing w:after="120" w:before="0"/>
      </w:pPr>
      <w:r>
        <w:rPr>
          <w:i/>
          <w:iCs/>
        </w:rPr>
        <w:t xml:space="preserve">Tax forms, thresholds, and line numbers in this spec reflect guidance current as of May 2026 and must be re-verified against IRS and state publications each tax year before the module’s tax-year configuration is rolled forward.</w:t>
      </w:r>
    </w:p>
    <w:p>
      <w:pPr>
        <w:pStyle w:val="ListParagraph"/>
        <w:numPr>
          <w:ilvl w:val="0"/>
          <w:numId w:val="2"/>
        </w:numPr>
        <w:spacing w:after="60"/>
      </w:pPr>
      <w:r>
        <w:t xml:space="preserve">IRS — About Form 941, Employer’s Quarterly Federal Tax Return (irs.gov/forms-pubs/about-form-941)</w:t>
      </w:r>
    </w:p>
    <w:p>
      <w:pPr>
        <w:pStyle w:val="ListParagraph"/>
        <w:numPr>
          <w:ilvl w:val="0"/>
          <w:numId w:val="2"/>
        </w:numPr>
        <w:spacing w:after="60"/>
      </w:pPr>
      <w:r>
        <w:t xml:space="preserve">IRS — Instructions for Form 941 (03/2026)</w:t>
      </w:r>
    </w:p>
    <w:p>
      <w:pPr>
        <w:pStyle w:val="ListParagraph"/>
        <w:numPr>
          <w:ilvl w:val="0"/>
          <w:numId w:val="2"/>
        </w:numPr>
        <w:spacing w:after="60"/>
      </w:pPr>
      <w:r>
        <w:t xml:space="preserve">IRS — 2026 Form 941 quarterly filing deadlines: Q1 Apr 30, Q2 Jul 31, Q3 Nov 2, Q4 Feb 1 2027</w:t>
      </w:r>
    </w:p>
    <w:p>
      <w:pPr>
        <w:pStyle w:val="ListParagraph"/>
        <w:numPr>
          <w:ilvl w:val="0"/>
          <w:numId w:val="2"/>
        </w:numPr>
        <w:spacing w:after="60"/>
      </w:pPr>
      <w:r>
        <w:t xml:space="preserve">One Big Beautiful Bill Act — 1099-NEC reporting threshold raised from $600 to $2,000 for payments made in 2026, inflation-indexed from 2027</w:t>
      </w:r>
    </w:p>
    <w:p>
      <w:pPr>
        <w:pStyle w:val="ListParagraph"/>
        <w:numPr>
          <w:ilvl w:val="0"/>
          <w:numId w:val="2"/>
        </w:numPr>
        <w:spacing w:after="60"/>
      </w:pPr>
      <w:r>
        <w:t xml:space="preserve">IRS — electronic filing required at 10+ aggregate information returns (W-2s and 1099s combined)</w:t>
      </w:r>
    </w:p>
    <w:p>
      <w:pPr>
        <w:pStyle w:val="ListParagraph"/>
        <w:numPr>
          <w:ilvl w:val="0"/>
          <w:numId w:val="2"/>
        </w:numPr>
        <w:spacing w:after="60"/>
      </w:pPr>
      <w:r>
        <w:t xml:space="preserve">2026 Social Security wage base: $184,500</w:t>
      </w:r>
    </w:p>
    <w:p>
      <w:pPr>
        <w:pStyle w:val="ListParagraph"/>
        <w:numPr>
          <w:ilvl w:val="0"/>
          <w:numId w:val="2"/>
        </w:numPr>
        <w:spacing w:after="60"/>
      </w:pPr>
      <w:r>
        <w:t xml:space="preserve">QuickBooks — Year-end guide and tax-prep report guidance (quickbooks.intuit.com)</w:t>
      </w:r>
    </w:p>
    <w:p>
      <w:pPr>
        <w:pStyle w:val="ListParagraph"/>
        <w:numPr>
          <w:ilvl w:val="0"/>
          <w:numId w:val="2"/>
        </w:numPr>
        <w:spacing w:after="60"/>
      </w:pPr>
      <w:r>
        <w:t xml:space="preserve">Xero — “Map accounts to tax lines” for Form 1040 Schedule C/E and Forms 1065, 1120, 1120-S</w:t>
      </w:r>
    </w:p>
    <w:p>
      <w:pPr>
        <w:pStyle w:val="ListParagraph"/>
        <w:numPr>
          <w:ilvl w:val="0"/>
          <w:numId w:val="2"/>
        </w:numPr>
        <w:spacing w:after="60"/>
      </w:pPr>
      <w:r>
        <w:t xml:space="preserve">IRS — Form 4562, Depreciation and Amortization; Schedule C; Form 1065; Form 1120-S; Form 1120 instructions for line-level tax mapping</w:t>
      </w:r>
    </w:p>
    <w:p>
      <w:pPr>
        <w:spacing w:after="80"/>
      </w:pPr>
    </w:p>
    <w:p>
      <w:pPr>
        <w:spacing w:after="120" w:before="0"/>
        <w:jc w:val="center"/>
      </w:pPr>
      <w:r>
        <w:rPr>
          <w:i/>
          <w:iCs/>
          <w:color w:val="595959"/>
        </w:rPr>
        <w:t xml:space="preserve">End of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before="0"/>
    </w:pPr>
    <w:r>
      <w:rPr>
        <w:color w:val="808080"/>
        <w:sz w:val="16"/>
        <w:szCs w:val="16"/>
      </w:rPr>
      <w:t xml:space="preserve">Confidential — Draft v1.0</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spacing w:after="0"/>
    </w:pPr>
    <w:r>
      <w:rPr>
        <w:color w:val="808080"/>
        <w:sz w:val="16"/>
        <w:szCs w:val="16"/>
      </w:rPr>
      <w:t xml:space="preserve">CoSpatia® Accounting Module — Developer Feature Specification</w:t>
    </w:r>
    <w:r>
      <w:rPr>
        <w:color w:val="808080"/>
        <w:sz w:val="16"/>
        <w:szCs w:val="16"/>
      </w:rPr>
      <w:t xml:space="preserve">	InteractiveGIS,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860" w:hanging="28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3"/>
      </w:pBd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2026-05-15T13:50:41.374Z</dcterms:created>
  <dcterms:modified xsi:type="dcterms:W3CDTF">2026-05-15T13:50:41.374Z</dcterms:modified>
</cp:coreProperties>
</file>

<file path=docProps/custom.xml><?xml version="1.0" encoding="utf-8"?>
<Properties xmlns="http://schemas.openxmlformats.org/officeDocument/2006/custom-properties" xmlns:vt="http://schemas.openxmlformats.org/officeDocument/2006/docPropsVTypes"/>
</file>