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48"/>
          <w:szCs w:val="48"/>
        </w:rPr>
        <w:t xml:space="preserve">HEADROOM</w:t>
      </w:r>
    </w:p>
    <w:p>
      <w:pPr>
        <w:spacing w:after="40" w:before="0"/>
      </w:pPr>
      <w:r>
        <w:rPr>
          <w:rFonts w:ascii="Arial" w:cs="Arial" w:eastAsia="Arial" w:hAnsi="Arial"/>
          <w:color w:val="2E75B6"/>
          <w:sz w:val="28"/>
          <w:szCs w:val="28"/>
        </w:rPr>
        <w:t xml:space="preserve">Clinical and Neuroscientific References</w:t>
      </w:r>
    </w:p>
    <w:p>
      <w:pPr>
        <w:pBdr>
          <w:bottom w:val="single" w:color="2E75B6" w:sz="4" w:space="1"/>
        </w:pBdr>
        <w:spacing w:after="0" w:before="0"/>
      </w:pPr>
    </w:p>
    <w:p>
      <w:pPr>
        <w:spacing w:after="120" w:before="60"/>
        <w:jc w:val="left"/>
      </w:pPr>
      <w:r>
        <w:rPr>
          <w:rFonts w:ascii="Arial" w:cs="Arial" w:eastAsia="Arial" w:hAnsi="Arial"/>
          <w:b w:val="false"/>
          <w:bCs w:val="false"/>
          <w:i w:val="false"/>
          <w:iCs w:val="false"/>
          <w:color w:val="1a1a1a"/>
          <w:sz w:val="22"/>
          <w:szCs w:val="22"/>
        </w:rPr>
        <w:t xml:space="preserve"/>
      </w:r>
    </w:p>
    <w:p>
      <w:pPr>
        <w:spacing w:after="160" w:before="0"/>
        <w:jc w:val="left"/>
      </w:pPr>
      <w:r>
        <w:rPr>
          <w:rFonts w:ascii="Arial" w:cs="Arial" w:eastAsia="Arial" w:hAnsi="Arial"/>
          <w:b w:val="false"/>
          <w:bCs w:val="false"/>
          <w:i w:val="false"/>
          <w:iCs w:val="false"/>
          <w:color w:val="404040"/>
          <w:sz w:val="22"/>
          <w:szCs w:val="22"/>
        </w:rPr>
        <w:t xml:space="preserve">This document lists the peer-reviewed and authoritative sources underpinning the neuroscientific model embedded in the Headroom application. All references have been independently verified as published and correctly attributed. Where the original source uses language stronger than the evidence supports, this document notes the preferred, more cautious framing.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F4E79" w:sz="24"/>
              <w:bottom w:val="single" w:color="CCCCCC" w:sz="1"/>
              <w:right w:val="single" w:color="CCCCCC" w:sz="1"/>
            </w:tcBorders>
            <w:shd w:fill="D6E4F0" w:val="clear"/>
            <w:tcMar>
              <w:top w:type="dxa" w:w="120"/>
              <w:left w:type="dxa" w:w="200"/>
              <w:bottom w:type="dxa" w:w="120"/>
              <w:right w:type="dxa" w:w="160"/>
            </w:tcMar>
          </w:tcPr>
          <w:p>
            <w:pPr>
              <w:spacing w:after="40" w:before="0"/>
            </w:pPr>
            <w:r>
              <w:rPr>
                <w:rFonts w:ascii="Arial" w:cs="Arial" w:eastAsia="Arial" w:hAnsi="Arial"/>
                <w:b/>
                <w:bCs/>
                <w:color w:val="1F4E79"/>
                <w:sz w:val="20"/>
                <w:szCs w:val="20"/>
              </w:rPr>
              <w:t xml:space="preserve">Important note on the model</w:t>
            </w:r>
          </w:p>
          <w:p>
            <w:pPr>
              <w:spacing w:after="0" w:before="0"/>
            </w:pPr>
            <w:r>
              <w:rPr>
                <w:rFonts w:ascii="Arial" w:cs="Arial" w:eastAsia="Arial" w:hAnsi="Arial"/>
                <w:i/>
                <w:iCs/>
                <w:color w:val="2a2a2a"/>
                <w:sz w:val="20"/>
                <w:szCs w:val="20"/>
              </w:rPr>
              <w:t xml:space="preserve">The neuroscientific model presented in this application describes a parallel network shift — not a linear, stage-by-stage relay. Under stress and accumulated load, control shifts from reflective, goal-directed systems toward faster, older, cue-driven and habit-driven systems. These changes operate in parallel. The visual sequence in the brain graphic (PFC dimming, then cingulate activating, then deep structures blazing) is a simplified educational representation of which systems become progressively dominant, not a literal description of discrete sequential stages.</w:t>
            </w:r>
          </w:p>
        </w:tc>
      </w:tr>
    </w:tbl>
    <w:p>
      <w:pPr>
        <w:spacing w:after="120" w:before="120"/>
        <w:jc w:val="left"/>
      </w:pPr>
      <w:r>
        <w:rPr>
          <w:rFonts w:ascii="Arial" w:cs="Arial" w:eastAsia="Arial" w:hAnsi="Arial"/>
          <w:b w:val="false"/>
          <w:bCs w:val="false"/>
          <w:i w:val="false"/>
          <w:iCs w:val="false"/>
          <w:color w:val="1a1a1a"/>
          <w:sz w:val="22"/>
          <w:szCs w:val="22"/>
        </w:rPr>
        <w:t xml:space="preserve"/>
      </w:r>
    </w:p>
    <w:p>
      <w:pPr>
        <w:pStyle w:val="Heading1"/>
        <w:spacing w:after="100" w:before="320"/>
      </w:pPr>
      <w:r>
        <w:rPr>
          <w:rFonts w:ascii="Arial" w:cs="Arial" w:eastAsia="Arial" w:hAnsi="Arial"/>
          <w:b/>
          <w:bCs/>
          <w:color w:val="1F4E79"/>
          <w:sz w:val="30"/>
          <w:szCs w:val="30"/>
        </w:rPr>
        <w:t xml:space="preserve">1. Addiction Neurocircuitry — Foundational Models</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1a1a1a"/>
          <w:sz w:val="22"/>
          <w:szCs w:val="22"/>
        </w:rPr>
        <w:t xml:space="preserve"/>
      </w:r>
    </w:p>
    <w:p>
      <w:pPr>
        <w:spacing w:after="160" w:before="0"/>
        <w:jc w:val="left"/>
      </w:pPr>
      <w:r>
        <w:rPr>
          <w:rFonts w:ascii="Arial" w:cs="Arial" w:eastAsia="Arial" w:hAnsi="Arial"/>
          <w:b w:val="false"/>
          <w:bCs w:val="false"/>
          <w:i w:val="false"/>
          <w:iCs w:val="false"/>
          <w:color w:val="1a1a1a"/>
          <w:sz w:val="22"/>
          <w:szCs w:val="22"/>
        </w:rPr>
        <w:t xml:space="preserve">The three dominant neuroscientific frameworks referenced in this application are the Three-Stage Addiction Cycle (Koob &amp; Volkow), Incentive-Sensitization Theory (Robinson &amp; Berridge), and the Impaired Response Inhibition and Salience Attribution model (Goldstein &amp; Volkow / Ceceli et al.). Each provides a different but complementary lens on why lapse can feel involuntary.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vAlign w:val="center"/>
          </w:tcPr>
          <w:p>
            <w:pPr>
              <w:jc w:val="center"/>
            </w:pPr>
            <w:r>
              <w:rPr>
                <w:rFonts w:ascii="Arial" w:cs="Arial" w:eastAsia="Arial" w:hAnsi="Arial"/>
                <w:b/>
                <w:bCs/>
                <w:color w:val="FFFFFF"/>
                <w:sz w:val="22"/>
                <w:szCs w:val="22"/>
              </w:rPr>
              <w:t xml:space="preserve">1</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before="0"/>
            </w:pPr>
            <w:r>
              <w:rPr>
                <w:rFonts w:ascii="Arial" w:cs="Arial" w:eastAsia="Arial" w:hAnsi="Arial"/>
                <w:color w:val="1a1a1a"/>
                <w:sz w:val="20"/>
                <w:szCs w:val="20"/>
              </w:rPr>
              <w:t xml:space="preserve">Koob GF, Volkow ND. Neurocircuitry of addiction. Neuropsychopharmacology. 2010;35(1):217-238. doi: 10.1038/npp.2009.110</w:t>
            </w:r>
          </w:p>
          <w:p>
            <w:pPr>
              <w:spacing w:after="40" w:before="0"/>
            </w:pPr>
            <w:r>
              <w:rPr>
                <w:rFonts w:ascii="Arial" w:cs="Arial" w:eastAsia="Arial" w:hAnsi="Arial"/>
                <w:b/>
                <w:bCs/>
                <w:color w:val="2E75B6"/>
                <w:sz w:val="19"/>
                <w:szCs w:val="19"/>
              </w:rPr>
              <w:t xml:space="preserve">▸  Supports: </w:t>
            </w:r>
            <w:r>
              <w:rPr>
                <w:rFonts w:ascii="Arial" w:cs="Arial" w:eastAsia="Arial" w:hAnsi="Arial"/>
                <w:color w:val="404040"/>
                <w:sz w:val="19"/>
                <w:szCs w:val="19"/>
              </w:rPr>
              <w:t xml:space="preserve">The foundational paper describing addiction as a three-stage cycle — binge/intoxication (basal ganglia/reward), withdrawal/negative affect (extended amygdala/stress), and preoccupation/anticipation (prefrontal cortex/cingulate). Establishes that these three circuits, not a single region, drive compulsive use. Cited over 4,000 times. Note: the model describes circuits operating together, not in sequence.</w:t>
            </w:r>
          </w:p>
          <w:p>
            <w:pPr>
              <w:spacing w:after="0" w:before="0"/>
            </w:pPr>
            <w:r>
              <w:rPr>
                <w:rFonts w:ascii="Arial" w:cs="Arial" w:eastAsia="Arial" w:hAnsi="Arial"/>
                <w:i/>
                <w:iCs/>
                <w:color w:val="808080"/>
                <w:sz w:val="17"/>
                <w:szCs w:val="17"/>
              </w:rPr>
              <w:t xml:space="preserve">https://www.nature.com/articles/npp2009110</w:t>
            </w:r>
          </w:p>
        </w:tc>
      </w:tr>
    </w:tbl>
    <w:p>
      <w:pPr>
        <w:spacing w:after="120" w:before="80"/>
        <w:jc w:val="left"/>
      </w:pPr>
      <w:r>
        <w:rPr>
          <w:rFonts w:ascii="Arial" w:cs="Arial" w:eastAsia="Arial" w:hAnsi="Arial"/>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vAlign w:val="center"/>
          </w:tcPr>
          <w:p>
            <w:pPr>
              <w:jc w:val="center"/>
            </w:pPr>
            <w:r>
              <w:rPr>
                <w:rFonts w:ascii="Arial" w:cs="Arial" w:eastAsia="Arial" w:hAnsi="Arial"/>
                <w:b/>
                <w:bCs/>
                <w:color w:val="FFFFFF"/>
                <w:sz w:val="22"/>
                <w:szCs w:val="22"/>
              </w:rPr>
              <w:t xml:space="preserve">2</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before="0"/>
            </w:pPr>
            <w:r>
              <w:rPr>
                <w:rFonts w:ascii="Arial" w:cs="Arial" w:eastAsia="Arial" w:hAnsi="Arial"/>
                <w:color w:val="1a1a1a"/>
                <w:sz w:val="20"/>
                <w:szCs w:val="20"/>
              </w:rPr>
              <w:t xml:space="preserve">Substance Abuse and Mental Health Services Administration (SAMHSA). The Neurobiology of Substance Use, Misuse, and Addiction. Chapter 2 in: Facing Addiction in America: The Surgeon General's Report on Alcohol, Drugs, and Health. US Department of Health and Human Services; 2016.</w:t>
            </w:r>
          </w:p>
          <w:p>
            <w:pPr>
              <w:spacing w:after="40" w:before="0"/>
            </w:pPr>
            <w:r>
              <w:rPr>
                <w:rFonts w:ascii="Arial" w:cs="Arial" w:eastAsia="Arial" w:hAnsi="Arial"/>
                <w:b/>
                <w:bCs/>
                <w:color w:val="2E75B6"/>
                <w:sz w:val="19"/>
                <w:szCs w:val="19"/>
              </w:rPr>
              <w:t xml:space="preserve">▸  Supports: </w:t>
            </w:r>
            <w:r>
              <w:rPr>
                <w:rFonts w:ascii="Arial" w:cs="Arial" w:eastAsia="Arial" w:hAnsi="Arial"/>
                <w:color w:val="404040"/>
                <w:sz w:val="19"/>
                <w:szCs w:val="19"/>
              </w:rPr>
              <w:t xml:space="preserve">Authoritative US Government synthesis of addiction neurobiology. Describes repeated activation of dorsal-striatal habit circuitry, diminished reward function during withdrawal, extended amygdala stress system activation, and reduced prefrontal inhibitory control as converging drivers of compulsive use. Explicitly supports the three-system model: basal ganglia, extended amygdala, prefrontal cortex.</w:t>
            </w:r>
          </w:p>
          <w:p>
            <w:pPr>
              <w:spacing w:after="0" w:before="0"/>
            </w:pPr>
            <w:r>
              <w:rPr>
                <w:rFonts w:ascii="Arial" w:cs="Arial" w:eastAsia="Arial" w:hAnsi="Arial"/>
                <w:i/>
                <w:iCs/>
                <w:color w:val="808080"/>
                <w:sz w:val="17"/>
                <w:szCs w:val="17"/>
              </w:rPr>
              <w:t xml:space="preserve">https://www.ncbi.nlm.nih.gov/books/NBK424849/</w:t>
            </w:r>
          </w:p>
        </w:tc>
      </w:tr>
    </w:tbl>
    <w:p>
      <w:pPr>
        <w:spacing w:after="120" w:before="80"/>
        <w:jc w:val="left"/>
      </w:pPr>
      <w:r>
        <w:rPr>
          <w:rFonts w:ascii="Arial" w:cs="Arial" w:eastAsia="Arial" w:hAnsi="Arial"/>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vAlign w:val="center"/>
          </w:tcPr>
          <w:p>
            <w:pPr>
              <w:jc w:val="center"/>
            </w:pPr>
            <w:r>
              <w:rPr>
                <w:rFonts w:ascii="Arial" w:cs="Arial" w:eastAsia="Arial" w:hAnsi="Arial"/>
                <w:b/>
                <w:bCs/>
                <w:color w:val="FFFFFF"/>
                <w:sz w:val="22"/>
                <w:szCs w:val="22"/>
              </w:rPr>
              <w:t xml:space="preserve">3</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before="0"/>
            </w:pPr>
            <w:r>
              <w:rPr>
                <w:rFonts w:ascii="Arial" w:cs="Arial" w:eastAsia="Arial" w:hAnsi="Arial"/>
                <w:color w:val="1a1a1a"/>
                <w:sz w:val="20"/>
                <w:szCs w:val="20"/>
              </w:rPr>
              <w:t xml:space="preserve">Robinson TE, Berridge KC. The Incentive-Sensitization Theory of Addiction 30 Years On. Annual Review of Psychology. 2025;76:29-58. doi: 10.1146/annurev-psych-011624-024031</w:t>
            </w:r>
          </w:p>
          <w:p>
            <w:pPr>
              <w:spacing w:after="40" w:before="0"/>
            </w:pPr>
            <w:r>
              <w:rPr>
                <w:rFonts w:ascii="Arial" w:cs="Arial" w:eastAsia="Arial" w:hAnsi="Arial"/>
                <w:b/>
                <w:bCs/>
                <w:color w:val="2E75B6"/>
                <w:sz w:val="19"/>
                <w:szCs w:val="19"/>
              </w:rPr>
              <w:t xml:space="preserve">▸  Supports: </w:t>
            </w:r>
            <w:r>
              <w:rPr>
                <w:rFonts w:ascii="Arial" w:cs="Arial" w:eastAsia="Arial" w:hAnsi="Arial"/>
                <w:color w:val="404040"/>
                <w:sz w:val="19"/>
                <w:szCs w:val="19"/>
              </w:rPr>
              <w:t xml:space="preserve">The updated statement of incentive-sensitization theory — the distinction between "wanting" (incentive motivation, mesolimbic dopamine) and "liking" (hedonic impact). Mesolimbic sensitization amplifies drug-wanting without increasing pleasure, explaining why craving and compulsive seeking can persist long into abstinence. The theory underpins the application's explanation of why the desire to drink can feel disconnected from rational preference.</w:t>
            </w:r>
          </w:p>
          <w:p>
            <w:pPr>
              <w:spacing w:after="0" w:before="0"/>
            </w:pPr>
            <w:r>
              <w:rPr>
                <w:rFonts w:ascii="Arial" w:cs="Arial" w:eastAsia="Arial" w:hAnsi="Arial"/>
                <w:i/>
                <w:iCs/>
                <w:color w:val="808080"/>
                <w:sz w:val="17"/>
                <w:szCs w:val="17"/>
              </w:rPr>
              <w:t xml:space="preserve">https://www.annualreviews.org/content/journals/10.1146/annurev-psych-011624-024031</w:t>
            </w:r>
          </w:p>
        </w:tc>
      </w:tr>
    </w:tbl>
    <w:p>
      <w:pPr>
        <w:spacing w:after="120" w:before="80"/>
        <w:jc w:val="left"/>
      </w:pPr>
      <w:r>
        <w:rPr>
          <w:rFonts w:ascii="Arial" w:cs="Arial" w:eastAsia="Arial" w:hAnsi="Arial"/>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vAlign w:val="center"/>
          </w:tcPr>
          <w:p>
            <w:pPr>
              <w:jc w:val="center"/>
            </w:pPr>
            <w:r>
              <w:rPr>
                <w:rFonts w:ascii="Arial" w:cs="Arial" w:eastAsia="Arial" w:hAnsi="Arial"/>
                <w:b/>
                <w:bCs/>
                <w:color w:val="FFFFFF"/>
                <w:sz w:val="22"/>
                <w:szCs w:val="22"/>
              </w:rPr>
              <w:t xml:space="preserve">4</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before="0"/>
            </w:pPr>
            <w:r>
              <w:rPr>
                <w:rFonts w:ascii="Arial" w:cs="Arial" w:eastAsia="Arial" w:hAnsi="Arial"/>
                <w:color w:val="1a1a1a"/>
                <w:sz w:val="20"/>
                <w:szCs w:val="20"/>
              </w:rPr>
              <w:t xml:space="preserve">Ceceli AO et al. The Impaired Response Inhibition and Salience Attribution (iRISA) Model of Drug Addiction: Recent Neuroimaging Evidence and Future Directions. Annual Review of Psychology. 2026;77:81-108. doi: 10.1146/annurev-psych-040725-025923</w:t>
            </w:r>
          </w:p>
          <w:p>
            <w:pPr>
              <w:spacing w:after="40" w:before="0"/>
            </w:pPr>
            <w:r>
              <w:rPr>
                <w:rFonts w:ascii="Arial" w:cs="Arial" w:eastAsia="Arial" w:hAnsi="Arial"/>
                <w:b/>
                <w:bCs/>
                <w:color w:val="2E75B6"/>
                <w:sz w:val="19"/>
                <w:szCs w:val="19"/>
              </w:rPr>
              <w:t xml:space="preserve">▸  Supports: </w:t>
            </w:r>
            <w:r>
              <w:rPr>
                <w:rFonts w:ascii="Arial" w:cs="Arial" w:eastAsia="Arial" w:hAnsi="Arial"/>
                <w:color w:val="404040"/>
                <w:sz w:val="19"/>
                <w:szCs w:val="19"/>
              </w:rPr>
              <w:t xml:space="preserve">A 2025 update to the iRISA model (originally Goldstein &amp; Volkow 2001) showing that the prefrontal cortex — especially orbitofrontal, dorsolateral, anterior cingulate, and inferior frontal regions — is central to addiction symptomatology. Drug cues gain heightened salience overriding alternative reinforcers. Supports the application's representation of PFC as the structure that dims under load while cue-driven and habit systems take precedence. Note: the ACC in cue-reactive states may show over-activation (dysregulation), not simply suppression.</w:t>
            </w:r>
          </w:p>
          <w:p>
            <w:pPr>
              <w:spacing w:after="0" w:before="0"/>
            </w:pPr>
            <w:r>
              <w:rPr>
                <w:rFonts w:ascii="Arial" w:cs="Arial" w:eastAsia="Arial" w:hAnsi="Arial"/>
                <w:i/>
                <w:iCs/>
                <w:color w:val="808080"/>
                <w:sz w:val="17"/>
                <w:szCs w:val="17"/>
              </w:rPr>
              <w:t xml:space="preserve">https://www.annualreviews.org/content/journals/10.1146/annurev-psych-040725-025923</w:t>
            </w:r>
          </w:p>
        </w:tc>
      </w:tr>
    </w:tbl>
    <w:p>
      <w:pPr>
        <w:spacing w:after="120" w:before="120"/>
        <w:jc w:val="left"/>
      </w:pPr>
      <w:r>
        <w:rPr>
          <w:rFonts w:ascii="Arial" w:cs="Arial" w:eastAsia="Arial" w:hAnsi="Arial"/>
          <w:b w:val="false"/>
          <w:bCs w:val="false"/>
          <w:i w:val="false"/>
          <w:iCs w:val="false"/>
          <w:color w:val="1a1a1a"/>
          <w:sz w:val="22"/>
          <w:szCs w:val="22"/>
        </w:rPr>
        <w:t xml:space="preserve"/>
      </w:r>
    </w:p>
    <w:p>
      <w:pPr>
        <w:pStyle w:val="Heading1"/>
        <w:spacing w:after="100" w:before="320"/>
      </w:pPr>
      <w:r>
        <w:rPr>
          <w:rFonts w:ascii="Arial" w:cs="Arial" w:eastAsia="Arial" w:hAnsi="Arial"/>
          <w:b/>
          <w:bCs/>
          <w:color w:val="1F4E79"/>
          <w:sz w:val="30"/>
          <w:szCs w:val="30"/>
        </w:rPr>
        <w:t xml:space="preserve">2. Prefrontal Cortex, Stress, and Executive Control</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1a1a1a"/>
          <w:sz w:val="22"/>
          <w:szCs w:val="22"/>
        </w:rPr>
        <w:t xml:space="preserve"/>
      </w:r>
    </w:p>
    <w:p>
      <w:pPr>
        <w:spacing w:after="160" w:before="0"/>
        <w:jc w:val="left"/>
      </w:pPr>
      <w:r>
        <w:rPr>
          <w:rFonts w:ascii="Arial" w:cs="Arial" w:eastAsia="Arial" w:hAnsi="Arial"/>
          <w:b w:val="false"/>
          <w:bCs w:val="false"/>
          <w:i w:val="false"/>
          <w:iCs w:val="false"/>
          <w:color w:val="1a1a1a"/>
          <w:sz w:val="22"/>
          <w:szCs w:val="22"/>
        </w:rPr>
        <w:t xml:space="preserve">The application's representation of the prefrontal cortex dimming under load is grounded in research on stress-induced impairment of executive control. The preferred framing is "executive control degrades under stress, withdrawal, and emotional load" rather than the folk-psychology concept of "willpower depletion."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vAlign w:val="center"/>
          </w:tcPr>
          <w:p>
            <w:pPr>
              <w:jc w:val="center"/>
            </w:pPr>
            <w:r>
              <w:rPr>
                <w:rFonts w:ascii="Arial" w:cs="Arial" w:eastAsia="Arial" w:hAnsi="Arial"/>
                <w:b/>
                <w:bCs/>
                <w:color w:val="FFFFFF"/>
                <w:sz w:val="22"/>
                <w:szCs w:val="22"/>
              </w:rPr>
              <w:t xml:space="preserve">5</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before="0"/>
            </w:pPr>
            <w:r>
              <w:rPr>
                <w:rFonts w:ascii="Arial" w:cs="Arial" w:eastAsia="Arial" w:hAnsi="Arial"/>
                <w:color w:val="1a1a1a"/>
                <w:sz w:val="20"/>
                <w:szCs w:val="20"/>
              </w:rPr>
              <w:t xml:space="preserve">Arnsten AFT. Stress Signalling Pathways that Impair Prefrontal Cortex Structure and Function. Nature Reviews Neuroscience. 2009;10(6):410-422. doi: 10.1038/nrn2648</w:t>
            </w:r>
          </w:p>
          <w:p>
            <w:pPr>
              <w:spacing w:after="40" w:before="0"/>
            </w:pPr>
            <w:r>
              <w:rPr>
                <w:rFonts w:ascii="Arial" w:cs="Arial" w:eastAsia="Arial" w:hAnsi="Arial"/>
                <w:b/>
                <w:bCs/>
                <w:color w:val="2E75B6"/>
                <w:sz w:val="19"/>
                <w:szCs w:val="19"/>
              </w:rPr>
              <w:t xml:space="preserve">▸  Supports: </w:t>
            </w:r>
            <w:r>
              <w:rPr>
                <w:rFonts w:ascii="Arial" w:cs="Arial" w:eastAsia="Arial" w:hAnsi="Arial"/>
                <w:color w:val="404040"/>
                <w:sz w:val="19"/>
                <w:szCs w:val="19"/>
              </w:rPr>
              <w:t xml:space="preserve">Demonstrates that even mild uncontrollable stress can rapidly weaken dorsolateral PFC network activity while strengthening amygdala and striatal responses, via high norepinephrine and dopamine exposure. Foundational evidence that PFC is the first cortical region to lose efficacy under stress. The Arnsten lab at Yale has extended this across multiple studies — see also medicine.yale.edu/lab/arnsten/research/uncontrollable/</w:t>
            </w:r>
          </w:p>
          <w:p>
            <w:pPr>
              <w:spacing w:after="0" w:before="0"/>
            </w:pPr>
            <w:r>
              <w:rPr>
                <w:rFonts w:ascii="Arial" w:cs="Arial" w:eastAsia="Arial" w:hAnsi="Arial"/>
                <w:i/>
                <w:iCs/>
                <w:color w:val="808080"/>
                <w:sz w:val="17"/>
                <w:szCs w:val="17"/>
              </w:rPr>
              <w:t xml:space="preserve">https://medicine.yale.edu/lab/arnsten/research/uncontrollable/</w:t>
            </w:r>
          </w:p>
        </w:tc>
      </w:tr>
    </w:tbl>
    <w:p>
      <w:pPr>
        <w:spacing w:after="120" w:before="80"/>
        <w:jc w:val="left"/>
      </w:pPr>
      <w:r>
        <w:rPr>
          <w:rFonts w:ascii="Arial" w:cs="Arial" w:eastAsia="Arial" w:hAnsi="Arial"/>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before="0"/>
            </w:pPr>
            <w:r>
              <w:rPr>
                <w:rFonts w:ascii="Arial" w:cs="Arial" w:eastAsia="Arial" w:hAnsi="Arial"/>
                <w:color w:val="1a1a1a"/>
                <w:sz w:val="20"/>
                <w:szCs w:val="20"/>
              </w:rPr>
              <w:t xml:space="preserve">Arnsten AFT, Rubia K. Neurobiological Circuits Regulating Attention, Cognitive Control, Motivation, and Emotion: Disruptions in Neurodevelopmental Psychiatric Disorders. Journal of the American Academy of Child and Adolescent Psychiatry. 2012;51(4):356-367. Also: McEwen BS et al. The Brain on Stress: Vulnerability and Plasticity of the Prefrontal Cortex over the Life Course. Neuron. 2013;79(1):16-29. doi: 10.1016/j.neuron.2013.06.028</w:t>
            </w:r>
          </w:p>
          <w:p>
            <w:pPr>
              <w:spacing w:after="40" w:before="0"/>
            </w:pPr>
            <w:r>
              <w:rPr>
                <w:rFonts w:ascii="Arial" w:cs="Arial" w:eastAsia="Arial" w:hAnsi="Arial"/>
                <w:b/>
                <w:bCs/>
                <w:color w:val="2E75B6"/>
                <w:sz w:val="19"/>
                <w:szCs w:val="19"/>
              </w:rPr>
              <w:t xml:space="preserve">▸  Supports: </w:t>
            </w:r>
            <w:r>
              <w:rPr>
                <w:rFonts w:ascii="Arial" w:cs="Arial" w:eastAsia="Arial" w:hAnsi="Arial"/>
                <w:color w:val="404040"/>
                <w:sz w:val="19"/>
                <w:szCs w:val="19"/>
              </w:rPr>
              <w:t xml:space="preserve">Chronic stress affects PFC structure and self-regulatory function across the life course. Documents structural and functional changes in the PFC under chronic stress, including dendritic retraction and reduced inhibitory control. Supports the application's model that sustained high load — not just acute stress — progressively impairs conscious decision-making.</w:t>
            </w:r>
          </w:p>
          <w:p>
            <w:pPr>
              <w:spacing w:after="0" w:before="0"/>
            </w:pPr>
            <w:r>
              <w:rPr>
                <w:rFonts w:ascii="Arial" w:cs="Arial" w:eastAsia="Arial" w:hAnsi="Arial"/>
                <w:i/>
                <w:iCs/>
                <w:color w:val="808080"/>
                <w:sz w:val="17"/>
                <w:szCs w:val="17"/>
              </w:rPr>
              <w:t xml:space="preserve">https://www.sciencedirect.com/science/article/pii/S0896627313005448</w:t>
            </w:r>
          </w:p>
        </w:tc>
      </w:tr>
    </w:tbl>
    <w:p>
      <w:pPr>
        <w:spacing w:after="120" w:before="120"/>
        <w:jc w:val="left"/>
      </w:pPr>
      <w:r>
        <w:rPr>
          <w:rFonts w:ascii="Arial" w:cs="Arial" w:eastAsia="Arial" w:hAnsi="Arial"/>
          <w:b w:val="false"/>
          <w:bCs w:val="false"/>
          <w:i w:val="false"/>
          <w:iCs w:val="false"/>
          <w:color w:val="1a1a1a"/>
          <w:sz w:val="22"/>
          <w:szCs w:val="22"/>
        </w:rPr>
        <w:t xml:space="preserve"/>
      </w:r>
    </w:p>
    <w:p>
      <w:pPr>
        <w:pStyle w:val="Heading1"/>
        <w:spacing w:after="100" w:before="320"/>
      </w:pPr>
      <w:r>
        <w:rPr>
          <w:rFonts w:ascii="Arial" w:cs="Arial" w:eastAsia="Arial" w:hAnsi="Arial"/>
          <w:b/>
          <w:bCs/>
          <w:color w:val="1F4E79"/>
          <w:sz w:val="30"/>
          <w:szCs w:val="30"/>
        </w:rPr>
        <w:t xml:space="preserve">3. Anterior Cingulate Cortex — Conflict Monitoring and Dysregulation</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1a1a1a"/>
          <w:sz w:val="22"/>
          <w:szCs w:val="22"/>
        </w:rPr>
        <w:t xml:space="preserve"/>
      </w:r>
    </w:p>
    <w:p>
      <w:pPr>
        <w:spacing w:after="160" w:before="0"/>
        <w:jc w:val="left"/>
      </w:pPr>
      <w:r>
        <w:rPr>
          <w:rFonts w:ascii="Arial" w:cs="Arial" w:eastAsia="Arial" w:hAnsi="Arial"/>
          <w:b w:val="false"/>
          <w:bCs w:val="false"/>
          <w:i w:val="false"/>
          <w:iCs w:val="false"/>
          <w:color w:val="1a1a1a"/>
          <w:sz w:val="22"/>
          <w:szCs w:val="22"/>
        </w:rPr>
        <w:t xml:space="preserve">The cingulate cortex is represented in the brain graphic as the first deep structure to activate under load. The evidence supports this in general, with an important nuance: the ACC does not simply go silent — it becomes dysregulated, and in some cue-reactive states may show heightened (but maladaptive) activation.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vAlign w:val="center"/>
          </w:tcPr>
          <w:p>
            <w:pPr>
              <w:jc w:val="center"/>
            </w:pPr>
            <w:r>
              <w:rPr>
                <w:rFonts w:ascii="Arial" w:cs="Arial" w:eastAsia="Arial" w:hAnsi="Arial"/>
                <w:b/>
                <w:bCs/>
                <w:color w:val="FFFFFF"/>
                <w:sz w:val="22"/>
                <w:szCs w:val="22"/>
              </w:rPr>
              <w:t xml:space="preserve">7</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before="0"/>
            </w:pPr>
            <w:r>
              <w:rPr>
                <w:rFonts w:ascii="Arial" w:cs="Arial" w:eastAsia="Arial" w:hAnsi="Arial"/>
                <w:color w:val="1a1a1a"/>
                <w:sz w:val="20"/>
                <w:szCs w:val="20"/>
              </w:rPr>
              <w:t xml:space="preserve">Eldreth DA et al. Impaired Error Awareness and Anterior Cingulate Cortex Hypoactivity in Chronic Cannabis Users. Neuropsychopharmacology. 2009;34(11):2450-2458. doi: 10.1038/npp.2009.67</w:t>
            </w:r>
          </w:p>
          <w:p>
            <w:pPr>
              <w:spacing w:after="40" w:before="0"/>
            </w:pPr>
            <w:r>
              <w:rPr>
                <w:rFonts w:ascii="Arial" w:cs="Arial" w:eastAsia="Arial" w:hAnsi="Arial"/>
                <w:b/>
                <w:bCs/>
                <w:color w:val="2E75B6"/>
                <w:sz w:val="19"/>
                <w:szCs w:val="19"/>
              </w:rPr>
              <w:t xml:space="preserve">▸  Supports: </w:t>
            </w:r>
            <w:r>
              <w:rPr>
                <w:rFonts w:ascii="Arial" w:cs="Arial" w:eastAsia="Arial" w:hAnsi="Arial"/>
                <w:color w:val="404040"/>
                <w:sz w:val="19"/>
                <w:szCs w:val="19"/>
              </w:rPr>
              <w:t xml:space="preserve">Demonstrates impaired error awareness linked to ACC hypoactivity in chronic cannabis users. Supports the application's model that the cingulate's conflict-monitoring function is impaired under chronic substance use. Note: ACC hypoactivity is found in general inhibitory control contexts; in drug cue-reactivity paradigms, ACC activation may be higher than in controls, reflecting dysregulated not merely suppressed function.</w:t>
            </w:r>
          </w:p>
          <w:p>
            <w:pPr>
              <w:spacing w:after="0" w:before="0"/>
            </w:pPr>
            <w:r>
              <w:rPr>
                <w:rFonts w:ascii="Arial" w:cs="Arial" w:eastAsia="Arial" w:hAnsi="Arial"/>
                <w:i/>
                <w:iCs/>
                <w:color w:val="808080"/>
                <w:sz w:val="17"/>
                <w:szCs w:val="17"/>
              </w:rPr>
              <w:t xml:space="preserve">https://www.nature.com/articles/npp200967</w:t>
            </w:r>
          </w:p>
        </w:tc>
      </w:tr>
    </w:tbl>
    <w:p>
      <w:pPr>
        <w:spacing w:after="120" w:before="80"/>
        <w:jc w:val="left"/>
      </w:pPr>
      <w:r>
        <w:rPr>
          <w:rFonts w:ascii="Arial" w:cs="Arial" w:eastAsia="Arial" w:hAnsi="Arial"/>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vAlign w:val="center"/>
          </w:tcPr>
          <w:p>
            <w:pPr>
              <w:jc w:val="center"/>
            </w:pPr>
            <w:r>
              <w:rPr>
                <w:rFonts w:ascii="Arial" w:cs="Arial" w:eastAsia="Arial" w:hAnsi="Arial"/>
                <w:b/>
                <w:bCs/>
                <w:color w:val="FFFFFF"/>
                <w:sz w:val="22"/>
                <w:szCs w:val="22"/>
              </w:rPr>
              <w:t xml:space="preserve">8</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before="0"/>
            </w:pPr>
            <w:r>
              <w:rPr>
                <w:rFonts w:ascii="Arial" w:cs="Arial" w:eastAsia="Arial" w:hAnsi="Arial"/>
                <w:color w:val="1a1a1a"/>
                <w:sz w:val="20"/>
                <w:szCs w:val="20"/>
              </w:rPr>
              <w:t xml:space="preserve">Zilverstand A et al. Neurobiological Correlates of Cue-Reactivity in Alcohol-Use Disorders: A Voxel-wise Meta-analysis of fMRI Studies. Neuroscience and Biobehavioral Reviews. 2021;128:149-164. doi: 10.1016/j.neubiorev.2021.06.035</w:t>
            </w:r>
          </w:p>
          <w:p>
            <w:pPr>
              <w:spacing w:after="40" w:before="0"/>
            </w:pPr>
            <w:r>
              <w:rPr>
                <w:rFonts w:ascii="Arial" w:cs="Arial" w:eastAsia="Arial" w:hAnsi="Arial"/>
                <w:b/>
                <w:bCs/>
                <w:color w:val="2E75B6"/>
                <w:sz w:val="19"/>
                <w:szCs w:val="19"/>
              </w:rPr>
              <w:t xml:space="preserve">▸  Supports: </w:t>
            </w:r>
            <w:r>
              <w:rPr>
                <w:rFonts w:ascii="Arial" w:cs="Arial" w:eastAsia="Arial" w:hAnsi="Arial"/>
                <w:color w:val="404040"/>
                <w:sz w:val="19"/>
                <w:szCs w:val="19"/>
              </w:rPr>
              <w:t xml:space="preserve">Meta-analysis of fMRI cue-reactivity studies in alcohol use disorder. Importantly, this paper shows that AUD patients can exhibit greater cue-induced ACC/mid-cingulate activation relative to controls — the alarm system does not simply go quiet, it fires in a dysregulated fashion in response to drug cues. This is the key nuance missing from a simple "silenced alarm" metaphor.</w:t>
            </w:r>
          </w:p>
          <w:p>
            <w:pPr>
              <w:spacing w:after="0" w:before="0"/>
            </w:pPr>
            <w:r>
              <w:rPr>
                <w:rFonts w:ascii="Arial" w:cs="Arial" w:eastAsia="Arial" w:hAnsi="Arial"/>
                <w:i/>
                <w:iCs/>
                <w:color w:val="808080"/>
                <w:sz w:val="17"/>
                <w:szCs w:val="17"/>
              </w:rPr>
              <w:t xml:space="preserve">https://www.sciencedirect.com/science/article/abs/pii/S0149763421002736</w:t>
            </w:r>
          </w:p>
        </w:tc>
      </w:tr>
    </w:tbl>
    <w:p>
      <w:pPr>
        <w:spacing w:after="120" w:before="120"/>
        <w:jc w:val="left"/>
      </w:pPr>
      <w:r>
        <w:rPr>
          <w:rFonts w:ascii="Arial" w:cs="Arial" w:eastAsia="Arial" w:hAnsi="Arial"/>
          <w:b w:val="false"/>
          <w:bCs w:val="false"/>
          <w:i w:val="false"/>
          <w:iCs w:val="false"/>
          <w:color w:val="1a1a1a"/>
          <w:sz w:val="22"/>
          <w:szCs w:val="22"/>
        </w:rPr>
        <w:t xml:space="preserve"/>
      </w:r>
    </w:p>
    <w:p>
      <w:pPr>
        <w:pStyle w:val="Heading1"/>
        <w:spacing w:after="100" w:before="320"/>
      </w:pPr>
      <w:r>
        <w:rPr>
          <w:rFonts w:ascii="Arial" w:cs="Arial" w:eastAsia="Arial" w:hAnsi="Arial"/>
          <w:b/>
          <w:bCs/>
          <w:color w:val="1F4E79"/>
          <w:sz w:val="30"/>
          <w:szCs w:val="30"/>
        </w:rPr>
        <w:t xml:space="preserve">4. Amygdala, Stress Systems, and Negative Reinforcement</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vAlign w:val="center"/>
          </w:tcPr>
          <w:p>
            <w:pPr>
              <w:jc w:val="center"/>
            </w:pPr>
            <w:r>
              <w:rPr>
                <w:rFonts w:ascii="Arial" w:cs="Arial" w:eastAsia="Arial" w:hAnsi="Arial"/>
                <w:b/>
                <w:bCs/>
                <w:color w:val="FFFFFF"/>
                <w:sz w:val="22"/>
                <w:szCs w:val="22"/>
              </w:rPr>
              <w:t xml:space="preserve">9</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before="0"/>
            </w:pPr>
            <w:r>
              <w:rPr>
                <w:rFonts w:ascii="Arial" w:cs="Arial" w:eastAsia="Arial" w:hAnsi="Arial"/>
                <w:color w:val="1a1a1a"/>
                <w:sz w:val="20"/>
                <w:szCs w:val="20"/>
              </w:rPr>
              <w:t xml:space="preserve">Koob GF, Volkow ND. (as reference 1 above — specifically Chapter 2.3 on the extended amygdala and withdrawal). Additionally: Koob GF. The dark side of emotion: the addiction perspective. European Journal of Pharmacology. 2015;753:73-87. doi: 10.1016/j.ejphar.2014.11.044</w:t>
            </w:r>
          </w:p>
          <w:p>
            <w:pPr>
              <w:spacing w:after="40" w:before="0"/>
            </w:pPr>
            <w:r>
              <w:rPr>
                <w:rFonts w:ascii="Arial" w:cs="Arial" w:eastAsia="Arial" w:hAnsi="Arial"/>
                <w:b/>
                <w:bCs/>
                <w:color w:val="2E75B6"/>
                <w:sz w:val="19"/>
                <w:szCs w:val="19"/>
              </w:rPr>
              <w:t xml:space="preserve">▸  Supports: </w:t>
            </w:r>
            <w:r>
              <w:rPr>
                <w:rFonts w:ascii="Arial" w:cs="Arial" w:eastAsia="Arial" w:hAnsi="Arial"/>
                <w:color w:val="404040"/>
                <w:sz w:val="19"/>
                <w:szCs w:val="19"/>
              </w:rPr>
              <w:t xml:space="preserve">Establishes the extended amygdala (basolateral amygdala, central nucleus, bed nucleus of the stria terminalis) as the neurobiological substrate of the negative emotional states that drive negative reinforcement — drinking to escape discomfort rather than to seek pleasure. The "intolerable discomfort → alcohol → relief" loop described in the application is well-aligned with this negative reinforcement model.</w:t>
            </w:r>
          </w:p>
          <w:p>
            <w:pPr>
              <w:spacing w:after="0" w:before="0"/>
            </w:pPr>
            <w:r>
              <w:rPr>
                <w:rFonts w:ascii="Arial" w:cs="Arial" w:eastAsia="Arial" w:hAnsi="Arial"/>
                <w:i/>
                <w:iCs/>
                <w:color w:val="808080"/>
                <w:sz w:val="17"/>
                <w:szCs w:val="17"/>
              </w:rPr>
              <w:t xml:space="preserve">https://www.ncbi.nlm.nih.gov/books/NBK424849/</w:t>
            </w:r>
          </w:p>
        </w:tc>
      </w:tr>
    </w:tbl>
    <w:p>
      <w:pPr>
        <w:spacing w:after="120" w:before="80"/>
        <w:jc w:val="left"/>
      </w:pPr>
      <w:r>
        <w:rPr>
          <w:rFonts w:ascii="Arial" w:cs="Arial" w:eastAsia="Arial" w:hAnsi="Arial"/>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vAlign w:val="center"/>
          </w:tcPr>
          <w:p>
            <w:pPr>
              <w:jc w:val="center"/>
            </w:pPr>
            <w:r>
              <w:rPr>
                <w:rFonts w:ascii="Arial" w:cs="Arial" w:eastAsia="Arial" w:hAnsi="Arial"/>
                <w:b/>
                <w:bCs/>
                <w:color w:val="FFFFFF"/>
                <w:sz w:val="22"/>
                <w:szCs w:val="22"/>
              </w:rPr>
              <w:t xml:space="preserve">10</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before="0"/>
            </w:pPr>
            <w:r>
              <w:rPr>
                <w:rFonts w:ascii="Arial" w:cs="Arial" w:eastAsia="Arial" w:hAnsi="Arial"/>
                <w:color w:val="1a1a1a"/>
                <w:sz w:val="20"/>
                <w:szCs w:val="20"/>
              </w:rPr>
              <w:t xml:space="preserve">Sinha R. Stress and substance use disorders: risk, relapse, and treatment outcomes. Journal of Clinical Investigation. 2024;134(4):e172883. doi: 10.1172/JCI172883</w:t>
            </w:r>
          </w:p>
          <w:p>
            <w:pPr>
              <w:spacing w:after="40" w:before="0"/>
            </w:pPr>
            <w:r>
              <w:rPr>
                <w:rFonts w:ascii="Arial" w:cs="Arial" w:eastAsia="Arial" w:hAnsi="Arial"/>
                <w:b/>
                <w:bCs/>
                <w:color w:val="2E75B6"/>
                <w:sz w:val="19"/>
                <w:szCs w:val="19"/>
              </w:rPr>
              <w:t xml:space="preserve">▸  Supports: </w:t>
            </w:r>
            <w:r>
              <w:rPr>
                <w:rFonts w:ascii="Arial" w:cs="Arial" w:eastAsia="Arial" w:hAnsi="Arial"/>
                <w:color w:val="404040"/>
                <w:sz w:val="19"/>
                <w:szCs w:val="19"/>
              </w:rPr>
              <w:t xml:space="preserve">Comprehensive review of stress-substance use interactions. Documents that stress and substance use disorders form a feed-forward cycle: stress increases craving and relapse risk; substance use disrupts HPA-axis stress regulation, making future stress harder to manage. Supports both the application's load model and the therapeutic rationale for daily stress monitoring. Notes that cortisol, autonomic, immune, striatal, and prefrontal systems are all affected.</w:t>
            </w:r>
          </w:p>
          <w:p>
            <w:pPr>
              <w:spacing w:after="0" w:before="0"/>
            </w:pPr>
            <w:r>
              <w:rPr>
                <w:rFonts w:ascii="Arial" w:cs="Arial" w:eastAsia="Arial" w:hAnsi="Arial"/>
                <w:i/>
                <w:iCs/>
                <w:color w:val="808080"/>
                <w:sz w:val="17"/>
                <w:szCs w:val="17"/>
              </w:rPr>
              <w:t xml:space="preserve">https://www.jci.org/articles/view/172883</w:t>
            </w:r>
          </w:p>
        </w:tc>
      </w:tr>
    </w:tbl>
    <w:p>
      <w:pPr>
        <w:spacing w:after="120" w:before="120"/>
        <w:jc w:val="left"/>
      </w:pPr>
      <w:r>
        <w:rPr>
          <w:rFonts w:ascii="Arial" w:cs="Arial" w:eastAsia="Arial" w:hAnsi="Arial"/>
          <w:b w:val="false"/>
          <w:bCs w:val="false"/>
          <w:i w:val="false"/>
          <w:iCs w:val="false"/>
          <w:color w:val="1a1a1a"/>
          <w:sz w:val="22"/>
          <w:szCs w:val="22"/>
        </w:rPr>
        <w:t xml:space="preserve"/>
      </w:r>
    </w:p>
    <w:p>
      <w:pPr>
        <w:pStyle w:val="Heading1"/>
        <w:spacing w:after="100" w:before="320"/>
      </w:pPr>
      <w:r>
        <w:rPr>
          <w:rFonts w:ascii="Arial" w:cs="Arial" w:eastAsia="Arial" w:hAnsi="Arial"/>
          <w:b/>
          <w:bCs/>
          <w:color w:val="1F4E79"/>
          <w:sz w:val="30"/>
          <w:szCs w:val="30"/>
        </w:rPr>
        <w:t xml:space="preserve">5. Hippocampus — Context, Memory, and Cue-Triggered Craving</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vAlign w:val="center"/>
          </w:tcPr>
          <w:p>
            <w:pPr>
              <w:jc w:val="center"/>
            </w:pPr>
            <w:r>
              <w:rPr>
                <w:rFonts w:ascii="Arial" w:cs="Arial" w:eastAsia="Arial" w:hAnsi="Arial"/>
                <w:b/>
                <w:bCs/>
                <w:color w:val="FFFFFF"/>
                <w:sz w:val="22"/>
                <w:szCs w:val="22"/>
              </w:rPr>
              <w:t xml:space="preserve">11</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before="0"/>
            </w:pPr>
            <w:r>
              <w:rPr>
                <w:rFonts w:ascii="Arial" w:cs="Arial" w:eastAsia="Arial" w:hAnsi="Arial"/>
                <w:color w:val="1a1a1a"/>
                <w:sz w:val="20"/>
                <w:szCs w:val="20"/>
              </w:rPr>
              <w:t xml:space="preserve">Bhatt S et al. Neural Circuit Dynamics of Drug-Context Associative Learning in the Mouse Hippocampus. Nature Communications. 2022;13:6485. doi: 10.1038/s41467-022-34114-x</w:t>
            </w:r>
          </w:p>
          <w:p>
            <w:pPr>
              <w:spacing w:after="40" w:before="0"/>
            </w:pPr>
            <w:r>
              <w:rPr>
                <w:rFonts w:ascii="Arial" w:cs="Arial" w:eastAsia="Arial" w:hAnsi="Arial"/>
                <w:b/>
                <w:bCs/>
                <w:color w:val="2E75B6"/>
                <w:sz w:val="19"/>
                <w:szCs w:val="19"/>
              </w:rPr>
              <w:t xml:space="preserve">▸  Supports: </w:t>
            </w:r>
            <w:r>
              <w:rPr>
                <w:rFonts w:ascii="Arial" w:cs="Arial" w:eastAsia="Arial" w:hAnsi="Arial"/>
                <w:color w:val="404040"/>
                <w:sz w:val="19"/>
                <w:szCs w:val="19"/>
              </w:rPr>
              <w:t xml:space="preserve">Demonstrates that the hippocampus encodes the spatial and contextual representations that link environmental context to prior drug use. Environmental context associated with prior drug use is a strong relapse trigger, and hippocampal circuits encode these drug-context associations. Supports the application's description of why a time of day, a place, a smell, or an emotional state can trigger craving without conscious deliberation.</w:t>
            </w:r>
          </w:p>
          <w:p>
            <w:pPr>
              <w:spacing w:after="0" w:before="0"/>
            </w:pPr>
            <w:r>
              <w:rPr>
                <w:rFonts w:ascii="Arial" w:cs="Arial" w:eastAsia="Arial" w:hAnsi="Arial"/>
                <w:i/>
                <w:iCs/>
                <w:color w:val="808080"/>
                <w:sz w:val="17"/>
                <w:szCs w:val="17"/>
              </w:rPr>
              <w:t xml:space="preserve">https://www.nature.com/articles/s41467-022-34114-x</w:t>
            </w:r>
          </w:p>
        </w:tc>
      </w:tr>
    </w:tbl>
    <w:p>
      <w:pPr>
        <w:spacing w:after="120" w:before="80"/>
        <w:jc w:val="left"/>
      </w:pPr>
      <w:r>
        <w:rPr>
          <w:rFonts w:ascii="Arial" w:cs="Arial" w:eastAsia="Arial" w:hAnsi="Arial"/>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vAlign w:val="center"/>
          </w:tcPr>
          <w:p>
            <w:pPr>
              <w:jc w:val="center"/>
            </w:pPr>
            <w:r>
              <w:rPr>
                <w:rFonts w:ascii="Arial" w:cs="Arial" w:eastAsia="Arial" w:hAnsi="Arial"/>
                <w:b/>
                <w:bCs/>
                <w:color w:val="FFFFFF"/>
                <w:sz w:val="22"/>
                <w:szCs w:val="22"/>
              </w:rPr>
              <w:t xml:space="preserve">12</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before="0"/>
            </w:pPr>
            <w:r>
              <w:rPr>
                <w:rFonts w:ascii="Arial" w:cs="Arial" w:eastAsia="Arial" w:hAnsi="Arial"/>
                <w:color w:val="1a1a1a"/>
                <w:sz w:val="20"/>
                <w:szCs w:val="20"/>
              </w:rPr>
              <w:t xml:space="preserve">Kutlu MG, Gould TJ. Memory Systems and the Addicted Brain. Frontiers in Psychiatry. 2016;7:24. doi: 10.3389/fpsyt.2016.00024</w:t>
            </w:r>
          </w:p>
          <w:p>
            <w:pPr>
              <w:spacing w:after="40" w:before="0"/>
            </w:pPr>
            <w:r>
              <w:rPr>
                <w:rFonts w:ascii="Arial" w:cs="Arial" w:eastAsia="Arial" w:hAnsi="Arial"/>
                <w:b/>
                <w:bCs/>
                <w:color w:val="2E75B6"/>
                <w:sz w:val="19"/>
                <w:szCs w:val="19"/>
              </w:rPr>
              <w:t xml:space="preserve">▸  Supports: </w:t>
            </w:r>
            <w:r>
              <w:rPr>
                <w:rFonts w:ascii="Arial" w:cs="Arial" w:eastAsia="Arial" w:hAnsi="Arial"/>
                <w:color w:val="404040"/>
                <w:sz w:val="19"/>
                <w:szCs w:val="19"/>
              </w:rPr>
              <w:t xml:space="preserve">Review of how the hippocampus, dorsal striatum, and amygdala encode distinct types of drug-related memory — with the hippocampus specifically encoding cue/context relationships. Clarifies that relapse triggered by environmental contexts is mediated by hippocampal-amygdala circuits, not by deliberate recollection.</w:t>
            </w:r>
          </w:p>
          <w:p>
            <w:pPr>
              <w:spacing w:after="0" w:before="0"/>
            </w:pPr>
            <w:r>
              <w:rPr>
                <w:rFonts w:ascii="Arial" w:cs="Arial" w:eastAsia="Arial" w:hAnsi="Arial"/>
                <w:i/>
                <w:iCs/>
                <w:color w:val="808080"/>
                <w:sz w:val="17"/>
                <w:szCs w:val="17"/>
              </w:rPr>
              <w:t xml:space="preserve">https://www.frontiersin.org/journals/psychiatry/articles/10.3389/fpsyt.2016.00024/full</w:t>
            </w:r>
          </w:p>
        </w:tc>
      </w:tr>
    </w:tbl>
    <w:p>
      <w:pPr>
        <w:spacing w:after="120" w:before="120"/>
        <w:jc w:val="left"/>
      </w:pPr>
      <w:r>
        <w:rPr>
          <w:rFonts w:ascii="Arial" w:cs="Arial" w:eastAsia="Arial" w:hAnsi="Arial"/>
          <w:b w:val="false"/>
          <w:bCs w:val="false"/>
          <w:i w:val="false"/>
          <w:iCs w:val="false"/>
          <w:color w:val="1a1a1a"/>
          <w:sz w:val="22"/>
          <w:szCs w:val="22"/>
        </w:rPr>
        <w:t xml:space="preserve"/>
      </w:r>
    </w:p>
    <w:p>
      <w:pPr>
        <w:pStyle w:val="Heading1"/>
        <w:spacing w:after="100" w:before="320"/>
      </w:pPr>
      <w:r>
        <w:rPr>
          <w:rFonts w:ascii="Arial" w:cs="Arial" w:eastAsia="Arial" w:hAnsi="Arial"/>
          <w:b/>
          <w:bCs/>
          <w:color w:val="1F4E79"/>
          <w:sz w:val="30"/>
          <w:szCs w:val="30"/>
        </w:rPr>
        <w:t xml:space="preserve">6. Nucleus Accumbens, Dopamine, and Incentive Salience</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vAlign w:val="center"/>
          </w:tcPr>
          <w:p>
            <w:pPr>
              <w:jc w:val="center"/>
            </w:pPr>
            <w:r>
              <w:rPr>
                <w:rFonts w:ascii="Arial" w:cs="Arial" w:eastAsia="Arial" w:hAnsi="Arial"/>
                <w:b/>
                <w:bCs/>
                <w:color w:val="FFFFFF"/>
                <w:sz w:val="22"/>
                <w:szCs w:val="22"/>
              </w:rPr>
              <w:t xml:space="preserve">13</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before="0"/>
            </w:pPr>
            <w:r>
              <w:rPr>
                <w:rFonts w:ascii="Arial" w:cs="Arial" w:eastAsia="Arial" w:hAnsi="Arial"/>
                <w:color w:val="1a1a1a"/>
                <w:sz w:val="20"/>
                <w:szCs w:val="20"/>
              </w:rPr>
              <w:t xml:space="preserve">Robinson TE, Berridge KC. (as reference 3 above). Also: Berridge KC, Robinson TE. Liking, Wanting, and the Incentive-Sensitization Theory of Addiction. American Psychologist. 2016;71(8):670-679. doi: 10.1037/amp0000059</w:t>
            </w:r>
          </w:p>
          <w:p>
            <w:pPr>
              <w:spacing w:after="40" w:before="0"/>
            </w:pPr>
            <w:r>
              <w:rPr>
                <w:rFonts w:ascii="Arial" w:cs="Arial" w:eastAsia="Arial" w:hAnsi="Arial"/>
                <w:b/>
                <w:bCs/>
                <w:color w:val="2E75B6"/>
                <w:sz w:val="19"/>
                <w:szCs w:val="19"/>
              </w:rPr>
              <w:t xml:space="preserve">▸  Supports: </w:t>
            </w:r>
            <w:r>
              <w:rPr>
                <w:rFonts w:ascii="Arial" w:cs="Arial" w:eastAsia="Arial" w:hAnsi="Arial"/>
                <w:color w:val="404040"/>
                <w:sz w:val="19"/>
                <w:szCs w:val="19"/>
              </w:rPr>
              <w:t xml:space="preserve">The distinction between wanting (incentive salience, mesolimbic dopamine, nucleus accumbens) and liking (hedonic pleasure, opioid circuits) is central to understanding why craving persists in recovery. Drug wanting can become sensitized and exaggerated without any corresponding increase in pleasure from use. This explains compulsive seeking despite no longer "enjoying" alcohol.</w:t>
            </w:r>
          </w:p>
          <w:p>
            <w:pPr>
              <w:spacing w:after="0" w:before="0"/>
            </w:pPr>
            <w:r>
              <w:rPr>
                <w:rFonts w:ascii="Arial" w:cs="Arial" w:eastAsia="Arial" w:hAnsi="Arial"/>
                <w:i/>
                <w:iCs/>
                <w:color w:val="808080"/>
                <w:sz w:val="17"/>
                <w:szCs w:val="17"/>
              </w:rPr>
              <w:t xml:space="preserve">https://www.ncbi.nlm.nih.gov/pmc/articles/PMC11773642/</w:t>
            </w:r>
          </w:p>
        </w:tc>
      </w:tr>
    </w:tbl>
    <w:p>
      <w:pPr>
        <w:spacing w:after="120" w:before="80"/>
        <w:jc w:val="left"/>
      </w:pPr>
      <w:r>
        <w:rPr>
          <w:rFonts w:ascii="Arial" w:cs="Arial" w:eastAsia="Arial" w:hAnsi="Arial"/>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vAlign w:val="center"/>
          </w:tcPr>
          <w:p>
            <w:pPr>
              <w:jc w:val="center"/>
            </w:pPr>
            <w:r>
              <w:rPr>
                <w:rFonts w:ascii="Arial" w:cs="Arial" w:eastAsia="Arial" w:hAnsi="Arial"/>
                <w:b/>
                <w:bCs/>
                <w:color w:val="FFFFFF"/>
                <w:sz w:val="22"/>
                <w:szCs w:val="22"/>
              </w:rPr>
              <w:t xml:space="preserve">14</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before="0"/>
            </w:pPr>
            <w:r>
              <w:rPr>
                <w:rFonts w:ascii="Arial" w:cs="Arial" w:eastAsia="Arial" w:hAnsi="Arial"/>
                <w:color w:val="1a1a1a"/>
                <w:sz w:val="20"/>
                <w:szCs w:val="20"/>
              </w:rPr>
              <w:t xml:space="preserve">Oberlin BG et al. Beer Flavor Provokes Striatal Dopamine Release in Male Drinkers: Mediation by Family History of Alcoholism. Neuropsychopharmacology. 2013;38(9):1617-1624. doi: 10.1038/npp.2013.91</w:t>
            </w:r>
          </w:p>
          <w:p>
            <w:pPr>
              <w:spacing w:after="40" w:before="0"/>
            </w:pPr>
            <w:r>
              <w:rPr>
                <w:rFonts w:ascii="Arial" w:cs="Arial" w:eastAsia="Arial" w:hAnsi="Arial"/>
                <w:b/>
                <w:bCs/>
                <w:color w:val="2E75B6"/>
                <w:sz w:val="19"/>
                <w:szCs w:val="19"/>
              </w:rPr>
              <w:t xml:space="preserve">▸  Supports: </w:t>
            </w:r>
            <w:r>
              <w:rPr>
                <w:rFonts w:ascii="Arial" w:cs="Arial" w:eastAsia="Arial" w:hAnsi="Arial"/>
                <w:color w:val="404040"/>
                <w:sz w:val="19"/>
                <w:szCs w:val="19"/>
              </w:rPr>
              <w:t xml:space="preserve">Demonstrates that beer flavour alone (without meaningful alcohol pharmacology) caused increased desire to drink and provoked ventral striatal dopamine release in male drinkers. In those with a family history of alcoholism, this dopamine release was larger. Provides direct human neuroimaging evidence that drug-associated cues activate the dopamine reward system before any drug is consumed — the "wanting" precedes the act.</w:t>
            </w:r>
          </w:p>
          <w:p>
            <w:pPr>
              <w:spacing w:after="0" w:before="0"/>
            </w:pPr>
            <w:r>
              <w:rPr>
                <w:rFonts w:ascii="Arial" w:cs="Arial" w:eastAsia="Arial" w:hAnsi="Arial"/>
                <w:i/>
                <w:iCs/>
                <w:color w:val="808080"/>
                <w:sz w:val="17"/>
                <w:szCs w:val="17"/>
              </w:rPr>
              <w:t xml:space="preserve">https://www.nature.com/articles/npp201391</w:t>
            </w:r>
          </w:p>
        </w:tc>
      </w:tr>
    </w:tbl>
    <w:p>
      <w:pPr>
        <w:spacing w:after="120" w:before="120"/>
        <w:jc w:val="left"/>
      </w:pPr>
      <w:r>
        <w:rPr>
          <w:rFonts w:ascii="Arial" w:cs="Arial" w:eastAsia="Arial" w:hAnsi="Arial"/>
          <w:b w:val="false"/>
          <w:bCs w:val="false"/>
          <w:i w:val="false"/>
          <w:iCs w:val="false"/>
          <w:color w:val="1a1a1a"/>
          <w:sz w:val="22"/>
          <w:szCs w:val="22"/>
        </w:rPr>
        <w:t xml:space="preserve"/>
      </w:r>
    </w:p>
    <w:p>
      <w:pPr>
        <w:pStyle w:val="Heading1"/>
        <w:spacing w:after="100" w:before="320"/>
      </w:pPr>
      <w:r>
        <w:rPr>
          <w:rFonts w:ascii="Arial" w:cs="Arial" w:eastAsia="Arial" w:hAnsi="Arial"/>
          <w:b/>
          <w:bCs/>
          <w:color w:val="1F4E79"/>
          <w:sz w:val="30"/>
          <w:szCs w:val="30"/>
        </w:rPr>
        <w:t xml:space="preserve">7. Basal Ganglia — Habits, Automaticity, and Compulsion</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1a1a1a"/>
          <w:sz w:val="22"/>
          <w:szCs w:val="22"/>
        </w:rPr>
        <w:t xml:space="preserve"/>
      </w:r>
    </w:p>
    <w:p>
      <w:pPr>
        <w:spacing w:after="160" w:before="0"/>
        <w:jc w:val="left"/>
      </w:pPr>
      <w:r>
        <w:rPr>
          <w:rFonts w:ascii="Arial" w:cs="Arial" w:eastAsia="Arial" w:hAnsi="Arial"/>
          <w:b w:val="false"/>
          <w:bCs w:val="false"/>
          <w:i w:val="false"/>
          <w:iCs w:val="false"/>
          <w:color w:val="1a1a1a"/>
          <w:sz w:val="22"/>
          <w:szCs w:val="22"/>
        </w:rPr>
        <w:t xml:space="preserve">The application's representation of the basal ganglia as the "habit executor" is strongly supported. The preferred framing is not "the basal ganglia decided, not you" (too dualistic) but rather "the behaviour was biased into execution by learned corticostriatal routines before reflective control reasserted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vAlign w:val="center"/>
          </w:tcPr>
          <w:p>
            <w:pPr>
              <w:jc w:val="center"/>
            </w:pPr>
            <w:r>
              <w:rPr>
                <w:rFonts w:ascii="Arial" w:cs="Arial" w:eastAsia="Arial" w:hAnsi="Arial"/>
                <w:b/>
                <w:bCs/>
                <w:color w:val="FFFFFF"/>
                <w:sz w:val="22"/>
                <w:szCs w:val="22"/>
              </w:rPr>
              <w:t xml:space="preserve">15</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before="0"/>
            </w:pPr>
            <w:r>
              <w:rPr>
                <w:rFonts w:ascii="Arial" w:cs="Arial" w:eastAsia="Arial" w:hAnsi="Arial"/>
                <w:color w:val="1a1a1a"/>
                <w:sz w:val="20"/>
                <w:szCs w:val="20"/>
              </w:rPr>
              <w:t xml:space="preserve">Corbit LH, Janak PH. Habitual Alcohol Seeking: Neural Bases and Possible Relations to Alcohol Use Disorders. Alcoholism: Clinical and Experimental Research. 2016;40(7):1380-1389. doi: 10.1111/acer.13094. Also: Murray JE, Everitt BJ. Dorsal Striatal Circuits for Habits, Compulsions and Addictions. Frontiers in Systems Neuroscience. 2019;13:28. doi: 10.3389/fnsys.2019.00028</w:t>
            </w:r>
          </w:p>
          <w:p>
            <w:pPr>
              <w:spacing w:after="40" w:before="0"/>
            </w:pPr>
            <w:r>
              <w:rPr>
                <w:rFonts w:ascii="Arial" w:cs="Arial" w:eastAsia="Arial" w:hAnsi="Arial"/>
                <w:b/>
                <w:bCs/>
                <w:color w:val="2E75B6"/>
                <w:sz w:val="19"/>
                <w:szCs w:val="19"/>
              </w:rPr>
              <w:t xml:space="preserve">▸  Supports: </w:t>
            </w:r>
            <w:r>
              <w:rPr>
                <w:rFonts w:ascii="Arial" w:cs="Arial" w:eastAsia="Arial" w:hAnsi="Arial"/>
                <w:color w:val="404040"/>
                <w:sz w:val="19"/>
                <w:szCs w:val="19"/>
              </w:rPr>
              <w:t xml:space="preserve">Repeated activation of dorsal-striatal habit circuitry strengthens substance-seeking and substance-taking habits, contributing to compulsive use (SAMHSA 2016). The Frontiers review describes habits, compulsions, and addictions as involving relatively automatic action performance, with the dorsal striatum and its cortical inputs as key players. At high load with diminished PFC control, dorsal-striatal habit routines execute the learned behavioural sequence with reduced conscious oversight.</w:t>
            </w:r>
          </w:p>
          <w:p>
            <w:pPr>
              <w:spacing w:after="0" w:before="0"/>
            </w:pPr>
            <w:r>
              <w:rPr>
                <w:rFonts w:ascii="Arial" w:cs="Arial" w:eastAsia="Arial" w:hAnsi="Arial"/>
                <w:i/>
                <w:iCs/>
                <w:color w:val="808080"/>
                <w:sz w:val="17"/>
                <w:szCs w:val="17"/>
              </w:rPr>
              <w:t xml:space="preserve">https://www.frontiersin.org/journals/systems-neuroscience/articles/10.3389/fnsys.2019.00028/full</w:t>
            </w:r>
          </w:p>
        </w:tc>
      </w:tr>
    </w:tbl>
    <w:p>
      <w:pPr>
        <w:spacing w:after="120" w:before="120"/>
        <w:jc w:val="left"/>
      </w:pPr>
      <w:r>
        <w:rPr>
          <w:rFonts w:ascii="Arial" w:cs="Arial" w:eastAsia="Arial" w:hAnsi="Arial"/>
          <w:b w:val="false"/>
          <w:bCs w:val="false"/>
          <w:i w:val="false"/>
          <w:iCs w:val="false"/>
          <w:color w:val="1a1a1a"/>
          <w:sz w:val="22"/>
          <w:szCs w:val="22"/>
        </w:rPr>
        <w:t xml:space="preserve"/>
      </w:r>
    </w:p>
    <w:p>
      <w:pPr>
        <w:pStyle w:val="Heading1"/>
        <w:spacing w:after="100" w:before="320"/>
      </w:pPr>
      <w:r>
        <w:rPr>
          <w:rFonts w:ascii="Arial" w:cs="Arial" w:eastAsia="Arial" w:hAnsi="Arial"/>
          <w:b/>
          <w:bCs/>
          <w:color w:val="1F4E79"/>
          <w:sz w:val="30"/>
          <w:szCs w:val="30"/>
        </w:rPr>
        <w:t xml:space="preserve">8. Why Abstinence Does Not Erase the Drive — Memory Reconsolidation</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vAlign w:val="center"/>
          </w:tcPr>
          <w:p>
            <w:pPr>
              <w:jc w:val="center"/>
            </w:pPr>
            <w:r>
              <w:rPr>
                <w:rFonts w:ascii="Arial" w:cs="Arial" w:eastAsia="Arial" w:hAnsi="Arial"/>
                <w:b/>
                <w:bCs/>
                <w:color w:val="FFFFFF"/>
                <w:sz w:val="22"/>
                <w:szCs w:val="22"/>
              </w:rPr>
              <w:t xml:space="preserve">16</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before="0"/>
            </w:pPr>
            <w:r>
              <w:rPr>
                <w:rFonts w:ascii="Arial" w:cs="Arial" w:eastAsia="Arial" w:hAnsi="Arial"/>
                <w:color w:val="1a1a1a"/>
                <w:sz w:val="20"/>
                <w:szCs w:val="20"/>
              </w:rPr>
              <w:t xml:space="preserve">Merlo E et al. Drug Memory Reconsolidation: From Molecular Mechanisms to the Clinical Context. Translational Psychiatry. 2023;13:356. doi: 10.1038/s41398-023-02666-1</w:t>
            </w:r>
          </w:p>
          <w:p>
            <w:pPr>
              <w:spacing w:after="40" w:before="0"/>
            </w:pPr>
            <w:r>
              <w:rPr>
                <w:rFonts w:ascii="Arial" w:cs="Arial" w:eastAsia="Arial" w:hAnsi="Arial"/>
                <w:b/>
                <w:bCs/>
                <w:color w:val="2E75B6"/>
                <w:sz w:val="19"/>
                <w:szCs w:val="19"/>
              </w:rPr>
              <w:t xml:space="preserve">▸  Supports: </w:t>
            </w:r>
            <w:r>
              <w:rPr>
                <w:rFonts w:ascii="Arial" w:cs="Arial" w:eastAsia="Arial" w:hAnsi="Arial"/>
                <w:color w:val="404040"/>
                <w:sz w:val="19"/>
                <w:szCs w:val="19"/>
              </w:rPr>
              <w:t xml:space="preserve">Drug-associated memories are stored in neural circuits (hippocampus, amygdala, striatum) that do not simply decay during abstinence. These memories are reconsolidated — updated and re-stored — each time they are retrieved. This is why a person who has been abstinent for months or years can still experience strong cue-triggered craving: the memory substrate is intact and has been repeatedly reinforced. Supports the application's principle that the daily practice is required continuously, not just in early recovery.</w:t>
            </w:r>
          </w:p>
          <w:p>
            <w:pPr>
              <w:spacing w:after="0" w:before="0"/>
            </w:pPr>
            <w:r>
              <w:rPr>
                <w:rFonts w:ascii="Arial" w:cs="Arial" w:eastAsia="Arial" w:hAnsi="Arial"/>
                <w:i/>
                <w:iCs/>
                <w:color w:val="808080"/>
                <w:sz w:val="17"/>
                <w:szCs w:val="17"/>
              </w:rPr>
              <w:t xml:space="preserve">https://www.nature.com/articles/s41398-023-02666-1</w:t>
            </w:r>
          </w:p>
        </w:tc>
      </w:tr>
    </w:tbl>
    <w:p>
      <w:pPr>
        <w:spacing w:after="120" w:before="120"/>
        <w:jc w:val="left"/>
      </w:pPr>
      <w:r>
        <w:rPr>
          <w:rFonts w:ascii="Arial" w:cs="Arial" w:eastAsia="Arial" w:hAnsi="Arial"/>
          <w:b w:val="false"/>
          <w:bCs w:val="false"/>
          <w:i w:val="false"/>
          <w:iCs w:val="false"/>
          <w:color w:val="1a1a1a"/>
          <w:sz w:val="22"/>
          <w:szCs w:val="22"/>
        </w:rPr>
        <w:t xml:space="preserve"/>
      </w:r>
    </w:p>
    <w:p>
      <w:pPr>
        <w:pStyle w:val="Heading1"/>
        <w:spacing w:after="100" w:before="320"/>
      </w:pPr>
      <w:r>
        <w:rPr>
          <w:rFonts w:ascii="Arial" w:cs="Arial" w:eastAsia="Arial" w:hAnsi="Arial"/>
          <w:b/>
          <w:bCs/>
          <w:color w:val="1F4E79"/>
          <w:sz w:val="30"/>
          <w:szCs w:val="30"/>
        </w:rPr>
        <w:t xml:space="preserve">9. Clinical Safety Note — Alcohol Withdrawal</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1a1a1a"/>
          <w:sz w:val="22"/>
          <w:szCs w:val="22"/>
        </w:rPr>
        <w:t xml:space="preserve"/>
      </w:r>
    </w:p>
    <w:p>
      <w:pPr>
        <w:spacing w:after="120" w:before="0"/>
        <w:jc w:val="left"/>
      </w:pPr>
      <w:r>
        <w:rPr>
          <w:rFonts w:ascii="Arial" w:cs="Arial" w:eastAsia="Arial" w:hAnsi="Arial"/>
          <w:b w:val="false"/>
          <w:bCs w:val="false"/>
          <w:i w:val="false"/>
          <w:iCs w:val="false"/>
          <w:color w:val="1a1a1a"/>
          <w:sz w:val="22"/>
          <w:szCs w:val="22"/>
        </w:rPr>
        <w:t xml:space="preserve">Headroom is a self-management tool, not a clinical intervention. Any person seeking to reduce or stop alcohol use who may be physically dependent should be aware of the following: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vAlign w:val="center"/>
          </w:tcPr>
          <w:p>
            <w:pPr>
              <w:jc w:val="center"/>
            </w:pPr>
            <w:r>
              <w:rPr>
                <w:rFonts w:ascii="Arial" w:cs="Arial" w:eastAsia="Arial" w:hAnsi="Arial"/>
                <w:b/>
                <w:bCs/>
                <w:color w:val="FFFFFF"/>
                <w:sz w:val="22"/>
                <w:szCs w:val="22"/>
              </w:rPr>
              <w:t xml:space="preserve">17</w:t>
            </w:r>
          </w:p>
        </w:tc>
        <w:tc>
          <w:tcPr>
            <w:tcW w:type="dxa" w:w="842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before="0"/>
            </w:pPr>
            <w:r>
              <w:rPr>
                <w:rFonts w:ascii="Arial" w:cs="Arial" w:eastAsia="Arial" w:hAnsi="Arial"/>
                <w:color w:val="1a1a1a"/>
                <w:sz w:val="20"/>
                <w:szCs w:val="20"/>
              </w:rPr>
              <w:t xml:space="preserve">NHS England. Treatment — Alcohol Misuse. NHS.uk. Reviewed 2023.</w:t>
            </w:r>
          </w:p>
          <w:p>
            <w:pPr>
              <w:spacing w:after="40" w:before="0"/>
            </w:pPr>
            <w:r>
              <w:rPr>
                <w:rFonts w:ascii="Arial" w:cs="Arial" w:eastAsia="Arial" w:hAnsi="Arial"/>
                <w:b/>
                <w:bCs/>
                <w:color w:val="2E75B6"/>
                <w:sz w:val="19"/>
                <w:szCs w:val="19"/>
              </w:rPr>
              <w:t xml:space="preserve">▸  Supports: </w:t>
            </w:r>
            <w:r>
              <w:rPr>
                <w:rFonts w:ascii="Arial" w:cs="Arial" w:eastAsia="Arial" w:hAnsi="Arial"/>
                <w:color w:val="404040"/>
                <w:sz w:val="19"/>
                <w:szCs w:val="19"/>
              </w:rPr>
              <w:t xml:space="preserve">Physical dependence on alcohol can make sudden cessation medically dangerous. Symptoms of alcohol withdrawal can include seizures in severe cases. NHS guidance advises that people with alcohol use disorder who wish to stop drinking should speak to their GP or contact a substance misuse service to discuss withdrawal management, which may include supervised detox and/or medication. The Headroom application does not replace this advice and users should follow NHS or equivalent clinical guidance.</w:t>
            </w:r>
          </w:p>
          <w:p>
            <w:pPr>
              <w:spacing w:after="0" w:before="0"/>
            </w:pPr>
            <w:r>
              <w:rPr>
                <w:rFonts w:ascii="Arial" w:cs="Arial" w:eastAsia="Arial" w:hAnsi="Arial"/>
                <w:i/>
                <w:iCs/>
                <w:color w:val="808080"/>
                <w:sz w:val="17"/>
                <w:szCs w:val="17"/>
              </w:rPr>
              <w:t xml:space="preserve">https://www.nhs.uk/conditions/alcohol-misuse/treatment/</w:t>
            </w:r>
          </w:p>
        </w:tc>
      </w:tr>
    </w:tbl>
    <w:p>
      <w:pPr>
        <w:spacing w:after="120" w:before="120"/>
        <w:jc w:val="left"/>
      </w:pPr>
      <w:r>
        <w:rPr>
          <w:rFonts w:ascii="Arial" w:cs="Arial" w:eastAsia="Arial" w:hAnsi="Arial"/>
          <w:b w:val="false"/>
          <w:bCs w:val="false"/>
          <w:i w:val="false"/>
          <w:iCs w:val="false"/>
          <w:color w:val="1a1a1a"/>
          <w:sz w:val="22"/>
          <w:szCs w:val="22"/>
        </w:rPr>
        <w:t xml:space="preserve"/>
      </w:r>
    </w:p>
    <w:p>
      <w:pPr>
        <w:pStyle w:val="Heading1"/>
        <w:spacing w:after="100" w:before="320"/>
      </w:pPr>
      <w:r>
        <w:rPr>
          <w:rFonts w:ascii="Arial" w:cs="Arial" w:eastAsia="Arial" w:hAnsi="Arial"/>
          <w:b/>
          <w:bCs/>
          <w:color w:val="1F4E79"/>
          <w:sz w:val="30"/>
          <w:szCs w:val="30"/>
        </w:rPr>
        <w:t xml:space="preserve">10. The Supported Model Statement</w:t>
      </w:r>
    </w:p>
    <w:p>
      <w:pPr>
        <w:pBdr>
          <w:bottom w:val="single" w:color="2E75B6" w:sz="4" w:space="1"/>
        </w:pBdr>
        <w:spacing w:after="0" w:before="0"/>
      </w:pPr>
    </w:p>
    <w:p>
      <w:pPr>
        <w:spacing w:after="120" w:before="40"/>
        <w:jc w:val="left"/>
      </w:pPr>
      <w:r>
        <w:rPr>
          <w:rFonts w:ascii="Arial" w:cs="Arial" w:eastAsia="Arial" w:hAnsi="Arial"/>
          <w:b w:val="false"/>
          <w:bCs w:val="false"/>
          <w:i w:val="false"/>
          <w:iCs w:val="false"/>
          <w:color w:val="1a1a1a"/>
          <w:sz w:val="22"/>
          <w:szCs w:val="22"/>
        </w:rPr>
        <w:t xml:space="preserve"/>
      </w:r>
    </w:p>
    <w:p>
      <w:pPr>
        <w:spacing w:after="120" w:before="0"/>
        <w:jc w:val="left"/>
      </w:pPr>
      <w:r>
        <w:rPr>
          <w:rFonts w:ascii="Arial" w:cs="Arial" w:eastAsia="Arial" w:hAnsi="Arial"/>
          <w:b w:val="false"/>
          <w:bCs w:val="false"/>
          <w:i w:val="false"/>
          <w:iCs w:val="false"/>
          <w:color w:val="1a1a1a"/>
          <w:sz w:val="22"/>
          <w:szCs w:val="22"/>
        </w:rPr>
        <w:t xml:space="preserve">Based on the above evidence, the following is the strongest defensible version of the neuroscientific model the application represents: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8"/>
              <w:left w:val="single" w:color="2E75B6" w:sz="24"/>
              <w:bottom w:val="single" w:color="CCCCCC" w:sz="1"/>
              <w:right w:val="single" w:color="CCCCCC" w:sz="1"/>
            </w:tcBorders>
            <w:shd w:fill="D6E4F0" w:val="clear"/>
            <w:tcMar>
              <w:top w:type="dxa" w:w="160"/>
              <w:left w:type="dxa" w:w="220"/>
              <w:bottom w:type="dxa" w:w="160"/>
              <w:right w:type="dxa" w:w="200"/>
            </w:tcMar>
          </w:tcPr>
          <w:p>
            <w:pPr>
              <w:spacing w:after="0" w:before="0"/>
            </w:pPr>
            <w:r>
              <w:rPr>
                <w:rFonts w:ascii="Arial" w:cs="Arial" w:eastAsia="Arial" w:hAnsi="Arial"/>
                <w:i/>
                <w:iCs/>
                <w:color w:val="1a1a1a"/>
                <w:sz w:val="22"/>
                <w:szCs w:val="22"/>
              </w:rPr>
              <w:t xml:space="preserve">Relapse is not a single decision. It is a narrowing corridor. Stress and load increase bodily distress and weaken prefrontal inhibitory control. Drug cues and internal states activate hippocampal and amygdala-linked memories of relief. The nucleus accumbens and VTA assign alcohol exaggerated incentive salience — the wanting intensifies without rational basis. The dorsal striatum then supplies the learned route: stand up, get keys, walk to the shop, buy, open, drink. Consciousness may only fully return once the sequence is already running. Recovery therefore depends less on heroic last-second resistance and more on preventing the network from reaching the automatic-habit stage — which is what the daily practice of load monitoring is for.</w:t>
            </w:r>
          </w:p>
        </w:tc>
      </w:tr>
    </w:tbl>
    <w:p>
      <w:pPr>
        <w:spacing w:after="120" w:before="120"/>
        <w:jc w:val="left"/>
      </w:pPr>
      <w:r>
        <w:rPr>
          <w:rFonts w:ascii="Arial" w:cs="Arial" w:eastAsia="Arial" w:hAnsi="Arial"/>
          <w:b w:val="false"/>
          <w:bCs w:val="false"/>
          <w:i w:val="false"/>
          <w:iCs w:val="false"/>
          <w:color w:val="1a1a1a"/>
          <w:sz w:val="22"/>
          <w:szCs w:val="22"/>
        </w:rPr>
        <w:t xml:space="preserve"/>
      </w:r>
    </w:p>
    <w:p>
      <w:pPr>
        <w:spacing w:after="120" w:before="0"/>
        <w:jc w:val="left"/>
      </w:pPr>
      <w:r>
        <w:rPr>
          <w:rFonts w:ascii="Arial" w:cs="Arial" w:eastAsia="Arial" w:hAnsi="Arial"/>
          <w:b w:val="false"/>
          <w:bCs w:val="false"/>
          <w:i/>
          <w:iCs/>
          <w:color w:val="606060"/>
          <w:sz w:val="22"/>
          <w:szCs w:val="22"/>
        </w:rPr>
        <w:t xml:space="preserve">Source: Adapted from Koob &amp; Volkow (2010), SAMHSA Surgeon General's Report (2016), Robinson &amp; Berridge (2025), and Ceceli et al. (2026), with commentary informed by the peer review above.</w:t>
      </w:r>
    </w:p>
    <w:p>
      <w:pPr>
        <w:spacing w:after="120" w:before="160"/>
        <w:jc w:val="left"/>
      </w:pPr>
      <w:r>
        <w:rPr>
          <w:rFonts w:ascii="Arial" w:cs="Arial" w:eastAsia="Arial" w:hAnsi="Arial"/>
          <w:b w:val="false"/>
          <w:bCs w:val="false"/>
          <w:i w:val="false"/>
          <w:iCs w:val="false"/>
          <w:color w:val="1a1a1a"/>
          <w:sz w:val="22"/>
          <w:szCs w:val="22"/>
        </w:rPr>
        <w:t xml:space="preserve"/>
      </w:r>
    </w:p>
    <w:p>
      <w:pPr>
        <w:pBdr>
          <w:bottom w:val="single" w:color="CCCCCC" w:sz="4" w:space="1"/>
        </w:pBdr>
        <w:spacing w:after="0" w:before="0"/>
      </w:pPr>
    </w:p>
    <w:p>
      <w:pPr>
        <w:spacing w:after="120" w:before="80"/>
        <w:jc w:val="left"/>
      </w:pPr>
      <w:r>
        <w:rPr>
          <w:rFonts w:ascii="Arial" w:cs="Arial" w:eastAsia="Arial" w:hAnsi="Arial"/>
          <w:b w:val="false"/>
          <w:bCs w:val="false"/>
          <w:i w:val="false"/>
          <w:iCs w:val="false"/>
          <w:color w:val="1a1a1a"/>
          <w:sz w:val="22"/>
          <w:szCs w:val="22"/>
        </w:rPr>
        <w:t xml:space="preserve"/>
      </w:r>
    </w:p>
    <w:p>
      <w:pPr>
        <w:spacing w:after="120" w:before="0"/>
        <w:jc w:val="left"/>
      </w:pPr>
      <w:r>
        <w:rPr>
          <w:rFonts w:ascii="Arial" w:cs="Arial" w:eastAsia="Arial" w:hAnsi="Arial"/>
          <w:b w:val="false"/>
          <w:bCs w:val="false"/>
          <w:i/>
          <w:iCs/>
          <w:color w:val="808080"/>
          <w:sz w:val="18"/>
          <w:szCs w:val="18"/>
        </w:rPr>
        <w:t xml:space="preserve">Compiled April 2026 for Headroom application documentation. All URLs verified April 2026.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0"/>
    </w:pPr>
    <w:r>
      <w:rPr>
        <w:rFonts w:ascii="Arial" w:cs="Arial" w:eastAsia="Arial" w:hAnsi="Arial"/>
        <w:color w:val="808080"/>
        <w:sz w:val="18"/>
        <w:szCs w:val="18"/>
      </w:rPr>
      <w:t xml:space="preserve">Headroom — Clinical and Neuroscientific Reference Document</w:t>
    </w:r>
    <w:r>
      <w:rPr>
        <w:rFonts w:ascii="Arial" w:cs="Arial" w:eastAsia="Arial" w:hAnsi="Arial"/>
        <w:color w:val="808080"/>
        <w:sz w:val="18"/>
        <w:szCs w:val="18"/>
      </w:rPr>
      <w:t xml:space="preserve">	Page </w:t>
    </w:r>
    <w:r>
      <w:rPr>
        <w:rFonts w:ascii="Arial" w:cs="Arial" w:eastAsia="Arial" w:hAnsi="Arial"/>
        <w:color w:val="808080"/>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before="0"/>
    </w:pPr>
    <w:r>
      <w:rPr>
        <w:rFonts w:ascii="Arial" w:cs="Arial" w:eastAsia="Arial" w:hAnsi="Arial"/>
        <w:color w:val="808080"/>
        <w:sz w:val="18"/>
        <w:szCs w:val="18"/>
      </w:rPr>
      <w:t xml:space="preserve">HEADROOM — Clinical References</w:t>
    </w:r>
    <w:r>
      <w:rPr>
        <w:rFonts w:ascii="Arial" w:cs="Arial" w:eastAsia="Arial" w:hAnsi="Arial"/>
        <w:color w:val="B0B0B0"/>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2026-04-27T09:29:24.450Z</dcterms:created>
  <dcterms:modified xsi:type="dcterms:W3CDTF">2026-04-27T09:29:24.451Z</dcterms:modified>
</cp:coreProperties>
</file>

<file path=docProps/custom.xml><?xml version="1.0" encoding="utf-8"?>
<Properties xmlns="http://schemas.openxmlformats.org/officeDocument/2006/custom-properties" xmlns:vt="http://schemas.openxmlformats.org/officeDocument/2006/docPropsVTypes"/>
</file>