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left"/>
      </w:pPr>
      <w:r>
        <w:rPr>
          <w:rFonts w:ascii="Arial" w:cs="Arial" w:eastAsia="Arial" w:hAnsi="Arial"/>
          <w:b w:val="false"/>
          <w:bCs w:val="false"/>
          <w:i w:val="false"/>
          <w:iCs w:val="false"/>
          <w:color w:val="000000"/>
          <w:sz w:val="22"/>
          <w:szCs w:val="22"/>
        </w:rPr>
        <w:t xml:space="preserve"/>
      </w:r>
    </w:p>
    <w:p>
      <w:pPr>
        <w:spacing w:after="120" w:before="800"/>
        <w:jc w:val="left"/>
      </w:pPr>
      <w:r>
        <w:rPr>
          <w:rFonts w:ascii="Arial" w:cs="Arial" w:eastAsia="Arial" w:hAnsi="Arial"/>
          <w:b w:val="false"/>
          <w:bCs w:val="false"/>
          <w:i w:val="false"/>
          <w:iCs w:val="false"/>
          <w:color w:val="000000"/>
          <w:sz w:val="22"/>
          <w:szCs w:val="22"/>
        </w:rPr>
        <w:t xml:space="preserve"/>
      </w:r>
    </w:p>
    <w:p>
      <w:pPr>
        <w:spacing w:after="80" w:before="0"/>
        <w:jc w:val="left"/>
      </w:pPr>
      <w:r>
        <w:rPr>
          <w:rFonts w:ascii="Arial" w:cs="Arial" w:eastAsia="Arial" w:hAnsi="Arial"/>
          <w:b/>
          <w:bCs/>
          <w:color w:val="1F4E79"/>
          <w:sz w:val="64"/>
          <w:szCs w:val="64"/>
        </w:rPr>
        <w:t xml:space="preserve">HEADROOM</w:t>
      </w:r>
    </w:p>
    <w:p>
      <w:pPr>
        <w:spacing w:after="200" w:before="0"/>
      </w:pPr>
      <w:r>
        <w:rPr>
          <w:rFonts w:ascii="Arial" w:cs="Arial" w:eastAsia="Arial" w:hAnsi="Arial"/>
          <w:color w:val="2E75B6"/>
          <w:sz w:val="36"/>
          <w:szCs w:val="36"/>
        </w:rPr>
        <w:t xml:space="preserve">Product Design Document</w:t>
      </w:r>
    </w:p>
    <w:p>
      <w:pPr>
        <w:pBdr>
          <w:bottom w:val="single" w:color="2E75B6" w:sz="4" w:space="1"/>
        </w:pBdr>
        <w:spacing w:after="0" w:before="0"/>
      </w:pPr>
    </w:p>
    <w:p>
      <w:pPr>
        <w:spacing w:after="120" w:before="80"/>
        <w:jc w:val="left"/>
      </w:pPr>
      <w:r>
        <w:rPr>
          <w:rFonts w:ascii="Arial" w:cs="Arial" w:eastAsia="Arial" w:hAnsi="Arial"/>
          <w:b w:val="false"/>
          <w:bCs w:val="false"/>
          <w:i w:val="false"/>
          <w:iCs w:val="false"/>
          <w:color w:val="000000"/>
          <w:sz w:val="22"/>
          <w:szCs w:val="22"/>
        </w:rPr>
        <w:t xml:space="preserve"/>
      </w:r>
    </w:p>
    <w:p>
      <w:pPr>
        <w:spacing w:after="60" w:before="0"/>
      </w:pPr>
      <w:r>
        <w:rPr>
          <w:rFonts w:ascii="Arial" w:cs="Arial" w:eastAsia="Arial" w:hAnsi="Arial"/>
          <w:b/>
          <w:bCs/>
          <w:sz w:val="22"/>
          <w:szCs w:val="22"/>
        </w:rPr>
        <w:t xml:space="preserve">Prepared by: </w:t>
      </w:r>
      <w:r>
        <w:rPr>
          <w:rFonts w:ascii="Arial" w:cs="Arial" w:eastAsia="Arial" w:hAnsi="Arial"/>
          <w:sz w:val="22"/>
          <w:szCs w:val="22"/>
        </w:rPr>
        <w:t xml:space="preserve">David Brand</w:t>
      </w:r>
    </w:p>
    <w:p>
      <w:pPr>
        <w:spacing w:after="60" w:before="0"/>
      </w:pPr>
      <w:r>
        <w:rPr>
          <w:rFonts w:ascii="Arial" w:cs="Arial" w:eastAsia="Arial" w:hAnsi="Arial"/>
          <w:b/>
          <w:bCs/>
          <w:sz w:val="22"/>
          <w:szCs w:val="22"/>
        </w:rPr>
        <w:t xml:space="preserve">Version: </w:t>
      </w:r>
      <w:r>
        <w:rPr>
          <w:rFonts w:ascii="Arial" w:cs="Arial" w:eastAsia="Arial" w:hAnsi="Arial"/>
          <w:sz w:val="22"/>
          <w:szCs w:val="22"/>
        </w:rPr>
        <w:t xml:space="preserve">0.1 — Proof of Concept</w:t>
      </w:r>
    </w:p>
    <w:p>
      <w:pPr>
        <w:spacing w:after="60" w:before="0"/>
      </w:pPr>
      <w:r>
        <w:rPr>
          <w:rFonts w:ascii="Arial" w:cs="Arial" w:eastAsia="Arial" w:hAnsi="Arial"/>
          <w:b/>
          <w:bCs/>
          <w:sz w:val="22"/>
          <w:szCs w:val="22"/>
        </w:rPr>
        <w:t xml:space="preserve">Date: </w:t>
      </w:r>
      <w:r>
        <w:rPr>
          <w:rFonts w:ascii="Arial" w:cs="Arial" w:eastAsia="Arial" w:hAnsi="Arial"/>
          <w:sz w:val="22"/>
          <w:szCs w:val="22"/>
        </w:rPr>
        <w:t xml:space="preserve">April 2026</w:t>
      </w:r>
    </w:p>
    <w:p>
      <w:pPr>
        <w:spacing w:after="60" w:before="0"/>
      </w:pPr>
      <w:r>
        <w:rPr>
          <w:rFonts w:ascii="Arial" w:cs="Arial" w:eastAsia="Arial" w:hAnsi="Arial"/>
          <w:b/>
          <w:bCs/>
          <w:sz w:val="22"/>
          <w:szCs w:val="22"/>
        </w:rPr>
        <w:t xml:space="preserve">Status: </w:t>
      </w:r>
      <w:r>
        <w:rPr>
          <w:rFonts w:ascii="Arial" w:cs="Arial" w:eastAsia="Arial" w:hAnsi="Arial"/>
          <w:sz w:val="22"/>
          <w:szCs w:val="22"/>
        </w:rPr>
        <w:t xml:space="preserve">Live proof of concept — deployed at trigger-level.onrender.com</w:t>
      </w:r>
    </w:p>
    <w:p>
      <w:pPr>
        <w:spacing w:after="120" w:before="40"/>
        <w:jc w:val="left"/>
      </w:pPr>
      <w:r>
        <w:rPr>
          <w:rFonts w:ascii="Arial" w:cs="Arial" w:eastAsia="Arial" w:hAnsi="Arial"/>
          <w:b w:val="false"/>
          <w:bCs w:val="false"/>
          <w:i w:val="false"/>
          <w:iCs w:val="false"/>
          <w:color w:val="000000"/>
          <w:sz w:val="22"/>
          <w:szCs w:val="22"/>
        </w:rPr>
        <w:t xml:space="preserve"/>
      </w:r>
    </w:p>
    <w:p>
      <w:pPr>
        <w:pBdr>
          <w:bottom w:val="single" w:color="1F4E79" w:sz="12" w:space="1"/>
        </w:pBdr>
        <w:spacing w:after="0" w:before="0"/>
      </w:pPr>
    </w:p>
    <w:p>
      <w:pPr>
        <w:spacing w:after="120" w:before="160"/>
        <w:jc w:val="left"/>
      </w:pPr>
      <w:r>
        <w:rPr>
          <w:rFonts w:ascii="Arial" w:cs="Arial" w:eastAsia="Arial" w:hAnsi="Arial"/>
          <w:b w:val="false"/>
          <w:bCs w:val="false"/>
          <w:i w:val="false"/>
          <w:iCs w:val="false"/>
          <w:color w:val="000000"/>
          <w:sz w:val="22"/>
          <w:szCs w:val="22"/>
        </w:rPr>
        <w:t xml:space="preserve"/>
      </w:r>
    </w:p>
    <w:p>
      <w:pPr>
        <w:spacing w:after="80" w:before="0"/>
      </w:pPr>
      <w:r>
        <w:rPr>
          <w:rFonts w:ascii="Arial" w:cs="Arial" w:eastAsia="Arial" w:hAnsi="Arial"/>
          <w:i/>
          <w:iCs/>
          <w:color w:val="606060"/>
          <w:sz w:val="24"/>
          <w:szCs w:val="24"/>
        </w:rPr>
        <w:t xml:space="preserve">know your headroom</w:t>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1. Executive Summary</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Headroom is a personal wellbeing management tool built on a clinically grounded therapeutic model used in substance misuse recovery and cognitive behavioural therapy. The application gives users a real-time, visual representation of their psychological load relative to their capacity — their headroom — and provides a structured daily practice for maintaining conscious awareness of that state.</w:t>
      </w:r>
    </w:p>
    <w:p>
      <w:pPr>
        <w:spacing w:after="160" w:before="0"/>
        <w:jc w:val="left"/>
      </w:pPr>
      <w:r>
        <w:rPr>
          <w:rFonts w:ascii="Arial" w:cs="Arial" w:eastAsia="Arial" w:hAnsi="Arial"/>
          <w:b w:val="false"/>
          <w:bCs w:val="false"/>
          <w:i w:val="false"/>
          <w:iCs w:val="false"/>
          <w:color w:val="000000"/>
          <w:sz w:val="22"/>
          <w:szCs w:val="22"/>
        </w:rPr>
        <w:t xml:space="preserve">The product originated as a proof of concept developed by the author, a person in recovery from alcohol use disorder, in collaboration with a keyworker at Change Grow Live (CGL), Nottingham. It is currently deployed as a live web application and is actively used by the author as a recovery support tool.</w:t>
      </w:r>
    </w:p>
    <w:p>
      <w:pPr>
        <w:spacing w:after="160" w:before="0"/>
        <w:jc w:val="left"/>
      </w:pPr>
      <w:r>
        <w:rPr>
          <w:rFonts w:ascii="Arial" w:cs="Arial" w:eastAsia="Arial" w:hAnsi="Arial"/>
          <w:b w:val="false"/>
          <w:bCs w:val="false"/>
          <w:i w:val="false"/>
          <w:iCs w:val="false"/>
          <w:color w:val="000000"/>
          <w:sz w:val="22"/>
          <w:szCs w:val="22"/>
        </w:rPr>
        <w:t xml:space="preserve">The core insight the product operationalises is this: lapse events in addiction recovery rarely arise from sudden, isolated crises. They are the endpoint of a gradual, often unnoticed accumulation of psychological load — and they occur most frequently when the prefrontal cortex (the seat of impulse control and conscious decision-making) has been sufficiently overwhelmed that automatic, reward-seeking behaviour executes without conscious intent. Headroom makes this accumulation visible, trackable, and actionable before that threshold is reached.</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2. Product Concept</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2.1 The Headroom Model</w:t>
      </w:r>
    </w:p>
    <w:p>
      <w:pPr>
        <w:spacing w:after="120" w:before="0"/>
        <w:jc w:val="left"/>
      </w:pPr>
      <w:r>
        <w:rPr>
          <w:rFonts w:ascii="Arial" w:cs="Arial" w:eastAsia="Arial" w:hAnsi="Arial"/>
          <w:b w:val="false"/>
          <w:bCs w:val="false"/>
          <w:i w:val="false"/>
          <w:iCs w:val="false"/>
          <w:color w:val="000000"/>
          <w:sz w:val="22"/>
          <w:szCs w:val="22"/>
        </w:rPr>
        <w:t xml:space="preserve">The central metaphor of the application is headroom: the cognitive and emotional space between a person's current psychological load and the threshold at which automatic behaviour — in this context, substance use — takes over. This metaphor was chosen deliberately over alternatives for three reasons:</w:t>
      </w:r>
    </w:p>
    <w:p>
      <w:pPr>
        <w:pStyle w:val="ListParagraph"/>
        <w:numPr>
          <w:ilvl w:val="0"/>
          <w:numId w:val="2"/>
        </w:numPr>
        <w:spacing w:after="80" w:before="0"/>
      </w:pPr>
      <w:r>
        <w:rPr>
          <w:rFonts w:ascii="Arial" w:cs="Arial" w:eastAsia="Arial" w:hAnsi="Arial"/>
          <w:sz w:val="22"/>
          <w:szCs w:val="22"/>
        </w:rPr>
        <w:t xml:space="preserve">It is positive in framing. The user is not managing a disease or fighting an impulse; they are maintaining space.</w:t>
      </w:r>
    </w:p>
    <w:p>
      <w:pPr>
        <w:pStyle w:val="ListParagraph"/>
        <w:numPr>
          <w:ilvl w:val="0"/>
          <w:numId w:val="2"/>
        </w:numPr>
        <w:spacing w:after="80" w:before="0"/>
      </w:pPr>
      <w:r>
        <w:rPr>
          <w:rFonts w:ascii="Arial" w:cs="Arial" w:eastAsia="Arial" w:hAnsi="Arial"/>
          <w:sz w:val="22"/>
          <w:szCs w:val="22"/>
        </w:rPr>
        <w:t xml:space="preserve">It implies agency. Headroom is created by deliberate action, not passively possessed.</w:t>
      </w:r>
    </w:p>
    <w:p>
      <w:pPr>
        <w:pStyle w:val="ListParagraph"/>
        <w:numPr>
          <w:ilvl w:val="0"/>
          <w:numId w:val="2"/>
        </w:numPr>
        <w:spacing w:after="80" w:before="0"/>
      </w:pPr>
      <w:r>
        <w:rPr>
          <w:rFonts w:ascii="Arial" w:cs="Arial" w:eastAsia="Arial" w:hAnsi="Arial"/>
          <w:sz w:val="22"/>
          <w:szCs w:val="22"/>
        </w:rPr>
        <w:t xml:space="preserve">It is neurologically accurate. The prefrontal cortex requires cognitive and emotional space to function. When that space is exhausted, older, deeper brain systems — the limbic system, the basal ganglia, the reward circuitry — execute habituated behaviour autonomously.</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2.2 The Daily Practice</w:t>
      </w:r>
    </w:p>
    <w:p>
      <w:pPr>
        <w:spacing w:after="120" w:before="0"/>
        <w:jc w:val="left"/>
      </w:pPr>
      <w:r>
        <w:rPr>
          <w:rFonts w:ascii="Arial" w:cs="Arial" w:eastAsia="Arial" w:hAnsi="Arial"/>
          <w:b w:val="false"/>
          <w:bCs w:val="false"/>
          <w:i w:val="false"/>
          <w:iCs w:val="false"/>
          <w:color w:val="000000"/>
          <w:sz w:val="22"/>
          <w:szCs w:val="22"/>
        </w:rPr>
        <w:t xml:space="preserve">The application encodes a specific daily practice derived from the author's lived experience and informed by principles from mindfulness, acceptance and commitment therapy (ACT), and the stress-bucket model used in CBT and trauma-informed care:</w:t>
      </w:r>
    </w:p>
    <w:p>
      <w:pPr>
        <w:pStyle w:val="ListParagraph"/>
        <w:numPr>
          <w:ilvl w:val="0"/>
          <w:numId w:val="2"/>
        </w:numPr>
        <w:spacing w:after="80" w:before="0"/>
      </w:pPr>
      <w:r>
        <w:rPr>
          <w:rFonts w:ascii="Arial" w:cs="Arial" w:eastAsia="Arial" w:hAnsi="Arial"/>
          <w:sz w:val="22"/>
          <w:szCs w:val="22"/>
        </w:rPr>
        <w:t xml:space="preserve">Morning inventory: the user deliberately loads the application with all current persistent stressors — ongoing legal proceedings, financial anxiety, relationship stress, unresolved conflict. These do not disappear overnight. The act of acknowledging them honestly, watching the load indicator rise into the red, is the practice. It replaces concealment with conscious awareness.</w:t>
      </w:r>
    </w:p>
    <w:p>
      <w:pPr>
        <w:pStyle w:val="ListParagraph"/>
        <w:numPr>
          <w:ilvl w:val="0"/>
          <w:numId w:val="2"/>
        </w:numPr>
        <w:spacing w:after="80" w:before="0"/>
      </w:pPr>
      <w:r>
        <w:rPr>
          <w:rFonts w:ascii="Arial" w:cs="Arial" w:eastAsia="Arial" w:hAnsi="Arial"/>
          <w:sz w:val="22"/>
          <w:szCs w:val="22"/>
        </w:rPr>
        <w:t xml:space="preserve">Daytime management: through the day the user logs both load events (things that add pressure) and relief actions (things that actively reduce it). Small actions count. The application rewards engagement with any relief action, however modest.</w:t>
      </w:r>
    </w:p>
    <w:p>
      <w:pPr>
        <w:pStyle w:val="ListParagraph"/>
        <w:numPr>
          <w:ilvl w:val="0"/>
          <w:numId w:val="2"/>
        </w:numPr>
        <w:spacing w:after="80" w:before="0"/>
      </w:pPr>
      <w:r>
        <w:rPr>
          <w:rFonts w:ascii="Arial" w:cs="Arial" w:eastAsia="Arial" w:hAnsi="Arial"/>
          <w:sz w:val="22"/>
          <w:szCs w:val="22"/>
        </w:rPr>
        <w:t xml:space="preserve">Evening target: the goal each day is to work the load back toward zero by evening — the period identified by the user as highest risk. Zero is not emptiness; it is evidence of deliberate effort.</w:t>
      </w:r>
    </w:p>
    <w:p>
      <w:pPr>
        <w:pStyle w:val="ListParagraph"/>
        <w:numPr>
          <w:ilvl w:val="0"/>
          <w:numId w:val="2"/>
        </w:numPr>
        <w:spacing w:after="80" w:before="0"/>
      </w:pPr>
      <w:r>
        <w:rPr>
          <w:rFonts w:ascii="Arial" w:cs="Arial" w:eastAsia="Arial" w:hAnsi="Arial"/>
          <w:sz w:val="22"/>
          <w:szCs w:val="22"/>
        </w:rPr>
        <w:t xml:space="preserve">Continuous record: unlike day-reset tools, Headroom stores all data permanently. A lapse or difficult period is visible as a sustained high-load period on the history chart — sometimes extending back days or weeks. This is clinically significant: it makes the gradual build visible in retrospect and supports learning.</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2.3 The Neuroscience Basis</w:t>
      </w:r>
    </w:p>
    <w:p>
      <w:pPr>
        <w:spacing w:after="120" w:before="0"/>
        <w:jc w:val="left"/>
      </w:pPr>
      <w:r>
        <w:rPr>
          <w:rFonts w:ascii="Arial" w:cs="Arial" w:eastAsia="Arial" w:hAnsi="Arial"/>
          <w:b w:val="false"/>
          <w:bCs w:val="false"/>
          <w:i w:val="false"/>
          <w:iCs w:val="false"/>
          <w:color w:val="000000"/>
          <w:sz w:val="22"/>
          <w:szCs w:val="22"/>
        </w:rPr>
        <w:t xml:space="preserve">The product's visual metaphor — a midline sagittal brain section in which the prefrontal cortex dims and the basal ganglia illuminates as load rises — is grounded in established addiction neuroscience:</w:t>
      </w:r>
    </w:p>
    <w:p>
      <w:pPr>
        <w:pStyle w:val="ListParagraph"/>
        <w:numPr>
          <w:ilvl w:val="0"/>
          <w:numId w:val="2"/>
        </w:numPr>
        <w:spacing w:after="80" w:before="0"/>
      </w:pPr>
      <w:r>
        <w:rPr>
          <w:rFonts w:ascii="Arial" w:cs="Arial" w:eastAsia="Arial" w:hAnsi="Arial"/>
          <w:sz w:val="22"/>
          <w:szCs w:val="22"/>
        </w:rPr>
        <w:t xml:space="preserve">The prefrontal cortex (PFC), responsible for impulse control, consequence evaluation and long-term planning, is suppressed under high cognitive and emotional load, and shows measurably reduced activity in neuroimaging studies of individuals in craving states.</w:t>
      </w:r>
    </w:p>
    <w:p>
      <w:pPr>
        <w:pStyle w:val="ListParagraph"/>
        <w:numPr>
          <w:ilvl w:val="0"/>
          <w:numId w:val="2"/>
        </w:numPr>
        <w:spacing w:after="80" w:before="0"/>
      </w:pPr>
      <w:r>
        <w:rPr>
          <w:rFonts w:ascii="Arial" w:cs="Arial" w:eastAsia="Arial" w:hAnsi="Arial"/>
          <w:sz w:val="22"/>
          <w:szCs w:val="22"/>
        </w:rPr>
        <w:t xml:space="preserve">The basal ganglia and mesolimbic dopamine pathway are the substrate of habituated, automatic behaviour. These systems do not deliberate. Under sufficient load, with PFC activity suppressed, they execute learned reward-seeking behaviour — including substance use — without conscious decision.</w:t>
      </w:r>
    </w:p>
    <w:p>
      <w:pPr>
        <w:pStyle w:val="ListParagraph"/>
        <w:numPr>
          <w:ilvl w:val="0"/>
          <w:numId w:val="2"/>
        </w:numPr>
        <w:spacing w:after="80" w:before="0"/>
      </w:pPr>
      <w:r>
        <w:rPr>
          <w:rFonts w:ascii="Arial" w:cs="Arial" w:eastAsia="Arial" w:hAnsi="Arial"/>
          <w:sz w:val="22"/>
          <w:szCs w:val="22"/>
        </w:rPr>
        <w:t xml:space="preserve">The cingulate cortex, hypothalamus, and limbic system — all represented in the brain graphic — are involved in emotional regulation, stress response, and the formation of reward memory. Their progressive illumination in the graphic as load increases accurately reflects their increasing functional dominance.</w:t>
      </w:r>
    </w:p>
    <w:p>
      <w:pPr>
        <w:spacing w:after="160" w:before="0"/>
        <w:jc w:val="left"/>
      </w:pPr>
      <w:r>
        <w:rPr>
          <w:rFonts w:ascii="Arial" w:cs="Arial" w:eastAsia="Arial" w:hAnsi="Arial"/>
          <w:b w:val="false"/>
          <w:bCs w:val="false"/>
          <w:i w:val="false"/>
          <w:iCs w:val="false"/>
          <w:color w:val="000000"/>
          <w:sz w:val="22"/>
          <w:szCs w:val="22"/>
        </w:rPr>
        <w:t xml:space="preserve">The automaticity of lapse behaviour — the experience of finding oneself in a shop or pub with no felt sense of having decided to go — is a well-documented clinical phenomenon in addiction medicine, sometimes called the pre-conscious decision. The application is designed specifically to interrupt this process by maintaining prefrontal engagement through daily conscious practice.</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3. Current Product — Proof of Concept</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3.1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Backend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 (Express) with SQLite via better-sqlite3</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Frontend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18 (CDN, no build step), vanilla SVG visualisations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Hosting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Render.com — free tier with persistent disk storage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 — single-file, persisted to /data/bucket.db on Render disk</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Auth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Password-based login, server-side session tokens, localStorage persistence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Share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Cryptographically random view token (48-char hex) for read-only access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Repository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 — github.com/dbrand-dataops/trigger-level (private)</w:t>
            </w:r>
          </w:p>
        </w:tc>
      </w:tr>
    </w:tbl>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3.2 Features — Current Implementation</w:t>
      </w:r>
    </w:p>
    <w:p>
      <w:pPr>
        <w:pStyle w:val="ListParagraph"/>
        <w:numPr>
          <w:ilvl w:val="0"/>
          <w:numId w:val="2"/>
        </w:numPr>
        <w:spacing w:after="80" w:before="0"/>
      </w:pPr>
      <w:r>
        <w:rPr>
          <w:rFonts w:ascii="Arial" w:cs="Arial" w:eastAsia="Arial" w:hAnsi="Arial"/>
          <w:sz w:val="22"/>
          <w:szCs w:val="22"/>
        </w:rPr>
        <w:t xml:space="preserve">Real-time load indicator: animated brain visualisation (midline sagittal section) showing psychological state through colour and anatomical region illumination</w:t>
      </w:r>
    </w:p>
    <w:p>
      <w:pPr>
        <w:pStyle w:val="ListParagraph"/>
        <w:numPr>
          <w:ilvl w:val="0"/>
          <w:numId w:val="2"/>
        </w:numPr>
        <w:spacing w:after="80" w:before="0"/>
      </w:pPr>
      <w:r>
        <w:rPr>
          <w:rFonts w:ascii="Arial" w:cs="Arial" w:eastAsia="Arial" w:hAnsi="Arial"/>
          <w:sz w:val="22"/>
          <w:szCs w:val="22"/>
        </w:rPr>
        <w:t xml:space="preserve">Load column: configurable list of stressors with impact values — user logs events throughout the day</w:t>
      </w:r>
    </w:p>
    <w:p>
      <w:pPr>
        <w:pStyle w:val="ListParagraph"/>
        <w:numPr>
          <w:ilvl w:val="0"/>
          <w:numId w:val="2"/>
        </w:numPr>
        <w:spacing w:after="80" w:before="0"/>
      </w:pPr>
      <w:r>
        <w:rPr>
          <w:rFonts w:ascii="Arial" w:cs="Arial" w:eastAsia="Arial" w:hAnsi="Arial"/>
          <w:sz w:val="22"/>
          <w:szCs w:val="22"/>
        </w:rPr>
        <w:t xml:space="preserve">Relief column: configurable list of coping and recovery actions with impact values</w:t>
      </w:r>
    </w:p>
    <w:p>
      <w:pPr>
        <w:pStyle w:val="ListParagraph"/>
        <w:numPr>
          <w:ilvl w:val="0"/>
          <w:numId w:val="2"/>
        </w:numPr>
        <w:spacing w:after="80" w:before="0"/>
      </w:pPr>
      <w:r>
        <w:rPr>
          <w:rFonts w:ascii="Arial" w:cs="Arial" w:eastAsia="Arial" w:hAnsi="Arial"/>
          <w:sz w:val="22"/>
          <w:szCs w:val="22"/>
        </w:rPr>
        <w:t xml:space="preserve">Custom items: users can add their own load and relief items with custom impact ratings</w:t>
      </w:r>
    </w:p>
    <w:p>
      <w:pPr>
        <w:pStyle w:val="ListParagraph"/>
        <w:numPr>
          <w:ilvl w:val="0"/>
          <w:numId w:val="2"/>
        </w:numPr>
        <w:spacing w:after="80" w:before="0"/>
      </w:pPr>
      <w:r>
        <w:rPr>
          <w:rFonts w:ascii="Arial" w:cs="Arial" w:eastAsia="Arial" w:hAnsi="Arial"/>
          <w:sz w:val="22"/>
          <w:szCs w:val="22"/>
        </w:rPr>
        <w:t xml:space="preserve">Item management: items can be hidden (preserving all historical data) and restored</w:t>
      </w:r>
    </w:p>
    <w:p>
      <w:pPr>
        <w:pStyle w:val="ListParagraph"/>
        <w:numPr>
          <w:ilvl w:val="0"/>
          <w:numId w:val="2"/>
        </w:numPr>
        <w:spacing w:after="80" w:before="0"/>
      </w:pPr>
      <w:r>
        <w:rPr>
          <w:rFonts w:ascii="Arial" w:cs="Arial" w:eastAsia="Arial" w:hAnsi="Arial"/>
          <w:sz w:val="22"/>
          <w:szCs w:val="22"/>
        </w:rPr>
        <w:t xml:space="preserve">Inline editing: item labels and impact values editable in place</w:t>
      </w:r>
    </w:p>
    <w:p>
      <w:pPr>
        <w:pStyle w:val="ListParagraph"/>
        <w:numPr>
          <w:ilvl w:val="0"/>
          <w:numId w:val="2"/>
        </w:numPr>
        <w:spacing w:after="80" w:before="0"/>
      </w:pPr>
      <w:r>
        <w:rPr>
          <w:rFonts w:ascii="Arial" w:cs="Arial" w:eastAsia="Arial" w:hAnsi="Arial"/>
          <w:sz w:val="22"/>
          <w:szCs w:val="22"/>
        </w:rPr>
        <w:t xml:space="preserve">Persistent history: all entries stored indefinitely with full timestamp</w:t>
      </w:r>
    </w:p>
    <w:p>
      <w:pPr>
        <w:pStyle w:val="ListParagraph"/>
        <w:numPr>
          <w:ilvl w:val="0"/>
          <w:numId w:val="2"/>
        </w:numPr>
        <w:spacing w:after="80" w:before="0"/>
      </w:pPr>
      <w:r>
        <w:rPr>
          <w:rFonts w:ascii="Arial" w:cs="Arial" w:eastAsia="Arial" w:hAnsi="Arial"/>
          <w:sz w:val="22"/>
          <w:szCs w:val="22"/>
        </w:rPr>
        <w:t xml:space="preserve">History tab: SVG line chart over selectable time ranges (7 days / 30 days / 90 days / all time) with storm zone indicator above 70%</w:t>
      </w:r>
    </w:p>
    <w:p>
      <w:pPr>
        <w:pStyle w:val="ListParagraph"/>
        <w:numPr>
          <w:ilvl w:val="0"/>
          <w:numId w:val="2"/>
        </w:numPr>
        <w:spacing w:after="80" w:before="0"/>
      </w:pPr>
      <w:r>
        <w:rPr>
          <w:rFonts w:ascii="Arial" w:cs="Arial" w:eastAsia="Arial" w:hAnsi="Arial"/>
          <w:sz w:val="22"/>
          <w:szCs w:val="22"/>
        </w:rPr>
        <w:t xml:space="preserve">Patterns tab: aggregate statistics including top triggers, top relief actions, activity by day of week and hour of day, peak level, longest consecutive load run</w:t>
      </w:r>
    </w:p>
    <w:p>
      <w:pPr>
        <w:pStyle w:val="ListParagraph"/>
        <w:numPr>
          <w:ilvl w:val="0"/>
          <w:numId w:val="2"/>
        </w:numPr>
        <w:spacing w:after="80" w:before="0"/>
      </w:pPr>
      <w:r>
        <w:rPr>
          <w:rFonts w:ascii="Arial" w:cs="Arial" w:eastAsia="Arial" w:hAnsi="Arial"/>
          <w:sz w:val="22"/>
          <w:szCs w:val="22"/>
        </w:rPr>
        <w:t xml:space="preserve">Delete entries: accidental entries can be removed from history; bucket level recalculates automatically from remaining data</w:t>
      </w:r>
    </w:p>
    <w:p>
      <w:pPr>
        <w:pStyle w:val="ListParagraph"/>
        <w:numPr>
          <w:ilvl w:val="0"/>
          <w:numId w:val="2"/>
        </w:numPr>
        <w:spacing w:after="80" w:before="0"/>
      </w:pPr>
      <w:r>
        <w:rPr>
          <w:rFonts w:ascii="Arial" w:cs="Arial" w:eastAsia="Arial" w:hAnsi="Arial"/>
          <w:sz w:val="22"/>
          <w:szCs w:val="22"/>
        </w:rPr>
        <w:t xml:space="preserve">Share link: read-only view URL with secret token for supporters to monitor in real time</w:t>
      </w:r>
    </w:p>
    <w:p>
      <w:pPr>
        <w:pStyle w:val="ListParagraph"/>
        <w:numPr>
          <w:ilvl w:val="0"/>
          <w:numId w:val="2"/>
        </w:numPr>
        <w:spacing w:after="80" w:before="0"/>
      </w:pPr>
      <w:r>
        <w:rPr>
          <w:rFonts w:ascii="Arial" w:cs="Arial" w:eastAsia="Arial" w:hAnsi="Arial"/>
          <w:sz w:val="22"/>
          <w:szCs w:val="22"/>
        </w:rPr>
        <w:t xml:space="preserve">Password protection: full login/logout with session management</w:t>
      </w:r>
    </w:p>
    <w:p>
      <w:pPr>
        <w:pStyle w:val="ListParagraph"/>
        <w:numPr>
          <w:ilvl w:val="0"/>
          <w:numId w:val="2"/>
        </w:numPr>
        <w:spacing w:after="80" w:before="0"/>
      </w:pPr>
      <w:r>
        <w:rPr>
          <w:rFonts w:ascii="Arial" w:cs="Arial" w:eastAsia="Arial" w:hAnsi="Arial"/>
          <w:sz w:val="22"/>
          <w:szCs w:val="22"/>
        </w:rPr>
        <w:t xml:space="preserve">Responsive: works on desktop and mobile browsers</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3.3 The Brain Visualisation</w:t>
      </w:r>
    </w:p>
    <w:p>
      <w:pPr>
        <w:spacing w:after="120" w:before="0"/>
        <w:jc w:val="left"/>
      </w:pPr>
      <w:r>
        <w:rPr>
          <w:rFonts w:ascii="Arial" w:cs="Arial" w:eastAsia="Arial" w:hAnsi="Arial"/>
          <w:b w:val="false"/>
          <w:bCs w:val="false"/>
          <w:i w:val="false"/>
          <w:iCs w:val="false"/>
          <w:color w:val="000000"/>
          <w:sz w:val="22"/>
          <w:szCs w:val="22"/>
        </w:rPr>
        <w:t xml:space="preserve">The central graphic is a midline sagittal section of the human brain, rendered in scalable SVG. The view was chosen because it is the most informative single anatomical cut for the product's therapeutic story, clearly showing:</w:t>
      </w:r>
    </w:p>
    <w:p>
      <w:pPr>
        <w:pStyle w:val="ListParagraph"/>
        <w:numPr>
          <w:ilvl w:val="0"/>
          <w:numId w:val="2"/>
        </w:numPr>
        <w:spacing w:after="80" w:before="0"/>
      </w:pPr>
      <w:r>
        <w:rPr>
          <w:rFonts w:ascii="Arial" w:cs="Arial" w:eastAsia="Arial" w:hAnsi="Arial"/>
          <w:sz w:val="22"/>
          <w:szCs w:val="22"/>
        </w:rPr>
        <w:t xml:space="preserve">The prefrontal cortex at the front — golden and luminous at low load, progressively darkening as load rises</w:t>
      </w:r>
    </w:p>
    <w:p>
      <w:pPr>
        <w:pStyle w:val="ListParagraph"/>
        <w:numPr>
          <w:ilvl w:val="0"/>
          <w:numId w:val="2"/>
        </w:numPr>
        <w:spacing w:after="80" w:before="0"/>
      </w:pPr>
      <w:r>
        <w:rPr>
          <w:rFonts w:ascii="Arial" w:cs="Arial" w:eastAsia="Arial" w:hAnsi="Arial"/>
          <w:sz w:val="22"/>
          <w:szCs w:val="22"/>
        </w:rPr>
        <w:t xml:space="preserve">The corpus callosum — the large white matter bridge connecting the hemispheres, anatomically distinctive and immediately recognisable</w:t>
      </w:r>
    </w:p>
    <w:p>
      <w:pPr>
        <w:pStyle w:val="ListParagraph"/>
        <w:numPr>
          <w:ilvl w:val="0"/>
          <w:numId w:val="2"/>
        </w:numPr>
        <w:spacing w:after="80" w:before="0"/>
      </w:pPr>
      <w:r>
        <w:rPr>
          <w:rFonts w:ascii="Arial" w:cs="Arial" w:eastAsia="Arial" w:hAnsi="Arial"/>
          <w:sz w:val="22"/>
          <w:szCs w:val="22"/>
        </w:rPr>
        <w:t xml:space="preserve">The cingulate cortex — the inner medial ring above the corpus callosum, part of the limbic loop, warming from calm to amber as emotional regulation works harder</w:t>
      </w:r>
    </w:p>
    <w:p>
      <w:pPr>
        <w:pStyle w:val="ListParagraph"/>
        <w:numPr>
          <w:ilvl w:val="0"/>
          <w:numId w:val="2"/>
        </w:numPr>
        <w:spacing w:after="80" w:before="0"/>
      </w:pPr>
      <w:r>
        <w:rPr>
          <w:rFonts w:ascii="Arial" w:cs="Arial" w:eastAsia="Arial" w:hAnsi="Arial"/>
          <w:sz w:val="22"/>
          <w:szCs w:val="22"/>
        </w:rPr>
        <w:t xml:space="preserve">The thalamus and hypothalamus — central relay and stress/reward gateway, illuminating progressively</w:t>
      </w:r>
    </w:p>
    <w:p>
      <w:pPr>
        <w:pStyle w:val="ListParagraph"/>
        <w:numPr>
          <w:ilvl w:val="0"/>
          <w:numId w:val="2"/>
        </w:numPr>
        <w:spacing w:after="80" w:before="0"/>
      </w:pPr>
      <w:r>
        <w:rPr>
          <w:rFonts w:ascii="Arial" w:cs="Arial" w:eastAsia="Arial" w:hAnsi="Arial"/>
          <w:sz w:val="22"/>
          <w:szCs w:val="22"/>
        </w:rPr>
        <w:t xml:space="preserve">The fornix — the white matter arch connecting hippocampus to hypothalamus, visible at midline</w:t>
      </w:r>
    </w:p>
    <w:p>
      <w:pPr>
        <w:pStyle w:val="ListParagraph"/>
        <w:numPr>
          <w:ilvl w:val="0"/>
          <w:numId w:val="2"/>
        </w:numPr>
        <w:spacing w:after="80" w:before="0"/>
      </w:pPr>
      <w:r>
        <w:rPr>
          <w:rFonts w:ascii="Arial" w:cs="Arial" w:eastAsia="Arial" w:hAnsi="Arial"/>
          <w:sz w:val="22"/>
          <w:szCs w:val="22"/>
        </w:rPr>
        <w:t xml:space="preserve">The brainstem — survival circuitry, becoming progressively dominant at high load</w:t>
      </w:r>
    </w:p>
    <w:p>
      <w:pPr>
        <w:pStyle w:val="ListParagraph"/>
        <w:numPr>
          <w:ilvl w:val="0"/>
          <w:numId w:val="2"/>
        </w:numPr>
        <w:spacing w:after="80" w:before="0"/>
      </w:pPr>
      <w:r>
        <w:rPr>
          <w:rFonts w:ascii="Arial" w:cs="Arial" w:eastAsia="Arial" w:hAnsi="Arial"/>
          <w:sz w:val="22"/>
          <w:szCs w:val="22"/>
        </w:rPr>
        <w:t xml:space="preserve">The cerebellum — with arbor vitae pattern, anatomically accurate</w:t>
      </w:r>
    </w:p>
    <w:p>
      <w:pPr>
        <w:spacing w:after="160" w:before="0"/>
        <w:jc w:val="left"/>
      </w:pPr>
      <w:r>
        <w:rPr>
          <w:rFonts w:ascii="Arial" w:cs="Arial" w:eastAsia="Arial" w:hAnsi="Arial"/>
          <w:b w:val="false"/>
          <w:bCs w:val="false"/>
          <w:i w:val="false"/>
          <w:iCs w:val="false"/>
          <w:color w:val="000000"/>
          <w:sz w:val="22"/>
          <w:szCs w:val="22"/>
        </w:rPr>
        <w:t xml:space="preserve">At high load, the basal ganglia and reward circuit glow blazes red through the thalamic region, visually representing the dopaminergic reward system taking precedence over conscious control. Labels appear progressively — Prefrontal Cortex is prominent when calm; Limbic, Basal Ganglia, and Brainstem emerge as load builds. The graphic is not decorative. It is explanatory.</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4. Data Architecture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4.1 Database Schema</w:t>
      </w:r>
    </w:p>
    <w:p>
      <w:pPr>
        <w:spacing w:after="120" w:before="0"/>
        <w:jc w:val="left"/>
      </w:pPr>
      <w:r>
        <w:rPr>
          <w:rFonts w:ascii="Arial" w:cs="Arial" w:eastAsia="Arial" w:hAnsi="Arial"/>
          <w:b w:val="false"/>
          <w:bCs w:val="false"/>
          <w:i w:val="false"/>
          <w:iCs w:val="false"/>
          <w:color w:val="000000"/>
          <w:sz w:val="22"/>
          <w:szCs w:val="22"/>
        </w:rPr>
        <w:t xml:space="preserve">The current implementation uses SQLite with four tables:</w:t>
      </w:r>
    </w:p>
    <w:p>
      <w:pPr>
        <w:pStyle w:val="ListParagraph"/>
        <w:numPr>
          <w:ilvl w:val="0"/>
          <w:numId w:val="2"/>
        </w:numPr>
        <w:spacing w:after="80" w:before="0"/>
      </w:pPr>
      <w:r>
        <w:rPr>
          <w:rFonts w:ascii="Arial" w:cs="Arial" w:eastAsia="Arial" w:hAnsi="Arial"/>
          <w:sz w:val="22"/>
          <w:szCs w:val="22"/>
        </w:rPr>
        <w:t xml:space="preserve">entries: id, ts (ISO timestamp), label, delta (signed float), level (float 0–100), type (filler/emptier/reset)</w:t>
      </w:r>
    </w:p>
    <w:p>
      <w:pPr>
        <w:pStyle w:val="ListParagraph"/>
        <w:numPr>
          <w:ilvl w:val="0"/>
          <w:numId w:val="2"/>
        </w:numPr>
        <w:spacing w:after="80" w:before="0"/>
      </w:pPr>
      <w:r>
        <w:rPr>
          <w:rFonts w:ascii="Arial" w:cs="Arial" w:eastAsia="Arial" w:hAnsi="Arial"/>
          <w:sz w:val="22"/>
          <w:szCs w:val="22"/>
        </w:rPr>
        <w:t xml:space="preserve">items: id, label, value (integer), type (filler/emptier), is_custom (0/1), is_hidden (0/1)</w:t>
      </w:r>
    </w:p>
    <w:p>
      <w:pPr>
        <w:pStyle w:val="ListParagraph"/>
        <w:numPr>
          <w:ilvl w:val="0"/>
          <w:numId w:val="2"/>
        </w:numPr>
        <w:spacing w:after="80" w:before="0"/>
      </w:pPr>
      <w:r>
        <w:rPr>
          <w:rFonts w:ascii="Arial" w:cs="Arial" w:eastAsia="Arial" w:hAnsi="Arial"/>
          <w:sz w:val="22"/>
          <w:szCs w:val="22"/>
        </w:rPr>
        <w:t xml:space="preserve">kv: key-value store for persistent state (current level, view token)</w:t>
      </w:r>
    </w:p>
    <w:p>
      <w:pPr>
        <w:pStyle w:val="ListParagraph"/>
        <w:numPr>
          <w:ilvl w:val="0"/>
          <w:numId w:val="2"/>
        </w:numPr>
        <w:spacing w:after="80" w:before="0"/>
      </w:pPr>
      <w:r>
        <w:rPr>
          <w:rFonts w:ascii="Arial" w:cs="Arial" w:eastAsia="Arial" w:hAnsi="Arial"/>
          <w:sz w:val="22"/>
          <w:szCs w:val="22"/>
        </w:rPr>
        <w:t xml:space="preserve">sessions: session tokens with creation timestamp</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4.2 Data Retention</w:t>
      </w:r>
    </w:p>
    <w:p>
      <w:pPr>
        <w:spacing w:after="160" w:before="0"/>
        <w:jc w:val="left"/>
      </w:pPr>
      <w:r>
        <w:rPr>
          <w:rFonts w:ascii="Arial" w:cs="Arial" w:eastAsia="Arial" w:hAnsi="Arial"/>
          <w:b w:val="false"/>
          <w:bCs w:val="false"/>
          <w:i w:val="false"/>
          <w:iCs w:val="false"/>
          <w:color w:val="000000"/>
          <w:sz w:val="22"/>
          <w:szCs w:val="22"/>
        </w:rPr>
        <w:t xml:space="preserve">All entries are retained indefinitely by design. The product's clinical value depends on long-term data — a lapse event that appears sudden in daily context may be visibly preceded by a weeks-long high-load period when the full history is examined. Deletion of individual entries is supported for error correction only; the level recalculates automatically from remaining history.</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5. API Design</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The current REST API is stateless with session-token authentication. All endpoints except /api/login require either a valid session token (full access) or a valid view token (read-only access to status and history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POST /api/login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Authenticate with password; returns session token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/api/logout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Invalidate session token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GET /api/status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level, all visible items, hidden item counts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GET /api/history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entries, optionally filtered by ?days=N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POST /api/adjust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 a load or relief event; returns new level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/api/reset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 level to specified value; logs a reset entry</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GET /api/share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the read-only view URL (session required)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/api/items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 or update a custom item</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PATCH /api/items/:id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Edit item label and/or value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DELETE /api/items/:id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Hide an item (soft delete)</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POST /api/items/restore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Restore hidden items by type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DELETE /api/entries/:id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 a log entry; recalculates current level</w:t>
            </w:r>
          </w:p>
        </w:tc>
      </w:tr>
    </w:tbl>
    <w:p>
      <w:pPr>
        <w:spacing w:after="120" w:before="16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6. Security and Privacy</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6.1 Current Implementation</w:t>
      </w:r>
    </w:p>
    <w:p>
      <w:pPr>
        <w:pStyle w:val="ListParagraph"/>
        <w:numPr>
          <w:ilvl w:val="0"/>
          <w:numId w:val="2"/>
        </w:numPr>
        <w:spacing w:after="80" w:before="0"/>
      </w:pPr>
      <w:r>
        <w:rPr>
          <w:rFonts w:ascii="Arial" w:cs="Arial" w:eastAsia="Arial" w:hAnsi="Arial"/>
          <w:sz w:val="22"/>
          <w:szCs w:val="22"/>
        </w:rPr>
        <w:t xml:space="preserve">Password authentication with bcrypt-equivalent comparison against environment variable</w:t>
      </w:r>
    </w:p>
    <w:p>
      <w:pPr>
        <w:pStyle w:val="ListParagraph"/>
        <w:numPr>
          <w:ilvl w:val="0"/>
          <w:numId w:val="2"/>
        </w:numPr>
        <w:spacing w:after="80" w:before="0"/>
      </w:pPr>
      <w:r>
        <w:rPr>
          <w:rFonts w:ascii="Arial" w:cs="Arial" w:eastAsia="Arial" w:hAnsi="Arial"/>
          <w:sz w:val="22"/>
          <w:szCs w:val="22"/>
        </w:rPr>
        <w:t xml:space="preserve">Cryptographically random session tokens (256-bit, crypto.randomBytes)</w:t>
      </w:r>
    </w:p>
    <w:p>
      <w:pPr>
        <w:pStyle w:val="ListParagraph"/>
        <w:numPr>
          <w:ilvl w:val="0"/>
          <w:numId w:val="2"/>
        </w:numPr>
        <w:spacing w:after="80" w:before="0"/>
      </w:pPr>
      <w:r>
        <w:rPr>
          <w:rFonts w:ascii="Arial" w:cs="Arial" w:eastAsia="Arial" w:hAnsi="Arial"/>
          <w:sz w:val="22"/>
          <w:szCs w:val="22"/>
        </w:rPr>
        <w:t xml:space="preserve">View token: 192-bit random hex, generated once at first run, stored in database</w:t>
      </w:r>
    </w:p>
    <w:p>
      <w:pPr>
        <w:pStyle w:val="ListParagraph"/>
        <w:numPr>
          <w:ilvl w:val="0"/>
          <w:numId w:val="2"/>
        </w:numPr>
        <w:spacing w:after="80" w:before="0"/>
      </w:pPr>
      <w:r>
        <w:rPr>
          <w:rFonts w:ascii="Arial" w:cs="Arial" w:eastAsia="Arial" w:hAnsi="Arial"/>
          <w:sz w:val="22"/>
          <w:szCs w:val="22"/>
        </w:rPr>
        <w:t xml:space="preserve">All API routes protected; view token provides read-only access to status and history only</w:t>
      </w:r>
    </w:p>
    <w:p>
      <w:pPr>
        <w:pStyle w:val="ListParagraph"/>
        <w:numPr>
          <w:ilvl w:val="0"/>
          <w:numId w:val="2"/>
        </w:numPr>
        <w:spacing w:after="80" w:before="0"/>
      </w:pPr>
      <w:r>
        <w:rPr>
          <w:rFonts w:ascii="Arial" w:cs="Arial" w:eastAsia="Arial" w:hAnsi="Arial"/>
          <w:sz w:val="22"/>
          <w:szCs w:val="22"/>
        </w:rPr>
        <w:t xml:space="preserve">No third-party analytics, no advertising, no data sharing</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6.2 Considerations for Production</w:t>
      </w:r>
    </w:p>
    <w:p>
      <w:pPr>
        <w:spacing w:after="120" w:before="0"/>
        <w:jc w:val="left"/>
      </w:pPr>
      <w:r>
        <w:rPr>
          <w:rFonts w:ascii="Arial" w:cs="Arial" w:eastAsia="Arial" w:hAnsi="Arial"/>
          <w:b w:val="false"/>
          <w:bCs w:val="false"/>
          <w:i w:val="false"/>
          <w:iCs w:val="false"/>
          <w:color w:val="000000"/>
          <w:sz w:val="22"/>
          <w:szCs w:val="22"/>
        </w:rPr>
        <w:t xml:space="preserve">A production release handling health data would require the following additional measures:</w:t>
      </w:r>
    </w:p>
    <w:p>
      <w:pPr>
        <w:pStyle w:val="ListParagraph"/>
        <w:numPr>
          <w:ilvl w:val="0"/>
          <w:numId w:val="2"/>
        </w:numPr>
        <w:spacing w:after="80" w:before="0"/>
      </w:pPr>
      <w:r>
        <w:rPr>
          <w:rFonts w:ascii="Arial" w:cs="Arial" w:eastAsia="Arial" w:hAnsi="Arial"/>
          <w:sz w:val="22"/>
          <w:szCs w:val="22"/>
        </w:rPr>
        <w:t xml:space="preserve">HTTPS enforced (currently provided by Render's edge layer)</w:t>
      </w:r>
    </w:p>
    <w:p>
      <w:pPr>
        <w:pStyle w:val="ListParagraph"/>
        <w:numPr>
          <w:ilvl w:val="0"/>
          <w:numId w:val="2"/>
        </w:numPr>
        <w:spacing w:after="80" w:before="0"/>
      </w:pPr>
      <w:r>
        <w:rPr>
          <w:rFonts w:ascii="Arial" w:cs="Arial" w:eastAsia="Arial" w:hAnsi="Arial"/>
          <w:sz w:val="22"/>
          <w:szCs w:val="22"/>
        </w:rPr>
        <w:t xml:space="preserve">Data classified as special category under UK GDPR Article 9 (health data) — requires explicit consent, lawful basis, and Data Protection Impact Assessment (DPIA)</w:t>
      </w:r>
    </w:p>
    <w:p>
      <w:pPr>
        <w:pStyle w:val="ListParagraph"/>
        <w:numPr>
          <w:ilvl w:val="0"/>
          <w:numId w:val="2"/>
        </w:numPr>
        <w:spacing w:after="80" w:before="0"/>
      </w:pPr>
      <w:r>
        <w:rPr>
          <w:rFonts w:ascii="Arial" w:cs="Arial" w:eastAsia="Arial" w:hAnsi="Arial"/>
          <w:sz w:val="22"/>
          <w:szCs w:val="22"/>
        </w:rPr>
        <w:t xml:space="preserve">Privacy policy and terms of service</w:t>
      </w:r>
    </w:p>
    <w:p>
      <w:pPr>
        <w:pStyle w:val="ListParagraph"/>
        <w:numPr>
          <w:ilvl w:val="0"/>
          <w:numId w:val="2"/>
        </w:numPr>
        <w:spacing w:after="80" w:before="0"/>
      </w:pPr>
      <w:r>
        <w:rPr>
          <w:rFonts w:ascii="Arial" w:cs="Arial" w:eastAsia="Arial" w:hAnsi="Arial"/>
          <w:sz w:val="22"/>
          <w:szCs w:val="22"/>
        </w:rPr>
        <w:t xml:space="preserve">Right to erasure (full account and data deletion)</w:t>
      </w:r>
    </w:p>
    <w:p>
      <w:pPr>
        <w:pStyle w:val="ListParagraph"/>
        <w:numPr>
          <w:ilvl w:val="0"/>
          <w:numId w:val="2"/>
        </w:numPr>
        <w:spacing w:after="80" w:before="0"/>
      </w:pPr>
      <w:r>
        <w:rPr>
          <w:rFonts w:ascii="Arial" w:cs="Arial" w:eastAsia="Arial" w:hAnsi="Arial"/>
          <w:sz w:val="22"/>
          <w:szCs w:val="22"/>
        </w:rPr>
        <w:t xml:space="preserve">Data residency consideration — UK or EEA hosting for NHS/CGL use</w:t>
      </w:r>
    </w:p>
    <w:p>
      <w:pPr>
        <w:pStyle w:val="ListParagraph"/>
        <w:numPr>
          <w:ilvl w:val="0"/>
          <w:numId w:val="2"/>
        </w:numPr>
        <w:spacing w:after="80" w:before="0"/>
      </w:pPr>
      <w:r>
        <w:rPr>
          <w:rFonts w:ascii="Arial" w:cs="Arial" w:eastAsia="Arial" w:hAnsi="Arial"/>
          <w:sz w:val="22"/>
          <w:szCs w:val="22"/>
        </w:rPr>
        <w:t xml:space="preserve">Penetration testing prior to any clinical deployment</w:t>
      </w:r>
    </w:p>
    <w:p>
      <w:pPr>
        <w:spacing w:after="120" w:before="16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7. Product Roadmap</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Phase 1 — Proof of Concept (Current)</w:t>
      </w:r>
    </w:p>
    <w:p>
      <w:pPr>
        <w:spacing w:after="120" w:before="0"/>
        <w:jc w:val="left"/>
      </w:pPr>
      <w:r>
        <w:rPr>
          <w:rFonts w:ascii="Arial" w:cs="Arial" w:eastAsia="Arial" w:hAnsi="Arial"/>
          <w:b w:val="false"/>
          <w:bCs w:val="false"/>
          <w:i w:val="false"/>
          <w:iCs w:val="false"/>
          <w:color w:val="000000"/>
          <w:sz w:val="22"/>
          <w:szCs w:val="22"/>
        </w:rPr>
        <w:t xml:space="preserve">Single-user web application. Live at trigger-level.onrender.com. Actively used by the author as a personal recovery tool. Core functionality complete.</w:t>
      </w:r>
    </w:p>
    <w:p>
      <w:pPr>
        <w:pStyle w:val="Heading2"/>
        <w:spacing w:after="80" w:before="280"/>
      </w:pPr>
      <w:r>
        <w:rPr>
          <w:rFonts w:ascii="Arial" w:cs="Arial" w:eastAsia="Arial" w:hAnsi="Arial"/>
          <w:b/>
          <w:bCs/>
          <w:color w:val="2E75B6"/>
          <w:sz w:val="26"/>
          <w:szCs w:val="26"/>
        </w:rPr>
        <w:t xml:space="preserve">Phase 2 — Clinical Pilot</w:t>
      </w:r>
    </w:p>
    <w:p>
      <w:pPr>
        <w:spacing w:after="100" w:before="0"/>
        <w:jc w:val="left"/>
      </w:pPr>
      <w:r>
        <w:rPr>
          <w:rFonts w:ascii="Arial" w:cs="Arial" w:eastAsia="Arial" w:hAnsi="Arial"/>
          <w:b w:val="false"/>
          <w:bCs w:val="false"/>
          <w:i w:val="false"/>
          <w:iCs w:val="false"/>
          <w:color w:val="000000"/>
          <w:sz w:val="22"/>
          <w:szCs w:val="22"/>
        </w:rPr>
        <w:t xml:space="preserve">Working with CGL Nottingham to pilot with a cohort of service users. Key additions required:</w:t>
      </w:r>
    </w:p>
    <w:p>
      <w:pPr>
        <w:pStyle w:val="ListParagraph"/>
        <w:numPr>
          <w:ilvl w:val="0"/>
          <w:numId w:val="2"/>
        </w:numPr>
        <w:spacing w:after="80" w:before="0"/>
      </w:pPr>
      <w:r>
        <w:rPr>
          <w:rFonts w:ascii="Arial" w:cs="Arial" w:eastAsia="Arial" w:hAnsi="Arial"/>
          <w:sz w:val="22"/>
          <w:szCs w:val="22"/>
        </w:rPr>
        <w:t xml:space="preserve">Onboarding flow — personalised trigger and relief item setup at first use</w:t>
      </w:r>
    </w:p>
    <w:p>
      <w:pPr>
        <w:pStyle w:val="ListParagraph"/>
        <w:numPr>
          <w:ilvl w:val="0"/>
          <w:numId w:val="2"/>
        </w:numPr>
        <w:spacing w:after="80" w:before="0"/>
      </w:pPr>
      <w:r>
        <w:rPr>
          <w:rFonts w:ascii="Arial" w:cs="Arial" w:eastAsia="Arial" w:hAnsi="Arial"/>
          <w:sz w:val="22"/>
          <w:szCs w:val="22"/>
        </w:rPr>
        <w:t xml:space="preserve">Persistent/situational trigger distinction — constants (ongoing life circumstances) vs situational events</w:t>
      </w:r>
    </w:p>
    <w:p>
      <w:pPr>
        <w:pStyle w:val="ListParagraph"/>
        <w:numPr>
          <w:ilvl w:val="0"/>
          <w:numId w:val="2"/>
        </w:numPr>
        <w:spacing w:after="80" w:before="0"/>
      </w:pPr>
      <w:r>
        <w:rPr>
          <w:rFonts w:ascii="Arial" w:cs="Arial" w:eastAsia="Arial" w:hAnsi="Arial"/>
          <w:sz w:val="22"/>
          <w:szCs w:val="22"/>
        </w:rPr>
        <w:t xml:space="preserve">Morning check-in mode — structured daily inventory that consciously loads the application to reflect reality</w:t>
      </w:r>
    </w:p>
    <w:p>
      <w:pPr>
        <w:pStyle w:val="ListParagraph"/>
        <w:numPr>
          <w:ilvl w:val="0"/>
          <w:numId w:val="2"/>
        </w:numPr>
        <w:spacing w:after="80" w:before="0"/>
      </w:pPr>
      <w:r>
        <w:rPr>
          <w:rFonts w:ascii="Arial" w:cs="Arial" w:eastAsia="Arial" w:hAnsi="Arial"/>
          <w:sz w:val="22"/>
          <w:szCs w:val="22"/>
        </w:rPr>
        <w:t xml:space="preserve">Safeguarding layer — crisis resource signposting when load sustained above critical threshold</w:t>
      </w:r>
    </w:p>
    <w:p>
      <w:pPr>
        <w:pStyle w:val="ListParagraph"/>
        <w:numPr>
          <w:ilvl w:val="0"/>
          <w:numId w:val="2"/>
        </w:numPr>
        <w:spacing w:after="80" w:before="0"/>
      </w:pPr>
      <w:r>
        <w:rPr>
          <w:rFonts w:ascii="Arial" w:cs="Arial" w:eastAsia="Arial" w:hAnsi="Arial"/>
          <w:sz w:val="22"/>
          <w:szCs w:val="22"/>
        </w:rPr>
        <w:t xml:space="preserve">Multi-user backend — proper account system (email/password or phone number)</w:t>
      </w:r>
    </w:p>
    <w:p>
      <w:pPr>
        <w:pStyle w:val="ListParagraph"/>
        <w:numPr>
          <w:ilvl w:val="0"/>
          <w:numId w:val="2"/>
        </w:numPr>
        <w:spacing w:after="80" w:before="0"/>
      </w:pPr>
      <w:r>
        <w:rPr>
          <w:rFonts w:ascii="Arial" w:cs="Arial" w:eastAsia="Arial" w:hAnsi="Arial"/>
          <w:sz w:val="22"/>
          <w:szCs w:val="22"/>
        </w:rPr>
        <w:t xml:space="preserve">Supporter view improvements — notification to supporter when user enters critical zone</w:t>
      </w:r>
    </w:p>
    <w:p>
      <w:pPr>
        <w:pStyle w:val="ListParagraph"/>
        <w:numPr>
          <w:ilvl w:val="0"/>
          <w:numId w:val="2"/>
        </w:numPr>
        <w:spacing w:after="80" w:before="0"/>
      </w:pPr>
      <w:r>
        <w:rPr>
          <w:rFonts w:ascii="Arial" w:cs="Arial" w:eastAsia="Arial" w:hAnsi="Arial"/>
          <w:sz w:val="22"/>
          <w:szCs w:val="22"/>
        </w:rPr>
        <w:t xml:space="preserve">Keyworker dashboard — aggregate (anonymised) view of cohort load patterns for clinical supervision</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Phase 3 — App Store Release</w:t>
      </w:r>
    </w:p>
    <w:p>
      <w:pPr>
        <w:spacing w:after="100" w:before="0"/>
        <w:jc w:val="left"/>
      </w:pPr>
      <w:r>
        <w:rPr>
          <w:rFonts w:ascii="Arial" w:cs="Arial" w:eastAsia="Arial" w:hAnsi="Arial"/>
          <w:b w:val="false"/>
          <w:bCs w:val="false"/>
          <w:i w:val="false"/>
          <w:iCs w:val="false"/>
          <w:color w:val="000000"/>
          <w:sz w:val="22"/>
          <w:szCs w:val="22"/>
        </w:rPr>
        <w:t xml:space="preserve">React Native build for iOS and Android. Core feature parity with web version plus:</w:t>
      </w:r>
    </w:p>
    <w:p>
      <w:pPr>
        <w:pStyle w:val="ListParagraph"/>
        <w:numPr>
          <w:ilvl w:val="0"/>
          <w:numId w:val="2"/>
        </w:numPr>
        <w:spacing w:after="80" w:before="0"/>
      </w:pPr>
      <w:r>
        <w:rPr>
          <w:rFonts w:ascii="Arial" w:cs="Arial" w:eastAsia="Arial" w:hAnsi="Arial"/>
          <w:sz w:val="22"/>
          <w:szCs w:val="22"/>
        </w:rPr>
        <w:t xml:space="preserve">Push notifications — gentle daily check-in reminders, critical level alerts</w:t>
      </w:r>
    </w:p>
    <w:p>
      <w:pPr>
        <w:pStyle w:val="ListParagraph"/>
        <w:numPr>
          <w:ilvl w:val="0"/>
          <w:numId w:val="2"/>
        </w:numPr>
        <w:spacing w:after="80" w:before="0"/>
      </w:pPr>
      <w:r>
        <w:rPr>
          <w:rFonts w:ascii="Arial" w:cs="Arial" w:eastAsia="Arial" w:hAnsi="Arial"/>
          <w:sz w:val="22"/>
          <w:szCs w:val="22"/>
        </w:rPr>
        <w:t xml:space="preserve">Offline support — local-first architecture, sync when connected</w:t>
      </w:r>
    </w:p>
    <w:p>
      <w:pPr>
        <w:pStyle w:val="ListParagraph"/>
        <w:numPr>
          <w:ilvl w:val="0"/>
          <w:numId w:val="2"/>
        </w:numPr>
        <w:spacing w:after="80" w:before="0"/>
      </w:pPr>
      <w:r>
        <w:rPr>
          <w:rFonts w:ascii="Arial" w:cs="Arial" w:eastAsia="Arial" w:hAnsi="Arial"/>
          <w:sz w:val="22"/>
          <w:szCs w:val="22"/>
        </w:rPr>
        <w:t xml:space="preserve">Biometric authentication</w:t>
      </w:r>
    </w:p>
    <w:p>
      <w:pPr>
        <w:pStyle w:val="ListParagraph"/>
        <w:numPr>
          <w:ilvl w:val="0"/>
          <w:numId w:val="2"/>
        </w:numPr>
        <w:spacing w:after="80" w:before="0"/>
      </w:pPr>
      <w:r>
        <w:rPr>
          <w:rFonts w:ascii="Arial" w:cs="Arial" w:eastAsia="Arial" w:hAnsi="Arial"/>
          <w:sz w:val="22"/>
          <w:szCs w:val="22"/>
        </w:rPr>
        <w:t xml:space="preserve">Widget support — glanceable load level on home screen</w:t>
      </w:r>
    </w:p>
    <w:p>
      <w:pPr>
        <w:pStyle w:val="ListParagraph"/>
        <w:numPr>
          <w:ilvl w:val="0"/>
          <w:numId w:val="2"/>
        </w:numPr>
        <w:spacing w:after="80" w:before="0"/>
      </w:pPr>
      <w:r>
        <w:rPr>
          <w:rFonts w:ascii="Arial" w:cs="Arial" w:eastAsia="Arial" w:hAnsi="Arial"/>
          <w:sz w:val="22"/>
          <w:szCs w:val="22"/>
        </w:rPr>
        <w:t xml:space="preserve">Accessibility — WCAG 2.1 AA compliance</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80" w:before="280"/>
      </w:pPr>
      <w:r>
        <w:rPr>
          <w:rFonts w:ascii="Arial" w:cs="Arial" w:eastAsia="Arial" w:hAnsi="Arial"/>
          <w:b/>
          <w:bCs/>
          <w:color w:val="2E75B6"/>
          <w:sz w:val="26"/>
          <w:szCs w:val="26"/>
        </w:rPr>
        <w:t xml:space="preserve">Phase 4 — B2B and Clinical Integration</w:t>
      </w:r>
    </w:p>
    <w:p>
      <w:pPr>
        <w:pStyle w:val="ListParagraph"/>
        <w:numPr>
          <w:ilvl w:val="0"/>
          <w:numId w:val="2"/>
        </w:numPr>
        <w:spacing w:after="80" w:before="0"/>
      </w:pPr>
      <w:r>
        <w:rPr>
          <w:rFonts w:ascii="Arial" w:cs="Arial" w:eastAsia="Arial" w:hAnsi="Arial"/>
          <w:sz w:val="22"/>
          <w:szCs w:val="22"/>
        </w:rPr>
        <w:t xml:space="preserve">White-label licensing for addiction services and EAP providers</w:t>
      </w:r>
    </w:p>
    <w:p>
      <w:pPr>
        <w:pStyle w:val="ListParagraph"/>
        <w:numPr>
          <w:ilvl w:val="0"/>
          <w:numId w:val="2"/>
        </w:numPr>
        <w:spacing w:after="80" w:before="0"/>
      </w:pPr>
      <w:r>
        <w:rPr>
          <w:rFonts w:ascii="Arial" w:cs="Arial" w:eastAsia="Arial" w:hAnsi="Arial"/>
          <w:sz w:val="22"/>
          <w:szCs w:val="22"/>
        </w:rPr>
        <w:t xml:space="preserve">Integration with existing case management systems (e.g. IAPTus, SystmOne)</w:t>
      </w:r>
    </w:p>
    <w:p>
      <w:pPr>
        <w:pStyle w:val="ListParagraph"/>
        <w:numPr>
          <w:ilvl w:val="0"/>
          <w:numId w:val="2"/>
        </w:numPr>
        <w:spacing w:after="80" w:before="0"/>
      </w:pPr>
      <w:r>
        <w:rPr>
          <w:rFonts w:ascii="Arial" w:cs="Arial" w:eastAsia="Arial" w:hAnsi="Arial"/>
          <w:sz w:val="22"/>
          <w:szCs w:val="22"/>
        </w:rPr>
        <w:t xml:space="preserve">Outcome measurement framework — PHQ-9/AUDIT correlation with load patterns</w:t>
      </w:r>
    </w:p>
    <w:p>
      <w:pPr>
        <w:pStyle w:val="ListParagraph"/>
        <w:numPr>
          <w:ilvl w:val="0"/>
          <w:numId w:val="2"/>
        </w:numPr>
        <w:spacing w:after="80" w:before="0"/>
      </w:pPr>
      <w:r>
        <w:rPr>
          <w:rFonts w:ascii="Arial" w:cs="Arial" w:eastAsia="Arial" w:hAnsi="Arial"/>
          <w:sz w:val="22"/>
          <w:szCs w:val="22"/>
        </w:rPr>
        <w:t xml:space="preserve">Anonymised aggregate research data export for clinical evaluation</w:t>
      </w:r>
    </w:p>
    <w:p>
      <w:pPr>
        <w:spacing w:after="120" w:before="16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8. Competitive Landscape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No direct equivalent product is known to exist in the UK market. Broadly comparable products and their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Headroom Differentiator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Daybreak / Reframe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Drinking reduction apps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Headroom addresses the psychological load driving use, not just the use itself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Woebot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AI-based CBT chatbot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Headroom is structured around a specific daily practice, not conversational therapy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Moodpath / Daylio</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Mood tracking</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Headroom tracks capacity vs load — a clinical model — not subjective mood rating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AA/12-step apps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 support / step tracking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Headroom is secular, science-grounded, and supporter-connected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Generic mindfulness apps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Meditation / relaxation</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Headroom is action-oriented; relief requires doing something, not passive relaxation</w:t>
            </w:r>
          </w:p>
        </w:tc>
      </w:tr>
    </w:tbl>
    <w:p>
      <w:pPr>
        <w:spacing w:after="120" w:before="16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9. Known Limitations — Proof of Concept</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80" w:before="0"/>
      </w:pPr>
      <w:r>
        <w:rPr>
          <w:rFonts w:ascii="Arial" w:cs="Arial" w:eastAsia="Arial" w:hAnsi="Arial"/>
          <w:sz w:val="22"/>
          <w:szCs w:val="22"/>
        </w:rPr>
        <w:t xml:space="preserve">Single-user architecture — not suitable for multi-user deployment without significant backend refactoring</w:t>
      </w:r>
    </w:p>
    <w:p>
      <w:pPr>
        <w:pStyle w:val="ListParagraph"/>
        <w:numPr>
          <w:ilvl w:val="0"/>
          <w:numId w:val="2"/>
        </w:numPr>
        <w:spacing w:after="80" w:before="0"/>
      </w:pPr>
      <w:r>
        <w:rPr>
          <w:rFonts w:ascii="Arial" w:cs="Arial" w:eastAsia="Arial" w:hAnsi="Arial"/>
          <w:sz w:val="22"/>
          <w:szCs w:val="22"/>
        </w:rPr>
        <w:t xml:space="preserve">No mobile app — web application only; mobile browser supported but no push notifications</w:t>
      </w:r>
    </w:p>
    <w:p>
      <w:pPr>
        <w:pStyle w:val="ListParagraph"/>
        <w:numPr>
          <w:ilvl w:val="0"/>
          <w:numId w:val="2"/>
        </w:numPr>
        <w:spacing w:after="80" w:before="0"/>
      </w:pPr>
      <w:r>
        <w:rPr>
          <w:rFonts w:ascii="Arial" w:cs="Arial" w:eastAsia="Arial" w:hAnsi="Arial"/>
          <w:sz w:val="22"/>
          <w:szCs w:val="22"/>
        </w:rPr>
        <w:t xml:space="preserve">Manual load entry — relies on user motivation to log events; no passive sensing or integration with other health data</w:t>
      </w:r>
    </w:p>
    <w:p>
      <w:pPr>
        <w:pStyle w:val="ListParagraph"/>
        <w:numPr>
          <w:ilvl w:val="0"/>
          <w:numId w:val="2"/>
        </w:numPr>
        <w:spacing w:after="80" w:before="0"/>
      </w:pPr>
      <w:r>
        <w:rPr>
          <w:rFonts w:ascii="Arial" w:cs="Arial" w:eastAsia="Arial" w:hAnsi="Arial"/>
          <w:sz w:val="22"/>
          <w:szCs w:val="22"/>
        </w:rPr>
        <w:t xml:space="preserve">Impact values are subjective — current numerical weights are defaults; no validated psychometric scale underpins them</w:t>
      </w:r>
    </w:p>
    <w:p>
      <w:pPr>
        <w:pStyle w:val="ListParagraph"/>
        <w:numPr>
          <w:ilvl w:val="0"/>
          <w:numId w:val="2"/>
        </w:numPr>
        <w:spacing w:after="80" w:before="0"/>
      </w:pPr>
      <w:r>
        <w:rPr>
          <w:rFonts w:ascii="Arial" w:cs="Arial" w:eastAsia="Arial" w:hAnsi="Arial"/>
          <w:sz w:val="22"/>
          <w:szCs w:val="22"/>
        </w:rPr>
        <w:t xml:space="preserve">No clinical validation — the product has not been subject to peer review or clinical trial</w:t>
      </w:r>
    </w:p>
    <w:p>
      <w:pPr>
        <w:pStyle w:val="ListParagraph"/>
        <w:numPr>
          <w:ilvl w:val="0"/>
          <w:numId w:val="2"/>
        </w:numPr>
        <w:spacing w:after="80" w:before="0"/>
      </w:pPr>
      <w:r>
        <w:rPr>
          <w:rFonts w:ascii="Arial" w:cs="Arial" w:eastAsia="Arial" w:hAnsi="Arial"/>
          <w:sz w:val="22"/>
          <w:szCs w:val="22"/>
        </w:rPr>
        <w:t xml:space="preserve">No safeguarding layer — a production version for clinical use would require crisis resource signposting</w:t>
      </w:r>
    </w:p>
    <w:p>
      <w:pPr>
        <w:pStyle w:val="ListParagraph"/>
        <w:numPr>
          <w:ilvl w:val="0"/>
          <w:numId w:val="2"/>
        </w:numPr>
        <w:spacing w:after="80" w:before="0"/>
      </w:pPr>
      <w:r>
        <w:rPr>
          <w:rFonts w:ascii="Arial" w:cs="Arial" w:eastAsia="Arial" w:hAnsi="Arial"/>
          <w:sz w:val="22"/>
          <w:szCs w:val="22"/>
        </w:rPr>
        <w:t xml:space="preserve">Free hosting tier — Render free tier spins down after 15 minutes of inactivity (approximately 30-second wake latency); unsuitable for clinical deployment</w:t>
      </w:r>
    </w:p>
    <w:p>
      <w:pPr>
        <w:spacing w:after="120" w:before="16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1"/>
        <w:spacing w:after="120" w:before="360"/>
      </w:pPr>
      <w:r>
        <w:rPr>
          <w:rFonts w:ascii="Arial" w:cs="Arial" w:eastAsia="Arial" w:hAnsi="Arial"/>
          <w:b/>
          <w:bCs/>
          <w:color w:val="1F4E79"/>
          <w:sz w:val="32"/>
          <w:szCs w:val="32"/>
        </w:rPr>
        <w:t xml:space="preserve">10. Contact</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Developer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David Brand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Email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9rogr4mm3r@gmail.com</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Live application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https://trigger-level.onrender.com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Repository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github.com/dbrand-dataops/trigger-level (private — available on request)</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Clinical contact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Change Grow Live, Nottingham — keyworker on request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0"/>
    </w:pPr>
    <w:r>
      <w:rPr>
        <w:rFonts w:ascii="Arial" w:cs="Arial" w:eastAsia="Arial" w:hAnsi="Arial"/>
        <w:color w:val="808080"/>
        <w:sz w:val="18"/>
        <w:szCs w:val="18"/>
      </w:rPr>
      <w:t xml:space="preserve">Version 0.1 — April 2026</w:t>
    </w:r>
    <w:r>
      <w:rPr>
        <w:rFonts w:ascii="Arial" w:cs="Arial" w:eastAsia="Arial" w:hAnsi="Arial"/>
        <w:color w:val="808080"/>
        <w:sz w:val="18"/>
        <w:szCs w:val="18"/>
      </w:rPr>
      <w:t xml:space="preserve">	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before="0"/>
    </w:pPr>
    <w:r>
      <w:rPr>
        <w:rFonts w:ascii="Arial" w:cs="Arial" w:eastAsia="Arial" w:hAnsi="Arial"/>
        <w:color w:val="808080"/>
        <w:sz w:val="18"/>
        <w:szCs w:val="18"/>
      </w:rPr>
      <w:t xml:space="preserve">HEADROOM — Product Design Document</w:t>
    </w:r>
    <w:r>
      <w:rPr>
        <w:rFonts w:ascii="Arial" w:cs="Arial" w:eastAsia="Arial" w:hAnsi="Arial"/>
        <w:color w:val="C0C0C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2026-04-27T01:09:12.589Z</dcterms:created>
  <dcterms:modified xsi:type="dcterms:W3CDTF">2026-04-27T01:09:12.591Z</dcterms:modified>
</cp:coreProperties>
</file>

<file path=docProps/custom.xml><?xml version="1.0" encoding="utf-8"?>
<Properties xmlns="http://schemas.openxmlformats.org/officeDocument/2006/custom-properties" xmlns:vt="http://schemas.openxmlformats.org/officeDocument/2006/docPropsVTypes"/>
</file>