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4E79"/>
          <w:sz w:val="56"/>
          <w:szCs w:val="56"/>
        </w:rPr>
        <w:t xml:space="preserve">HEADROOM</w:t>
      </w:r>
    </w:p>
    <w:p>
      <w:pPr>
        <w:spacing w:after="40" w:before="0"/>
      </w:pPr>
      <w:r>
        <w:rPr>
          <w:rFonts w:ascii="Arial" w:cs="Arial" w:eastAsia="Arial" w:hAnsi="Arial"/>
          <w:color w:val="2E75B6"/>
          <w:sz w:val="28"/>
          <w:szCs w:val="28"/>
        </w:rPr>
        <w:t xml:space="preserve">Project Handover &amp; Build Document</w:t>
      </w:r>
    </w:p>
    <w:p>
      <w:pPr>
        <w:pBdr>
          <w:bottom w:val="single" w:color="2E75B6" w:sz="4" w:space="1"/>
        </w:pBdr>
        <w:spacing w:after="0" w:before="0"/>
      </w:pPr>
    </w:p>
    <w:p>
      <w:pPr>
        <w:spacing w:after="120" w:before="60"/>
        <w:jc w:val="left"/>
      </w:pPr>
      <w:r>
        <w:rPr>
          <w:rFonts w:ascii="Arial" w:cs="Arial" w:eastAsia="Arial" w:hAnsi="Arial"/>
          <w:b w:val="false"/>
          <w:bCs w:val="false"/>
          <w:i w:val="false"/>
          <w:iCs w:val="false"/>
          <w:color w:val="1a1a1a"/>
          <w:sz w:val="22"/>
          <w:szCs w:val="22"/>
        </w:rPr>
        <w:t xml:space="preserve"/>
      </w:r>
    </w:p>
    <w:p>
      <w:pPr>
        <w:spacing w:after="120" w:before="0"/>
        <w:jc w:val="left"/>
      </w:pPr>
      <w:r>
        <w:rPr>
          <w:rFonts w:ascii="Arial" w:cs="Arial" w:eastAsia="Arial" w:hAnsi="Arial"/>
          <w:b w:val="false"/>
          <w:bCs w:val="false"/>
          <w:i/>
          <w:iCs/>
          <w:color w:val="404040"/>
          <w:sz w:val="22"/>
          <w:szCs w:val="22"/>
        </w:rPr>
        <w:t xml:space="preserve">This document provides complete context for continuing development of the Headroom application in a new conversation. It covers the product concept, existing codebase, infrastructure, completed work, and the full build plan for the next phase — the public-facing website and PWA prototype.</w:t>
      </w:r>
    </w:p>
    <w:p>
      <w:pPr>
        <w:spacing w:after="120" w:before="40"/>
        <w:jc w:val="left"/>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Product name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Headroom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Strapline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 your headroom</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Domain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headroom.me.uk (registered on Cloudflare)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Existing app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https://trigger-level.onrender.com (private, password protected)</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GitHub repo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github.com/dbrand-dataops/trigger-level (private)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Developer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David Brand — 9rogr4mm3r@gmail.com</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April 2026</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1. Product Concept</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spacing w:after="140" w:before="0"/>
        <w:jc w:val="left"/>
      </w:pPr>
      <w:r>
        <w:rPr>
          <w:rFonts w:ascii="Arial" w:cs="Arial" w:eastAsia="Arial" w:hAnsi="Arial"/>
          <w:b w:val="false"/>
          <w:bCs w:val="false"/>
          <w:i w:val="false"/>
          <w:iCs w:val="false"/>
          <w:color w:val="1a1a1a"/>
          <w:sz w:val="22"/>
          <w:szCs w:val="22"/>
        </w:rPr>
        <w:t xml:space="preserve">Headroom is a personal psychological load management tool built on the stress-bucket model used in CBT and addiction recovery. It gives users a real-time visual representation of their current load relative to their capacity — their headroom — and provides a structured daily practice for maintaining awareness of that state.</w:t>
      </w:r>
    </w:p>
    <w:p>
      <w:pPr>
        <w:spacing w:after="140" w:before="0"/>
        <w:jc w:val="left"/>
      </w:pPr>
      <w:r>
        <w:rPr>
          <w:rFonts w:ascii="Arial" w:cs="Arial" w:eastAsia="Arial" w:hAnsi="Arial"/>
          <w:b w:val="false"/>
          <w:bCs w:val="false"/>
          <w:i w:val="false"/>
          <w:iCs w:val="false"/>
          <w:color w:val="1a1a1a"/>
          <w:sz w:val="22"/>
          <w:szCs w:val="22"/>
        </w:rPr>
        <w:t xml:space="preserve">The product originated from a suggestion made by a keyworker at Change Grow Live (CGL) Nottingham to the developer, who is a CGL service user in recovery from alcohol use disorder. The developer built a working application from the model and has been using it daily as a recovery support tool since early 2026.</w:t>
      </w:r>
    </w:p>
    <w:p>
      <w:pPr>
        <w:pStyle w:val="Heading2"/>
        <w:spacing w:after="80" w:before="240"/>
      </w:pPr>
      <w:r>
        <w:rPr>
          <w:rFonts w:ascii="Arial" w:cs="Arial" w:eastAsia="Arial" w:hAnsi="Arial"/>
          <w:b/>
          <w:bCs/>
          <w:color w:val="2E75B6"/>
          <w:sz w:val="24"/>
          <w:szCs w:val="24"/>
        </w:rPr>
        <w:t xml:space="preserve">The daily practice</w:t>
      </w:r>
    </w:p>
    <w:p>
      <w:pPr>
        <w:spacing w:after="140" w:before="0"/>
        <w:jc w:val="left"/>
      </w:pPr>
      <w:r>
        <w:rPr>
          <w:rFonts w:ascii="Arial" w:cs="Arial" w:eastAsia="Arial" w:hAnsi="Arial"/>
          <w:b w:val="false"/>
          <w:bCs w:val="false"/>
          <w:i w:val="false"/>
          <w:iCs w:val="false"/>
          <w:color w:val="1a1a1a"/>
          <w:sz w:val="22"/>
          <w:szCs w:val="22"/>
        </w:rPr>
        <w:t xml:space="preserve">The user begins each morning by deliberately loading the application with all current persistent stressors — legal proceedings, financial anxiety, relationship stress, unresolved conflict. These do not disappear overnight. The load indicator goes into the red. That is honesty, not failure. Through the day, relief actions are logged to work the level back down. The goal is a low level by evening — the highest-risk period for the developer personally. The continuous history record makes gradual buildups visible over days or weeks, which is clinically significant for addiction recovery.</w:t>
      </w:r>
    </w:p>
    <w:p>
      <w:pPr>
        <w:pStyle w:val="Heading2"/>
        <w:spacing w:after="80" w:before="240"/>
      </w:pPr>
      <w:r>
        <w:rPr>
          <w:rFonts w:ascii="Arial" w:cs="Arial" w:eastAsia="Arial" w:hAnsi="Arial"/>
          <w:b/>
          <w:bCs/>
          <w:color w:val="2E75B6"/>
          <w:sz w:val="24"/>
          <w:szCs w:val="24"/>
        </w:rPr>
        <w:t xml:space="preserve">The core visual</w:t>
      </w:r>
    </w:p>
    <w:p>
      <w:pPr>
        <w:spacing w:after="140" w:before="0"/>
        <w:jc w:val="left"/>
      </w:pPr>
      <w:r>
        <w:rPr>
          <w:rFonts w:ascii="Arial" w:cs="Arial" w:eastAsia="Arial" w:hAnsi="Arial"/>
          <w:b w:val="false"/>
          <w:bCs w:val="false"/>
          <w:i w:val="false"/>
          <w:iCs w:val="false"/>
          <w:color w:val="1a1a1a"/>
          <w:sz w:val="22"/>
          <w:szCs w:val="22"/>
        </w:rPr>
        <w:t xml:space="preserve">The central graphic is an animated bucket. The bucket fills and empties as the user logs events. Colour transitions from teal (calm) through amber (building) to coral (critical). The fill level uses area-based calculation to account for the trapezoid shape so visual fill matches the percentage accurately.</w:t>
      </w:r>
    </w:p>
    <w:p>
      <w:pPr>
        <w:spacing w:after="140" w:before="0"/>
        <w:jc w:val="left"/>
      </w:pPr>
      <w:r>
        <w:rPr>
          <w:rFonts w:ascii="Arial" w:cs="Arial" w:eastAsia="Arial" w:hAnsi="Arial"/>
          <w:b w:val="false"/>
          <w:bCs w:val="false"/>
          <w:i w:val="false"/>
          <w:iCs w:val="false"/>
          <w:color w:val="1a1a1a"/>
          <w:sz w:val="22"/>
          <w:szCs w:val="22"/>
        </w:rPr>
        <w:t xml:space="preserve">A midline sagittal brain diagram was also developed (showing PFC dimming and deep structures illuminating as load rises, grounded in addiction neuroscience) but this has been reserved for documentation use only. The bucket is the primary consumer-facing visual — immediately understood without explanation.</w:t>
      </w:r>
    </w:p>
    <w:p>
      <w:pPr>
        <w:pStyle w:val="Heading2"/>
        <w:spacing w:after="80" w:before="240"/>
      </w:pPr>
      <w:r>
        <w:rPr>
          <w:rFonts w:ascii="Arial" w:cs="Arial" w:eastAsia="Arial" w:hAnsi="Arial"/>
          <w:b/>
          <w:bCs/>
          <w:color w:val="2E75B6"/>
          <w:sz w:val="24"/>
          <w:szCs w:val="24"/>
        </w:rPr>
        <w:t xml:space="preserve">Name and branding</w:t>
      </w:r>
    </w:p>
    <w:p>
      <w:pPr>
        <w:spacing w:after="140" w:before="0"/>
        <w:jc w:val="left"/>
      </w:pPr>
      <w:r>
        <w:rPr>
          <w:rFonts w:ascii="Arial" w:cs="Arial" w:eastAsia="Arial" w:hAnsi="Arial"/>
          <w:b w:val="false"/>
          <w:bCs w:val="false"/>
          <w:i w:val="false"/>
          <w:iCs w:val="false"/>
          <w:color w:val="1a1a1a"/>
          <w:sz w:val="22"/>
          <w:szCs w:val="22"/>
        </w:rPr>
        <w:t xml:space="preserve">"Headroom" was chosen over alternatives including "Swell", "Margin", and "Levelset". It directly expresses the concept (the space between current state and the threshold of automatic behaviour), is trade-markable in Class 44 health/wellness software, and has the secondary meaning of feeling good.</w:t>
      </w:r>
    </w:p>
    <w:p>
      <w:pPr>
        <w:spacing w:after="120" w:before="6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2. Existing Codebase</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spacing w:after="120" w:before="0"/>
        <w:jc w:val="left"/>
      </w:pPr>
      <w:r>
        <w:rPr>
          <w:rFonts w:ascii="Arial" w:cs="Arial" w:eastAsia="Arial" w:hAnsi="Arial"/>
          <w:b w:val="false"/>
          <w:bCs w:val="false"/>
          <w:i w:val="false"/>
          <w:iCs w:val="false"/>
          <w:color w:val="1a1a1a"/>
          <w:sz w:val="22"/>
          <w:szCs w:val="22"/>
        </w:rPr>
        <w:t xml:space="preserve">A fully working proof-of-concept is live and in daily personal use. The GitHub repo dbrand-dataops/trigger-level contains all source files.</w:t>
      </w:r>
    </w:p>
    <w:p>
      <w:pPr>
        <w:pStyle w:val="Heading2"/>
        <w:spacing w:after="80" w:before="240"/>
      </w:pPr>
      <w:r>
        <w:rPr>
          <w:rFonts w:ascii="Arial" w:cs="Arial" w:eastAsia="Arial" w:hAnsi="Arial"/>
          <w:b/>
          <w:bCs/>
          <w:color w:val="2E75B6"/>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Runtime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Node.js 20.x (pinned — required for better-sqlite3 native binaries)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Backend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Express.js — server.js</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Database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SQLite via better-sqlite3 — persisted to /data/bucket.db on Render disk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Frontend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 18 (CDN, no build step) — public/index.html (single file)</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Auth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Password via BUCKET_PASSWORD env var, session tokens, localStorage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Share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48-char random hex view token stored in DB kv table</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Hosting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Render.com — web service + 1GB persistent disk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Domain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headroom.me.uk on Cloudflare — DNS to be pointed at Render</w:t>
            </w:r>
          </w:p>
        </w:tc>
      </w:tr>
    </w:tbl>
    <w:p>
      <w:pPr>
        <w:spacing w:after="120" w:before="8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File structure</w:t>
      </w:r>
    </w:p>
    <w:p>
      <w:pPr>
        <w:shd w:fill="F0F0F0" w:val="clear"/>
        <w:spacing w:after="80" w:before="0"/>
      </w:pPr>
      <w:r>
        <w:rPr>
          <w:rFonts w:ascii="Courier New" w:cs="Courier New" w:eastAsia="Courier New" w:hAnsi="Courier New"/>
          <w:color w:val="1a1a1a"/>
          <w:sz w:val="18"/>
          <w:szCs w:val="18"/>
        </w:rPr>
        <w:t xml:space="preserve">trigger-level/</w:t>
      </w:r>
    </w:p>
    <w:p>
      <w:pPr>
        <w:shd w:fill="F0F0F0" w:val="clear"/>
        <w:spacing w:after="80" w:before="0"/>
      </w:pPr>
      <w:r>
        <w:rPr>
          <w:rFonts w:ascii="Courier New" w:cs="Courier New" w:eastAsia="Courier New" w:hAnsi="Courier New"/>
          <w:color w:val="1a1a1a"/>
          <w:sz w:val="18"/>
          <w:szCs w:val="18"/>
        </w:rPr>
        <w:t xml:space="preserve">  server.js          — Express app, all API routes, SQLite ops</w:t>
      </w:r>
    </w:p>
    <w:p>
      <w:pPr>
        <w:shd w:fill="F0F0F0" w:val="clear"/>
        <w:spacing w:after="80" w:before="0"/>
      </w:pPr>
      <w:r>
        <w:rPr>
          <w:rFonts w:ascii="Courier New" w:cs="Courier New" w:eastAsia="Courier New" w:hAnsi="Courier New"/>
          <w:color w:val="1a1a1a"/>
          <w:sz w:val="18"/>
          <w:szCs w:val="18"/>
        </w:rPr>
        <w:t xml:space="preserve">  package.json       — engines: node 20.x, deps: express + better-sqlite3</w:t>
      </w:r>
    </w:p>
    <w:p>
      <w:pPr>
        <w:shd w:fill="F0F0F0" w:val="clear"/>
        <w:spacing w:after="80" w:before="0"/>
      </w:pPr>
      <w:r>
        <w:rPr>
          <w:rFonts w:ascii="Courier New" w:cs="Courier New" w:eastAsia="Courier New" w:hAnsi="Courier New"/>
          <w:color w:val="1a1a1a"/>
          <w:sz w:val="18"/>
          <w:szCs w:val="18"/>
        </w:rPr>
        <w:t xml:space="preserve">  render.yaml        — Render deployment config</w:t>
      </w:r>
    </w:p>
    <w:p>
      <w:pPr>
        <w:shd w:fill="F0F0F0" w:val="clear"/>
        <w:spacing w:after="80" w:before="0"/>
      </w:pPr>
      <w:r>
        <w:rPr>
          <w:rFonts w:ascii="Courier New" w:cs="Courier New" w:eastAsia="Courier New" w:hAnsi="Courier New"/>
          <w:color w:val="1a1a1a"/>
          <w:sz w:val="18"/>
          <w:szCs w:val="18"/>
        </w:rPr>
        <w:t xml:space="preserve">  .gitignore         — excludes node_modules, *.db</w:t>
      </w:r>
    </w:p>
    <w:p>
      <w:pPr>
        <w:shd w:fill="F0F0F0" w:val="clear"/>
        <w:spacing w:after="80" w:before="0"/>
      </w:pPr>
      <w:r>
        <w:rPr>
          <w:rFonts w:ascii="Courier New" w:cs="Courier New" w:eastAsia="Courier New" w:hAnsi="Courier New"/>
          <w:color w:val="1a1a1a"/>
          <w:sz w:val="18"/>
          <w:szCs w:val="18"/>
        </w:rPr>
        <w:t xml:space="preserve">  public/</w:t>
      </w:r>
    </w:p>
    <w:p>
      <w:pPr>
        <w:shd w:fill="F0F0F0" w:val="clear"/>
        <w:spacing w:after="80" w:before="0"/>
      </w:pPr>
      <w:r>
        <w:rPr>
          <w:rFonts w:ascii="Courier New" w:cs="Courier New" w:eastAsia="Courier New" w:hAnsi="Courier New"/>
          <w:color w:val="1a1a1a"/>
          <w:sz w:val="18"/>
          <w:szCs w:val="18"/>
        </w:rPr>
        <w:t xml:space="preserve">    index.html       — entire React frontend (single file, ~850 lines)</w:t>
      </w:r>
    </w:p>
    <w:p>
      <w:pPr>
        <w:spacing w:after="120" w:before="8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entries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ts (ISO timestamp), label, delta (float), level (float 0-100), type (filler/emptier/reset)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items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label, value (int), type (filler/emptier), is_custom (0/1), is_hidden (0/1)</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kv</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key-value store — current level, view token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sessions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session tokens with created_at timestamp</w:t>
            </w:r>
          </w:p>
        </w:tc>
      </w:tr>
    </w:tbl>
    <w:p>
      <w:pPr>
        <w:spacing w:after="120" w:before="8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POST /api/login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Password auth — returns session token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POST /api/logout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Invalidate session</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GET /api/status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Level, items, hidden counts (session or view token)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GET /api/history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entries optionally filtered by ?days=N (session or view token)</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POST /api/adjust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 load/relief event — returns new level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POST /api/reset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Set level — logs reset entry</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GET /api/share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read-only view URL (session only)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POST /api/items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Create/update custom item</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PATCH /api/items/:id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Edit item label and/or value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DELETE /api/items/:id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Soft-delete item (is_hidden=1)</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POST /api/items/restore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Restore hidden items by type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DELETE /api/entries/:id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Delete log entry — recalculates level from last remaining entry</w:t>
            </w:r>
          </w:p>
        </w:tc>
      </w:tr>
    </w:tbl>
    <w:p>
      <w:pPr>
        <w:spacing w:after="120" w:before="8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Frontend structure (public/index.html)</w:t>
      </w:r>
    </w:p>
    <w:p>
      <w:pPr>
        <w:spacing w:after="80" w:before="0"/>
        <w:jc w:val="left"/>
      </w:pPr>
      <w:r>
        <w:rPr>
          <w:rFonts w:ascii="Arial" w:cs="Arial" w:eastAsia="Arial" w:hAnsi="Arial"/>
          <w:b w:val="false"/>
          <w:bCs w:val="false"/>
          <w:i w:val="false"/>
          <w:iCs w:val="false"/>
          <w:color w:val="1a1a1a"/>
          <w:sz w:val="22"/>
          <w:szCs w:val="22"/>
        </w:rPr>
        <w:t xml:space="preserve">The entire frontend is a single HTML file with inline React (no build step). Key components in order:</w:t>
      </w:r>
    </w:p>
    <w:p>
      <w:pPr>
        <w:pStyle w:val="ListParagraph"/>
        <w:numPr>
          <w:ilvl w:val="0"/>
          <w:numId w:val="2"/>
        </w:numPr>
        <w:spacing w:after="80" w:before="0"/>
      </w:pPr>
      <w:r>
        <w:rPr>
          <w:rFonts w:ascii="Arial" w:cs="Arial" w:eastAsia="Arial" w:hAnsi="Arial"/>
          <w:color w:val="1a1a1a"/>
          <w:sz w:val="22"/>
          <w:szCs w:val="22"/>
        </w:rPr>
        <w:t xml:space="preserve">BucketSVG — animated trapezoid bucket with area-correct fill calculation</w:t>
      </w:r>
    </w:p>
    <w:p>
      <w:pPr>
        <w:pStyle w:val="ListParagraph"/>
        <w:numPr>
          <w:ilvl w:val="0"/>
          <w:numId w:val="2"/>
        </w:numPr>
        <w:spacing w:after="80" w:before="0"/>
      </w:pPr>
      <w:r>
        <w:rPr>
          <w:rFonts w:ascii="Arial" w:cs="Arial" w:eastAsia="Arial" w:hAnsi="Arial"/>
          <w:color w:val="1a1a1a"/>
          <w:sz w:val="22"/>
          <w:szCs w:val="22"/>
        </w:rPr>
        <w:t xml:space="preserve">HeadSVG — midline sagittal brain diagram (used in logged-in view only)</w:t>
      </w:r>
    </w:p>
    <w:p>
      <w:pPr>
        <w:pStyle w:val="ListParagraph"/>
        <w:numPr>
          <w:ilvl w:val="0"/>
          <w:numId w:val="2"/>
        </w:numPr>
        <w:spacing w:after="80" w:before="0"/>
      </w:pPr>
      <w:r>
        <w:rPr>
          <w:rFonts w:ascii="Arial" w:cs="Arial" w:eastAsia="Arial" w:hAnsi="Arial"/>
          <w:color w:val="1a1a1a"/>
          <w:sz w:val="22"/>
          <w:szCs w:val="22"/>
        </w:rPr>
        <w:t xml:space="preserve">ItemBtn — load/relief item with inline edit (pencil) and hide (x) controls</w:t>
      </w:r>
    </w:p>
    <w:p>
      <w:pPr>
        <w:pStyle w:val="ListParagraph"/>
        <w:numPr>
          <w:ilvl w:val="0"/>
          <w:numId w:val="2"/>
        </w:numPr>
        <w:spacing w:after="80" w:before="0"/>
      </w:pPr>
      <w:r>
        <w:rPr>
          <w:rFonts w:ascii="Arial" w:cs="Arial" w:eastAsia="Arial" w:hAnsi="Arial"/>
          <w:color w:val="1a1a1a"/>
          <w:sz w:val="22"/>
          <w:szCs w:val="22"/>
        </w:rPr>
        <w:t xml:space="preserve">AddForm — add new custom item with label and impact slider</w:t>
      </w:r>
    </w:p>
    <w:p>
      <w:pPr>
        <w:pStyle w:val="ListParagraph"/>
        <w:numPr>
          <w:ilvl w:val="0"/>
          <w:numId w:val="2"/>
        </w:numPr>
        <w:spacing w:after="80" w:before="0"/>
      </w:pPr>
      <w:r>
        <w:rPr>
          <w:rFonts w:ascii="Arial" w:cs="Arial" w:eastAsia="Arial" w:hAnsi="Arial"/>
          <w:color w:val="1a1a1a"/>
          <w:sz w:val="22"/>
          <w:szCs w:val="22"/>
        </w:rPr>
        <w:t xml:space="preserve">LogRow — single history entry with optional delete button</w:t>
      </w:r>
    </w:p>
    <w:p>
      <w:pPr>
        <w:pStyle w:val="ListParagraph"/>
        <w:numPr>
          <w:ilvl w:val="0"/>
          <w:numId w:val="2"/>
        </w:numPr>
        <w:spacing w:after="80" w:before="0"/>
      </w:pPr>
      <w:r>
        <w:rPr>
          <w:rFonts w:ascii="Arial" w:cs="Arial" w:eastAsia="Arial" w:hAnsi="Arial"/>
          <w:color w:val="1a1a1a"/>
          <w:sz w:val="22"/>
          <w:szCs w:val="22"/>
        </w:rPr>
        <w:t xml:space="preserve">NowTab — main view: bucket+brain side by side (logged in) or large bucket only (view)</w:t>
      </w:r>
    </w:p>
    <w:p>
      <w:pPr>
        <w:pStyle w:val="ListParagraph"/>
        <w:numPr>
          <w:ilvl w:val="0"/>
          <w:numId w:val="2"/>
        </w:numPr>
        <w:spacing w:after="80" w:before="0"/>
      </w:pPr>
      <w:r>
        <w:rPr>
          <w:rFonts w:ascii="Arial" w:cs="Arial" w:eastAsia="Arial" w:hAnsi="Arial"/>
          <w:color w:val="1a1a1a"/>
          <w:sz w:val="22"/>
          <w:szCs w:val="22"/>
        </w:rPr>
        <w:t xml:space="preserve">HistoryTab — SVG line chart + entry list with delete, receives onLevelChange callback</w:t>
      </w:r>
    </w:p>
    <w:p>
      <w:pPr>
        <w:pStyle w:val="ListParagraph"/>
        <w:numPr>
          <w:ilvl w:val="0"/>
          <w:numId w:val="2"/>
        </w:numPr>
        <w:spacing w:after="80" w:before="0"/>
      </w:pPr>
      <w:r>
        <w:rPr>
          <w:rFonts w:ascii="Arial" w:cs="Arial" w:eastAsia="Arial" w:hAnsi="Arial"/>
          <w:color w:val="1a1a1a"/>
          <w:sz w:val="22"/>
          <w:szCs w:val="22"/>
        </w:rPr>
        <w:t xml:space="preserve">PatternsTab — aggregate stats, bar charts by trigger/day/hour</w:t>
      </w:r>
    </w:p>
    <w:p>
      <w:pPr>
        <w:pStyle w:val="ListParagraph"/>
        <w:numPr>
          <w:ilvl w:val="0"/>
          <w:numId w:val="2"/>
        </w:numPr>
        <w:spacing w:after="80" w:before="0"/>
      </w:pPr>
      <w:r>
        <w:rPr>
          <w:rFonts w:ascii="Arial" w:cs="Arial" w:eastAsia="Arial" w:hAnsi="Arial"/>
          <w:color w:val="1a1a1a"/>
          <w:sz w:val="22"/>
          <w:szCs w:val="22"/>
        </w:rPr>
        <w:t xml:space="preserve">LoginScreen — password form</w:t>
      </w:r>
    </w:p>
    <w:p>
      <w:pPr>
        <w:pStyle w:val="ListParagraph"/>
        <w:numPr>
          <w:ilvl w:val="0"/>
          <w:numId w:val="2"/>
        </w:numPr>
        <w:spacing w:after="80" w:before="0"/>
      </w:pPr>
      <w:r>
        <w:rPr>
          <w:rFonts w:ascii="Arial" w:cs="Arial" w:eastAsia="Arial" w:hAnsi="Arial"/>
          <w:color w:val="1a1a1a"/>
          <w:sz w:val="22"/>
          <w:szCs w:val="22"/>
        </w:rPr>
        <w:t xml:space="preserve">SharePanel — displays read-only view URL with copy button</w:t>
      </w:r>
    </w:p>
    <w:p>
      <w:pPr>
        <w:pStyle w:val="ListParagraph"/>
        <w:numPr>
          <w:ilvl w:val="0"/>
          <w:numId w:val="2"/>
        </w:numPr>
        <w:spacing w:after="80" w:before="0"/>
      </w:pPr>
      <w:r>
        <w:rPr>
          <w:rFonts w:ascii="Arial" w:cs="Arial" w:eastAsia="Arial" w:hAnsi="Arial"/>
          <w:color w:val="1a1a1a"/>
          <w:sz w:val="22"/>
          <w:szCs w:val="22"/>
        </w:rPr>
        <w:t xml:space="preserve">App — root component, handles auth state, tab routing, API calls</w:t>
      </w:r>
    </w:p>
    <w:p>
      <w:pPr>
        <w:spacing w:after="120" w:before="8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Render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BUCKET_PASSWORD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Login password (set in Render dashboard — never in repo)</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DB_PATH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/data/bucket.db (persistent disk mount path)</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PORT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Set automatically by Render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NODE_ENV</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production</w:t>
            </w:r>
          </w:p>
        </w:tc>
      </w:tr>
    </w:tbl>
    <w:p>
      <w:pPr>
        <w:spacing w:after="120" w:before="8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Known issues and notes</w:t>
      </w:r>
    </w:p>
    <w:p>
      <w:pPr>
        <w:pStyle w:val="ListParagraph"/>
        <w:numPr>
          <w:ilvl w:val="0"/>
          <w:numId w:val="2"/>
        </w:numPr>
        <w:spacing w:after="80" w:before="0"/>
      </w:pPr>
      <w:r>
        <w:rPr>
          <w:rFonts w:ascii="Arial" w:cs="Arial" w:eastAsia="Arial" w:hAnsi="Arial"/>
          <w:color w:val="1a1a1a"/>
          <w:sz w:val="22"/>
          <w:szCs w:val="22"/>
        </w:rPr>
        <w:t xml:space="preserve">The bucket fill uses an area-based quadratic formula to correct for trapezoid shape. Formula: fillH = (-98 + sqrt(9604 + 11712*L)) / 0.32 where L = level/100. wY = 188 - fillH.</w:t>
      </w:r>
    </w:p>
    <w:p>
      <w:pPr>
        <w:pStyle w:val="ListParagraph"/>
        <w:numPr>
          <w:ilvl w:val="0"/>
          <w:numId w:val="2"/>
        </w:numPr>
        <w:spacing w:after="80" w:before="0"/>
      </w:pPr>
      <w:r>
        <w:rPr>
          <w:rFonts w:ascii="Arial" w:cs="Arial" w:eastAsia="Arial" w:hAnsi="Arial"/>
          <w:color w:val="1a1a1a"/>
          <w:sz w:val="22"/>
          <w:szCs w:val="22"/>
        </w:rPr>
        <w:t xml:space="preserve">All items are soft-deleted only (is_hidden=1) — no item is ever permanently removed so historical data is always preserved.</w:t>
      </w:r>
    </w:p>
    <w:p>
      <w:pPr>
        <w:pStyle w:val="ListParagraph"/>
        <w:numPr>
          <w:ilvl w:val="0"/>
          <w:numId w:val="2"/>
        </w:numPr>
        <w:spacing w:after="80" w:before="0"/>
      </w:pPr>
      <w:r>
        <w:rPr>
          <w:rFonts w:ascii="Arial" w:cs="Arial" w:eastAsia="Arial" w:hAnsi="Arial"/>
          <w:color w:val="1a1a1a"/>
          <w:sz w:val="22"/>
          <w:szCs w:val="22"/>
        </w:rPr>
        <w:t xml:space="preserve">Deleting a history entry recalculates the current level from the last remaining entry in the database.</w:t>
      </w:r>
    </w:p>
    <w:p>
      <w:pPr>
        <w:pStyle w:val="ListParagraph"/>
        <w:numPr>
          <w:ilvl w:val="0"/>
          <w:numId w:val="2"/>
        </w:numPr>
        <w:spacing w:after="80" w:before="0"/>
      </w:pPr>
      <w:r>
        <w:rPr>
          <w:rFonts w:ascii="Arial" w:cs="Arial" w:eastAsia="Arial" w:hAnsi="Arial"/>
          <w:color w:val="1a1a1a"/>
          <w:sz w:val="22"/>
          <w:szCs w:val="22"/>
        </w:rPr>
        <w:t xml:space="preserve">The view token (?vt=...) gives read-only access to status and history. It is generated once on first run and stored in the kv table. Delete button is suppressed on view pages.</w:t>
      </w:r>
    </w:p>
    <w:p>
      <w:pPr>
        <w:pStyle w:val="ListParagraph"/>
        <w:numPr>
          <w:ilvl w:val="0"/>
          <w:numId w:val="2"/>
        </w:numPr>
        <w:spacing w:after="80" w:before="0"/>
      </w:pPr>
      <w:r>
        <w:rPr>
          <w:rFonts w:ascii="Arial" w:cs="Arial" w:eastAsia="Arial" w:hAnsi="Arial"/>
          <w:color w:val="1a1a1a"/>
          <w:sz w:val="22"/>
          <w:szCs w:val="22"/>
        </w:rPr>
        <w:t xml:space="preserve">NowTab view page shows large bucket only (size=1.4). Logged-in view shows bucket + brain side by side with flexWrap for mobile.</w:t>
      </w:r>
    </w:p>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3. Infrastructure</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Render</w:t>
      </w:r>
    </w:p>
    <w:p>
      <w:pPr>
        <w:spacing w:after="80" w:before="0"/>
        <w:jc w:val="left"/>
      </w:pPr>
      <w:r>
        <w:rPr>
          <w:rFonts w:ascii="Arial" w:cs="Arial" w:eastAsia="Arial" w:hAnsi="Arial"/>
          <w:b w:val="false"/>
          <w:bCs w:val="false"/>
          <w:i w:val="false"/>
          <w:iCs w:val="false"/>
          <w:color w:val="1a1a1a"/>
          <w:sz w:val="22"/>
          <w:szCs w:val="22"/>
        </w:rPr>
        <w:t xml:space="preserve">David has an existing paid Render account (the $7/month plan) with multiple services already running. The trigger-level service uses:</w:t>
      </w:r>
    </w:p>
    <w:p>
      <w:pPr>
        <w:pStyle w:val="ListParagraph"/>
        <w:numPr>
          <w:ilvl w:val="0"/>
          <w:numId w:val="2"/>
        </w:numPr>
        <w:spacing w:after="80" w:before="0"/>
      </w:pPr>
      <w:r>
        <w:rPr>
          <w:rFonts w:ascii="Arial" w:cs="Arial" w:eastAsia="Arial" w:hAnsi="Arial"/>
          <w:color w:val="1a1a1a"/>
          <w:sz w:val="22"/>
          <w:szCs w:val="22"/>
        </w:rPr>
        <w:t xml:space="preserve">Web service — Node, build: npm install, start: node server.js</w:t>
      </w:r>
    </w:p>
    <w:p>
      <w:pPr>
        <w:pStyle w:val="ListParagraph"/>
        <w:numPr>
          <w:ilvl w:val="0"/>
          <w:numId w:val="2"/>
        </w:numPr>
        <w:spacing w:after="80" w:before="0"/>
      </w:pPr>
      <w:r>
        <w:rPr>
          <w:rFonts w:ascii="Arial" w:cs="Arial" w:eastAsia="Arial" w:hAnsi="Arial"/>
          <w:color w:val="1a1a1a"/>
          <w:sz w:val="22"/>
          <w:szCs w:val="22"/>
        </w:rPr>
        <w:t xml:space="preserve">Persistent disk — 1GB, mounted at /data, ~$1/month additional</w:t>
      </w:r>
    </w:p>
    <w:p>
      <w:pPr>
        <w:pStyle w:val="ListParagraph"/>
        <w:numPr>
          <w:ilvl w:val="0"/>
          <w:numId w:val="2"/>
        </w:numPr>
        <w:spacing w:after="80" w:before="0"/>
      </w:pPr>
      <w:r>
        <w:rPr>
          <w:rFonts w:ascii="Arial" w:cs="Arial" w:eastAsia="Arial" w:hAnsi="Arial"/>
          <w:color w:val="1a1a1a"/>
          <w:sz w:val="22"/>
          <w:szCs w:val="22"/>
        </w:rPr>
        <w:t xml:space="preserve">Node version pinned to 20.x in package.json engines field (critical — better-sqlite3 has no binaries for Node 25)</w:t>
      </w:r>
    </w:p>
    <w:p>
      <w:pPr>
        <w:spacing w:after="120" w:before="8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Cloudflare</w:t>
      </w:r>
    </w:p>
    <w:p>
      <w:pPr>
        <w:spacing w:after="80" w:before="0"/>
        <w:jc w:val="left"/>
      </w:pPr>
      <w:r>
        <w:rPr>
          <w:rFonts w:ascii="Arial" w:cs="Arial" w:eastAsia="Arial" w:hAnsi="Arial"/>
          <w:b w:val="false"/>
          <w:bCs w:val="false"/>
          <w:i w:val="false"/>
          <w:iCs w:val="false"/>
          <w:color w:val="1a1a1a"/>
          <w:sz w:val="22"/>
          <w:szCs w:val="22"/>
        </w:rPr>
        <w:t xml:space="preserve">headroom.me.uk is registered on Cloudflare. DNS management is handled there. To point the domain at a Render service, add a CNAME record in Cloudflare DNS pointing headroom.me.uk to the Render service URL, then add the custom domain in the Render service settings. Cloudflare proxy (orange cloud) should be set to DNS only (grey cloud) for Render compatibility unless using Cloudflare tunnels.</w:t>
      </w:r>
    </w:p>
    <w:p>
      <w:pPr>
        <w:spacing w:after="120" w:before="0"/>
        <w:jc w:val="left"/>
      </w:pPr>
      <w:r>
        <w:rPr>
          <w:rFonts w:ascii="Arial" w:cs="Arial" w:eastAsia="Arial" w:hAnsi="Arial"/>
          <w:b w:val="false"/>
          <w:bCs w:val="false"/>
          <w:i w:val="false"/>
          <w:iCs w:val="false"/>
          <w:color w:val="1a1a1a"/>
          <w:sz w:val="22"/>
          <w:szCs w:val="22"/>
        </w:rPr>
        <w:t xml:space="preserve">WHOIS privacy is free by default on all .me.uk domains — no additional charge needed.</w:t>
      </w:r>
    </w:p>
    <w:p>
      <w:pPr>
        <w:pStyle w:val="Heading1"/>
        <w:spacing w:after="100" w:before="320"/>
      </w:pPr>
      <w:r>
        <w:rPr>
          <w:rFonts w:ascii="Arial" w:cs="Arial" w:eastAsia="Arial" w:hAnsi="Arial"/>
          <w:b/>
          <w:bCs/>
          <w:color w:val="1F4E79"/>
          <w:sz w:val="30"/>
          <w:szCs w:val="30"/>
        </w:rPr>
        <w:t xml:space="preserve">4. Completed Documentation</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spacing w:after="80" w:before="0"/>
        <w:jc w:val="left"/>
      </w:pPr>
      <w:r>
        <w:rPr>
          <w:rFonts w:ascii="Arial" w:cs="Arial" w:eastAsia="Arial" w:hAnsi="Arial"/>
          <w:b w:val="false"/>
          <w:bCs w:val="false"/>
          <w:i w:val="false"/>
          <w:iCs w:val="false"/>
          <w:color w:val="1a1a1a"/>
          <w:sz w:val="22"/>
          <w:szCs w:val="22"/>
        </w:rPr>
        <w:t xml:space="preserve">Three professional Word documents were produced in the previous conversation and downloaded by David:</w:t>
      </w:r>
    </w:p>
    <w:p>
      <w:pPr>
        <w:pStyle w:val="ListParagraph"/>
        <w:numPr>
          <w:ilvl w:val="0"/>
          <w:numId w:val="2"/>
        </w:numPr>
        <w:spacing w:after="80" w:before="0"/>
      </w:pPr>
      <w:r>
        <w:rPr>
          <w:rFonts w:ascii="Arial" w:cs="Arial" w:eastAsia="Arial" w:hAnsi="Arial"/>
          <w:color w:val="1a1a1a"/>
          <w:sz w:val="22"/>
          <w:szCs w:val="22"/>
        </w:rPr>
        <w:t xml:space="preserve">Headroom-Design-Document.docx — full technical product design document (10 sections: executive summary, concept, neuroscience, current product, data architecture, API, security, roadmap, competitive landscape, contact)</w:t>
      </w:r>
    </w:p>
    <w:p>
      <w:pPr>
        <w:pStyle w:val="ListParagraph"/>
        <w:numPr>
          <w:ilvl w:val="0"/>
          <w:numId w:val="2"/>
        </w:numPr>
        <w:spacing w:after="80" w:before="0"/>
      </w:pPr>
      <w:r>
        <w:rPr>
          <w:rFonts w:ascii="Arial" w:cs="Arial" w:eastAsia="Arial" w:hAnsi="Arial"/>
          <w:color w:val="1a1a1a"/>
          <w:sz w:val="22"/>
          <w:szCs w:val="22"/>
        </w:rPr>
        <w:t xml:space="preserve">Headroom-CGL-Proposal.docx — pitch document for Change Grow Live Nottingham (10 sections: origin story, therapeutic model, neuroscience, the application, lived experience as design, opportunity for CGL, proposal, safeguarding, next steps, about the author)</w:t>
      </w:r>
    </w:p>
    <w:p>
      <w:pPr>
        <w:pStyle w:val="ListParagraph"/>
        <w:numPr>
          <w:ilvl w:val="0"/>
          <w:numId w:val="2"/>
        </w:numPr>
        <w:spacing w:after="80" w:before="0"/>
      </w:pPr>
      <w:r>
        <w:rPr>
          <w:rFonts w:ascii="Arial" w:cs="Arial" w:eastAsia="Arial" w:hAnsi="Arial"/>
          <w:color w:val="1a1a1a"/>
          <w:sz w:val="22"/>
          <w:szCs w:val="22"/>
        </w:rPr>
        <w:t xml:space="preserve">Headroom-Clinical-References.docx — 17 peer-reviewed sources with verified URLs, supporting the neuroscientific model. Covers Koob &amp; Volkow neurocircuitry, SAMHSA Surgeon General report, Robinson &amp; Berridge incentive-sensitization theory, Arnsten PFC stress research, ACC dysregulation, amygdala/negative reinforcement, hippocampal cue memory, nucleus accumbens wanting, basal ganglia habits, memory reconsolidation, NHS alcohol withdrawal safety.</w:t>
      </w:r>
    </w:p>
    <w:p>
      <w:pPr>
        <w:spacing w:after="120" w:before="6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F4E79" w:sz="24"/>
              <w:bottom w:val="single" w:color="CCCCCC" w:sz="1"/>
              <w:right w:val="none" w:color="FFFFFF" w:sz="0"/>
            </w:tcBorders>
            <w:shd w:fill="D6E4F0" w:val="clear"/>
            <w:tcMar>
              <w:top w:type="dxa" w:w="120"/>
              <w:left w:type="dxa" w:w="200"/>
              <w:bottom w:type="dxa" w:w="120"/>
              <w:right w:type="dxa" w:w="200"/>
            </w:tcMar>
          </w:tcPr>
          <w:p>
            <w:pPr>
              <w:spacing w:after="0" w:before="0"/>
            </w:pPr>
            <w:r>
              <w:rPr>
                <w:rFonts w:ascii="Arial" w:cs="Arial" w:eastAsia="Arial" w:hAnsi="Arial"/>
                <w:i/>
                <w:iCs/>
                <w:color w:val="2a2a2a"/>
                <w:sz w:val="21"/>
                <w:szCs w:val="21"/>
              </w:rPr>
              <w:t xml:space="preserve">Key correction noted in clinical references: the neuroscientific model is a parallel network shift, not a linear 8-stage cascade. Under load, control shifts from reflective PFC-based systems toward cue-driven, stress-driven, and habit-driven systems operating in parallel. The ACC may show hyperactivation to drug cues (dysregulation), not simply suppression.</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5. Next Phase — Public Website and PWA Prototype</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spacing w:after="140" w:before="0"/>
        <w:jc w:val="left"/>
      </w:pPr>
      <w:r>
        <w:rPr>
          <w:rFonts w:ascii="Arial" w:cs="Arial" w:eastAsia="Arial" w:hAnsi="Arial"/>
          <w:b w:val="false"/>
          <w:bCs w:val="false"/>
          <w:i w:val="false"/>
          <w:iCs w:val="false"/>
          <w:color w:val="1a1a1a"/>
          <w:sz w:val="22"/>
          <w:szCs w:val="22"/>
        </w:rPr>
        <w:t xml:space="preserve">The next build phase is a separate project from the personal tool. It is a public-facing website at headroom.me.uk that serves as the commercial prototype and pitch vehicle. The personal tool at trigger-level.onrender.com remains completely untouched.</w:t>
      </w:r>
    </w:p>
    <w:p>
      <w:pPr>
        <w:pStyle w:val="Heading2"/>
        <w:spacing w:after="80" w:before="240"/>
      </w:pPr>
      <w:r>
        <w:rPr>
          <w:rFonts w:ascii="Arial" w:cs="Arial" w:eastAsia="Arial" w:hAnsi="Arial"/>
          <w:b/>
          <w:bCs/>
          <w:color w:val="2E75B6"/>
          <w:sz w:val="24"/>
          <w:szCs w:val="24"/>
        </w:rPr>
        <w:t xml:space="preserve">Purpose</w:t>
      </w:r>
    </w:p>
    <w:p>
      <w:pPr>
        <w:pStyle w:val="ListParagraph"/>
        <w:numPr>
          <w:ilvl w:val="0"/>
          <w:numId w:val="2"/>
        </w:numPr>
        <w:spacing w:after="80" w:before="0"/>
      </w:pPr>
      <w:r>
        <w:rPr>
          <w:rFonts w:ascii="Arial" w:cs="Arial" w:eastAsia="Arial" w:hAnsi="Arial"/>
          <w:color w:val="1a1a1a"/>
          <w:sz w:val="22"/>
          <w:szCs w:val="22"/>
        </w:rPr>
        <w:t xml:space="preserve">Public-facing website explaining the product concept, the science, and the origin story</w:t>
      </w:r>
    </w:p>
    <w:p>
      <w:pPr>
        <w:pStyle w:val="ListParagraph"/>
        <w:numPr>
          <w:ilvl w:val="0"/>
          <w:numId w:val="2"/>
        </w:numPr>
        <w:spacing w:after="80" w:before="0"/>
      </w:pPr>
      <w:r>
        <w:rPr>
          <w:rFonts w:ascii="Arial" w:cs="Arial" w:eastAsia="Arial" w:hAnsi="Arial"/>
          <w:color w:val="1a1a1a"/>
          <w:sz w:val="22"/>
          <w:szCs w:val="22"/>
        </w:rPr>
        <w:t xml:space="preserve">Embedded working demo — no login required, pre-seeded with data, shows the tool in action</w:t>
      </w:r>
    </w:p>
    <w:p>
      <w:pPr>
        <w:pStyle w:val="ListParagraph"/>
        <w:numPr>
          <w:ilvl w:val="0"/>
          <w:numId w:val="2"/>
        </w:numPr>
        <w:spacing w:after="80" w:before="0"/>
      </w:pPr>
      <w:r>
        <w:rPr>
          <w:rFonts w:ascii="Arial" w:cs="Arial" w:eastAsia="Arial" w:hAnsi="Arial"/>
          <w:color w:val="1a1a1a"/>
          <w:sz w:val="22"/>
          <w:szCs w:val="22"/>
        </w:rPr>
        <w:t xml:space="preserve">Documentation pages for CGL, funders, and potential users</w:t>
      </w:r>
    </w:p>
    <w:p>
      <w:pPr>
        <w:pStyle w:val="ListParagraph"/>
        <w:numPr>
          <w:ilvl w:val="0"/>
          <w:numId w:val="2"/>
        </w:numPr>
        <w:spacing w:after="80" w:before="0"/>
      </w:pPr>
      <w:r>
        <w:rPr>
          <w:rFonts w:ascii="Arial" w:cs="Arial" w:eastAsia="Arial" w:hAnsi="Arial"/>
          <w:color w:val="1a1a1a"/>
          <w:sz w:val="22"/>
          <w:szCs w:val="22"/>
        </w:rPr>
        <w:t xml:space="preserve">PWA manifest and service worker making it installable on Android home screen</w:t>
      </w:r>
    </w:p>
    <w:p>
      <w:pPr>
        <w:pStyle w:val="ListParagraph"/>
        <w:numPr>
          <w:ilvl w:val="0"/>
          <w:numId w:val="2"/>
        </w:numPr>
        <w:spacing w:after="80" w:before="0"/>
      </w:pPr>
      <w:r>
        <w:rPr>
          <w:rFonts w:ascii="Arial" w:cs="Arial" w:eastAsia="Arial" w:hAnsi="Arial"/>
          <w:color w:val="1a1a1a"/>
          <w:sz w:val="22"/>
          <w:szCs w:val="22"/>
        </w:rPr>
        <w:t xml:space="preserve">Professional presence for pitching CGL and any funding applications</w:t>
      </w:r>
    </w:p>
    <w:p>
      <w:pPr>
        <w:spacing w:after="120" w:before="8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New Render service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Separate from trigger-level — new repo, new deployment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Domain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headroom.me.uk — CNAME to new Render service</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Database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SQLite — demo data pre-seeded, no user accounts required for demo</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Auth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login for public demo. Admin route for managing content if needed.</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PWA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manifest.json + service worker added to enable Android home screen install</w:t>
            </w:r>
          </w:p>
        </w:tc>
      </w:tr>
    </w:tbl>
    <w:p>
      <w:pPr>
        <w:spacing w:after="120" w:before="8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headroom.me.uk /</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Landing page — hero, concept, call to action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headroom.me.uk /about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Origin story — the CGL connection, lived experience, David's background</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headroom.me.uk /science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neuroscience — bucket model, brain regions, clinical references summary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headroom.me.uk /demo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Working bucket demo — no login, pre-seeded, fully interactive</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headroom.me.uk /contact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Contact form or email link</w:t>
            </w:r>
          </w:p>
        </w:tc>
      </w:tr>
    </w:tbl>
    <w:p>
      <w:pPr>
        <w:spacing w:after="120" w:before="8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The demo page</w:t>
      </w:r>
    </w:p>
    <w:p>
      <w:pPr>
        <w:spacing w:after="80" w:before="0"/>
        <w:jc w:val="left"/>
      </w:pPr>
      <w:r>
        <w:rPr>
          <w:rFonts w:ascii="Arial" w:cs="Arial" w:eastAsia="Arial" w:hAnsi="Arial"/>
          <w:b w:val="false"/>
          <w:bCs w:val="false"/>
          <w:i w:val="false"/>
          <w:iCs w:val="false"/>
          <w:color w:val="1a1a1a"/>
          <w:sz w:val="22"/>
          <w:szCs w:val="22"/>
        </w:rPr>
        <w:t xml:space="preserve">The demo at /demo should be a self-contained version of the app with:</w:t>
      </w:r>
    </w:p>
    <w:p>
      <w:pPr>
        <w:pStyle w:val="ListParagraph"/>
        <w:numPr>
          <w:ilvl w:val="0"/>
          <w:numId w:val="2"/>
        </w:numPr>
        <w:spacing w:after="80" w:before="0"/>
      </w:pPr>
      <w:r>
        <w:rPr>
          <w:rFonts w:ascii="Arial" w:cs="Arial" w:eastAsia="Arial" w:hAnsi="Arial"/>
          <w:color w:val="1a1a1a"/>
          <w:sz w:val="22"/>
          <w:szCs w:val="22"/>
        </w:rPr>
        <w:t xml:space="preserve">No login required — open to any visitor</w:t>
      </w:r>
    </w:p>
    <w:p>
      <w:pPr>
        <w:pStyle w:val="ListParagraph"/>
        <w:numPr>
          <w:ilvl w:val="0"/>
          <w:numId w:val="2"/>
        </w:numPr>
        <w:spacing w:after="80" w:before="0"/>
      </w:pPr>
      <w:r>
        <w:rPr>
          <w:rFonts w:ascii="Arial" w:cs="Arial" w:eastAsia="Arial" w:hAnsi="Arial"/>
          <w:color w:val="1a1a1a"/>
          <w:sz w:val="22"/>
          <w:szCs w:val="22"/>
        </w:rPr>
        <w:t xml:space="preserve">Pre-seeded with a realistic set of load items and relief items</w:t>
      </w:r>
    </w:p>
    <w:p>
      <w:pPr>
        <w:pStyle w:val="ListParagraph"/>
        <w:numPr>
          <w:ilvl w:val="0"/>
          <w:numId w:val="2"/>
        </w:numPr>
        <w:spacing w:after="80" w:before="0"/>
      </w:pPr>
      <w:r>
        <w:rPr>
          <w:rFonts w:ascii="Arial" w:cs="Arial" w:eastAsia="Arial" w:hAnsi="Arial"/>
          <w:color w:val="1a1a1a"/>
          <w:sz w:val="22"/>
          <w:szCs w:val="22"/>
        </w:rPr>
        <w:t xml:space="preserve">A few pre-existing history entries so the chart shows something meaningful</w:t>
      </w:r>
    </w:p>
    <w:p>
      <w:pPr>
        <w:pStyle w:val="ListParagraph"/>
        <w:numPr>
          <w:ilvl w:val="0"/>
          <w:numId w:val="2"/>
        </w:numPr>
        <w:spacing w:after="80" w:before="0"/>
      </w:pPr>
      <w:r>
        <w:rPr>
          <w:rFonts w:ascii="Arial" w:cs="Arial" w:eastAsia="Arial" w:hAnsi="Arial"/>
          <w:color w:val="1a1a1a"/>
          <w:sz w:val="22"/>
          <w:szCs w:val="22"/>
        </w:rPr>
        <w:t xml:space="preserve">Fully interactive — visitor can tap items, watch the bucket fill and empty, see the level change</w:t>
      </w:r>
    </w:p>
    <w:p>
      <w:pPr>
        <w:pStyle w:val="ListParagraph"/>
        <w:numPr>
          <w:ilvl w:val="0"/>
          <w:numId w:val="2"/>
        </w:numPr>
        <w:spacing w:after="80" w:before="0"/>
      </w:pPr>
      <w:r>
        <w:rPr>
          <w:rFonts w:ascii="Arial" w:cs="Arial" w:eastAsia="Arial" w:hAnsi="Arial"/>
          <w:color w:val="1a1a1a"/>
          <w:sz w:val="22"/>
          <w:szCs w:val="22"/>
        </w:rPr>
        <w:t xml:space="preserve">A clear note that this is a demo and data resets periodically</w:t>
      </w:r>
    </w:p>
    <w:p>
      <w:pPr>
        <w:pStyle w:val="ListParagraph"/>
        <w:numPr>
          <w:ilvl w:val="0"/>
          <w:numId w:val="2"/>
        </w:numPr>
        <w:spacing w:after="80" w:before="0"/>
      </w:pPr>
      <w:r>
        <w:rPr>
          <w:rFonts w:ascii="Arial" w:cs="Arial" w:eastAsia="Arial" w:hAnsi="Arial"/>
          <w:color w:val="1a1a1a"/>
          <w:sz w:val="22"/>
          <w:szCs w:val="22"/>
        </w:rPr>
        <w:t xml:space="preserve">A prompt to install as a PWA (add to home screen) once they have tried it</w:t>
      </w:r>
    </w:p>
    <w:p>
      <w:pPr>
        <w:spacing w:after="120" w:before="8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PWA implementation</w:t>
      </w:r>
    </w:p>
    <w:p>
      <w:pPr>
        <w:spacing w:after="80" w:before="0"/>
        <w:jc w:val="left"/>
      </w:pPr>
      <w:r>
        <w:rPr>
          <w:rFonts w:ascii="Arial" w:cs="Arial" w:eastAsia="Arial" w:hAnsi="Arial"/>
          <w:b w:val="false"/>
          <w:bCs w:val="false"/>
          <w:i w:val="false"/>
          <w:iCs w:val="false"/>
          <w:color w:val="1a1a1a"/>
          <w:sz w:val="22"/>
          <w:szCs w:val="22"/>
        </w:rPr>
        <w:t xml:space="preserve">Three additions to make the site installable as a PWA:</w:t>
      </w:r>
    </w:p>
    <w:p>
      <w:pPr>
        <w:pStyle w:val="ListParagraph"/>
        <w:numPr>
          <w:ilvl w:val="0"/>
          <w:numId w:val="2"/>
        </w:numPr>
        <w:spacing w:after="80" w:before="0"/>
      </w:pPr>
      <w:r>
        <w:rPr>
          <w:rFonts w:ascii="Arial" w:cs="Arial" w:eastAsia="Arial" w:hAnsi="Arial"/>
          <w:color w:val="1a1a1a"/>
          <w:sz w:val="22"/>
          <w:szCs w:val="22"/>
        </w:rPr>
        <w:t xml:space="preserve">manifest.json — name, short_name, start_url (/demo), display (standalone), theme_color, background_color, icons (192x192 and 512x512 PNG)</w:t>
      </w:r>
    </w:p>
    <w:p>
      <w:pPr>
        <w:pStyle w:val="ListParagraph"/>
        <w:numPr>
          <w:ilvl w:val="0"/>
          <w:numId w:val="2"/>
        </w:numPr>
        <w:spacing w:after="80" w:before="0"/>
      </w:pPr>
      <w:r>
        <w:rPr>
          <w:rFonts w:ascii="Arial" w:cs="Arial" w:eastAsia="Arial" w:hAnsi="Arial"/>
          <w:color w:val="1a1a1a"/>
          <w:sz w:val="22"/>
          <w:szCs w:val="22"/>
        </w:rPr>
        <w:t xml:space="preserve">Service worker (sw.js) — caches /demo and its assets for offline use, registered from index.html</w:t>
      </w:r>
    </w:p>
    <w:p>
      <w:pPr>
        <w:pStyle w:val="ListParagraph"/>
        <w:numPr>
          <w:ilvl w:val="0"/>
          <w:numId w:val="2"/>
        </w:numPr>
        <w:spacing w:after="80" w:before="0"/>
      </w:pPr>
      <w:r>
        <w:rPr>
          <w:rFonts w:ascii="Arial" w:cs="Arial" w:eastAsia="Arial" w:hAnsi="Arial"/>
          <w:color w:val="1a1a1a"/>
          <w:sz w:val="22"/>
          <w:szCs w:val="22"/>
        </w:rPr>
        <w:t xml:space="preserve">Meta tag in HTML head — &lt;link rel="manifest" href="/manifest.json"&gt;</w:t>
      </w:r>
    </w:p>
    <w:p>
      <w:pPr>
        <w:spacing w:after="120" w:before="0"/>
        <w:jc w:val="left"/>
      </w:pPr>
      <w:r>
        <w:rPr>
          <w:rFonts w:ascii="Arial" w:cs="Arial" w:eastAsia="Arial" w:hAnsi="Arial"/>
          <w:b w:val="false"/>
          <w:bCs w:val="false"/>
          <w:i w:val="false"/>
          <w:iCs w:val="false"/>
          <w:color w:val="1a1a1a"/>
          <w:sz w:val="22"/>
          <w:szCs w:val="22"/>
        </w:rPr>
        <w:t xml:space="preserve">On Android, Chrome will show an "Add to Home Screen" banner after the user has interacted with the site. The installed PWA opens directly to /demo in full screen with no browser chrome.</w:t>
      </w:r>
    </w:p>
    <w:p>
      <w:pPr>
        <w:pStyle w:val="Heading2"/>
        <w:spacing w:after="80" w:before="240"/>
      </w:pPr>
      <w:r>
        <w:rPr>
          <w:rFonts w:ascii="Arial" w:cs="Arial" w:eastAsia="Arial" w:hAnsi="Arial"/>
          <w:b/>
          <w:bCs/>
          <w:color w:val="2E75B6"/>
          <w:sz w:val="24"/>
          <w:szCs w:val="24"/>
        </w:rPr>
        <w:t xml:space="preserve">Design direction</w:t>
      </w:r>
    </w:p>
    <w:p>
      <w:pPr>
        <w:spacing w:after="80" w:before="0"/>
        <w:jc w:val="left"/>
      </w:pPr>
      <w:r>
        <w:rPr>
          <w:rFonts w:ascii="Arial" w:cs="Arial" w:eastAsia="Arial" w:hAnsi="Arial"/>
          <w:b w:val="false"/>
          <w:bCs w:val="false"/>
          <w:i w:val="false"/>
          <w:iCs w:val="false"/>
          <w:color w:val="1a1a1a"/>
          <w:sz w:val="22"/>
          <w:szCs w:val="22"/>
        </w:rPr>
        <w:t xml:space="preserve">The website should feel clean, credible, and warm — not clinical. The colour palette from the app (teal/amber/coral for the bucket states) can carry through into the site design. Typography should be readable and professional. The landing page hero should show the bucket graphic prominently with a one-line explanation of what it does.</w:t>
      </w:r>
    </w:p>
    <w:p>
      <w:pPr>
        <w:spacing w:after="120" w:before="0"/>
        <w:jc w:val="left"/>
      </w:pPr>
      <w:r>
        <w:rPr>
          <w:rFonts w:ascii="Arial" w:cs="Arial" w:eastAsia="Arial" w:hAnsi="Arial"/>
          <w:b w:val="false"/>
          <w:bCs w:val="false"/>
          <w:i w:val="false"/>
          <w:iCs w:val="false"/>
          <w:color w:val="1a1a1a"/>
          <w:sz w:val="22"/>
          <w:szCs w:val="22"/>
        </w:rPr>
        <w:t xml:space="preserve">Lottie animations are under consideration for the bucket graphic — this would make the fill/empty animation smoother and more visually distinctive for the PWA. This is optional for the first version.</w:t>
      </w:r>
    </w:p>
    <w:p>
      <w:pPr>
        <w:pStyle w:val="Heading1"/>
        <w:spacing w:after="100" w:before="320"/>
      </w:pPr>
      <w:r>
        <w:rPr>
          <w:rFonts w:ascii="Arial" w:cs="Arial" w:eastAsia="Arial" w:hAnsi="Arial"/>
          <w:b/>
          <w:bCs/>
          <w:color w:val="1F4E79"/>
          <w:sz w:val="30"/>
          <w:szCs w:val="30"/>
        </w:rPr>
        <w:t xml:space="preserve">6. Future Roadmap (Beyond the Website)</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CGL pilot</w:t>
      </w:r>
    </w:p>
    <w:p>
      <w:pPr>
        <w:spacing w:after="120" w:before="0"/>
        <w:jc w:val="left"/>
      </w:pPr>
      <w:r>
        <w:rPr>
          <w:rFonts w:ascii="Arial" w:cs="Arial" w:eastAsia="Arial" w:hAnsi="Arial"/>
          <w:b w:val="false"/>
          <w:bCs w:val="false"/>
          <w:i w:val="false"/>
          <w:iCs w:val="false"/>
          <w:color w:val="1a1a1a"/>
          <w:sz w:val="22"/>
          <w:szCs w:val="22"/>
        </w:rPr>
        <w:t xml:space="preserve">The CGL Nottingham proposal is prepared. The next step is approaching the keyworker who originally suggested the stress-bucket model. The ask is informal clinical input initially, potentially leading to a small service user pilot (5-10 people, 8-12 weeks). A letter of support from CGL would strengthen funding applications significantly.</w:t>
      </w:r>
    </w:p>
    <w:p>
      <w:pPr>
        <w:pStyle w:val="Heading2"/>
        <w:spacing w:after="80" w:before="240"/>
      </w:pPr>
      <w:r>
        <w:rPr>
          <w:rFonts w:ascii="Arial" w:cs="Arial" w:eastAsia="Arial" w:hAnsi="Arial"/>
          <w:b/>
          <w:bCs/>
          <w:color w:val="2E75B6"/>
          <w:sz w:val="24"/>
          <w:szCs w:val="24"/>
        </w:rPr>
        <w:t xml:space="preserve">Funding</w:t>
      </w:r>
    </w:p>
    <w:p>
      <w:pPr>
        <w:spacing w:after="120" w:before="0"/>
        <w:jc w:val="left"/>
      </w:pPr>
      <w:r>
        <w:rPr>
          <w:rFonts w:ascii="Arial" w:cs="Arial" w:eastAsia="Arial" w:hAnsi="Arial"/>
          <w:b w:val="false"/>
          <w:bCs w:val="false"/>
          <w:i w:val="false"/>
          <w:iCs w:val="false"/>
          <w:color w:val="1a1a1a"/>
          <w:sz w:val="22"/>
          <w:szCs w:val="22"/>
        </w:rPr>
        <w:t xml:space="preserve">Potential funding sources to research: Innovate UK health technology streams, the Health Foundation, NHS England digital health accelerators. The combination of lived experience, practitioner connection, and clinical evidence base makes this a fundable proposition.</w:t>
      </w:r>
    </w:p>
    <w:p>
      <w:pPr>
        <w:pStyle w:val="Heading2"/>
        <w:spacing w:after="80" w:before="240"/>
      </w:pPr>
      <w:r>
        <w:rPr>
          <w:rFonts w:ascii="Arial" w:cs="Arial" w:eastAsia="Arial" w:hAnsi="Arial"/>
          <w:b/>
          <w:bCs/>
          <w:color w:val="2E75B6"/>
          <w:sz w:val="24"/>
          <w:szCs w:val="24"/>
        </w:rPr>
        <w:t xml:space="preserve">Multi-user production app</w:t>
      </w:r>
    </w:p>
    <w:p>
      <w:pPr>
        <w:spacing w:after="120" w:before="0"/>
        <w:jc w:val="left"/>
      </w:pPr>
      <w:r>
        <w:rPr>
          <w:rFonts w:ascii="Arial" w:cs="Arial" w:eastAsia="Arial" w:hAnsi="Arial"/>
          <w:b w:val="false"/>
          <w:bCs w:val="false"/>
          <w:i w:val="false"/>
          <w:iCs w:val="false"/>
          <w:color w:val="1a1a1a"/>
          <w:sz w:val="22"/>
          <w:szCs w:val="22"/>
        </w:rPr>
        <w:t xml:space="preserve">When ready to move beyond single-user: new Render service with proper account system (email/password or phone), GDPR-compliant data handling (health data is special category under UK GDPR Article 9), privacy policy, right to erasure, Data Protection Impact Assessment.</w:t>
      </w:r>
    </w:p>
    <w:p>
      <w:pPr>
        <w:pStyle w:val="Heading2"/>
        <w:spacing w:after="80" w:before="240"/>
      </w:pPr>
      <w:r>
        <w:rPr>
          <w:rFonts w:ascii="Arial" w:cs="Arial" w:eastAsia="Arial" w:hAnsi="Arial"/>
          <w:b/>
          <w:bCs/>
          <w:color w:val="2E75B6"/>
          <w:sz w:val="24"/>
          <w:szCs w:val="24"/>
        </w:rPr>
        <w:t xml:space="preserve">Google Play / App Store</w:t>
      </w:r>
    </w:p>
    <w:p>
      <w:pPr>
        <w:spacing w:after="120" w:before="0"/>
        <w:jc w:val="left"/>
      </w:pPr>
      <w:r>
        <w:rPr>
          <w:rFonts w:ascii="Arial" w:cs="Arial" w:eastAsia="Arial" w:hAnsi="Arial"/>
          <w:b w:val="false"/>
          <w:bCs w:val="false"/>
          <w:i w:val="false"/>
          <w:iCs w:val="false"/>
          <w:color w:val="1a1a1a"/>
          <w:sz w:val="22"/>
          <w:szCs w:val="22"/>
        </w:rPr>
        <w:t xml:space="preserve">Two routes: (1) TWA (Trusted Web Activity) — a thin Android wrapper around the PWA, submitted to Google Play. Requires the PWA to meet quality criteria. One-time $25 Play Store registration fee. (2) React Native — native app for both Android and iOS from one codebase, required if native features (push notifications, biometric auth, offline sync, home screen widget) become important. React Native is the right choice if funding is secured for proper development.</w:t>
      </w:r>
    </w:p>
    <w:p>
      <w:pPr>
        <w:pStyle w:val="Heading1"/>
        <w:spacing w:after="100" w:before="320"/>
      </w:pPr>
      <w:r>
        <w:rPr>
          <w:rFonts w:ascii="Arial" w:cs="Arial" w:eastAsia="Arial" w:hAnsi="Arial"/>
          <w:b/>
          <w:bCs/>
          <w:color w:val="1F4E79"/>
          <w:sz w:val="30"/>
          <w:szCs w:val="30"/>
        </w:rPr>
        <w:t xml:space="preserve">7. Conversation Context and Decisions Made</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spacing w:after="80" w:before="0"/>
        <w:jc w:val="left"/>
      </w:pPr>
      <w:r>
        <w:rPr>
          <w:rFonts w:ascii="Arial" w:cs="Arial" w:eastAsia="Arial" w:hAnsi="Arial"/>
          <w:b w:val="false"/>
          <w:bCs w:val="false"/>
          <w:i w:val="false"/>
          <w:iCs w:val="false"/>
          <w:color w:val="1a1a1a"/>
          <w:sz w:val="22"/>
          <w:szCs w:val="22"/>
        </w:rPr>
        <w:t xml:space="preserve">The following decisions were made during the previous conversation and should be carried forward:</w:t>
      </w:r>
    </w:p>
    <w:p>
      <w:pPr>
        <w:pStyle w:val="ListParagraph"/>
        <w:numPr>
          <w:ilvl w:val="0"/>
          <w:numId w:val="2"/>
        </w:numPr>
        <w:spacing w:after="80" w:before="0"/>
      </w:pPr>
      <w:r>
        <w:rPr>
          <w:rFonts w:ascii="Arial" w:cs="Arial" w:eastAsia="Arial" w:hAnsi="Arial"/>
          <w:color w:val="1a1a1a"/>
          <w:sz w:val="22"/>
          <w:szCs w:val="22"/>
        </w:rPr>
        <w:t xml:space="preserve">Bucket is the primary visual for consumer-facing product. Brain diagram is for documentation/science pages only.</w:t>
      </w:r>
    </w:p>
    <w:p>
      <w:pPr>
        <w:pStyle w:val="ListParagraph"/>
        <w:numPr>
          <w:ilvl w:val="0"/>
          <w:numId w:val="2"/>
        </w:numPr>
        <w:spacing w:after="80" w:before="0"/>
      </w:pPr>
      <w:r>
        <w:rPr>
          <w:rFonts w:ascii="Arial" w:cs="Arial" w:eastAsia="Arial" w:hAnsi="Arial"/>
          <w:color w:val="1a1a1a"/>
          <w:sz w:val="22"/>
          <w:szCs w:val="22"/>
        </w:rPr>
        <w:t xml:space="preserve">Name is Headroom throughout — not Swell, Margin, or Trigger Level.</w:t>
      </w:r>
    </w:p>
    <w:p>
      <w:pPr>
        <w:pStyle w:val="ListParagraph"/>
        <w:numPr>
          <w:ilvl w:val="0"/>
          <w:numId w:val="2"/>
        </w:numPr>
        <w:spacing w:after="80" w:before="0"/>
      </w:pPr>
      <w:r>
        <w:rPr>
          <w:rFonts w:ascii="Arial" w:cs="Arial" w:eastAsia="Arial" w:hAnsi="Arial"/>
          <w:color w:val="1a1a1a"/>
          <w:sz w:val="22"/>
          <w:szCs w:val="22"/>
        </w:rPr>
        <w:t xml:space="preserve">Personal tool stays at trigger-level.onrender.com untouched. New project for public website.</w:t>
      </w:r>
    </w:p>
    <w:p>
      <w:pPr>
        <w:pStyle w:val="ListParagraph"/>
        <w:numPr>
          <w:ilvl w:val="0"/>
          <w:numId w:val="2"/>
        </w:numPr>
        <w:spacing w:after="80" w:before="0"/>
      </w:pPr>
      <w:r>
        <w:rPr>
          <w:rFonts w:ascii="Arial" w:cs="Arial" w:eastAsia="Arial" w:hAnsi="Arial"/>
          <w:color w:val="1a1a1a"/>
          <w:sz w:val="22"/>
          <w:szCs w:val="22"/>
        </w:rPr>
        <w:t xml:space="preserve">headroom.me.uk is registered on Cloudflare. DNS will be pointed at new Render service.</w:t>
      </w:r>
    </w:p>
    <w:p>
      <w:pPr>
        <w:pStyle w:val="ListParagraph"/>
        <w:numPr>
          <w:ilvl w:val="0"/>
          <w:numId w:val="2"/>
        </w:numPr>
        <w:spacing w:after="80" w:before="0"/>
      </w:pPr>
      <w:r>
        <w:rPr>
          <w:rFonts w:ascii="Arial" w:cs="Arial" w:eastAsia="Arial" w:hAnsi="Arial"/>
          <w:color w:val="1a1a1a"/>
          <w:sz w:val="22"/>
          <w:szCs w:val="22"/>
        </w:rPr>
        <w:t xml:space="preserve">PWA approach preferred over native app for first commercial release — lower investment, faster to market.</w:t>
      </w:r>
    </w:p>
    <w:p>
      <w:pPr>
        <w:pStyle w:val="ListParagraph"/>
        <w:numPr>
          <w:ilvl w:val="0"/>
          <w:numId w:val="2"/>
        </w:numPr>
        <w:spacing w:after="80" w:before="0"/>
      </w:pPr>
      <w:r>
        <w:rPr>
          <w:rFonts w:ascii="Arial" w:cs="Arial" w:eastAsia="Arial" w:hAnsi="Arial"/>
          <w:color w:val="1a1a1a"/>
          <w:sz w:val="22"/>
          <w:szCs w:val="22"/>
        </w:rPr>
        <w:t xml:space="preserve">TWA for Play Store listing once PWA is validated — not React Native at this stage.</w:t>
      </w:r>
    </w:p>
    <w:p>
      <w:pPr>
        <w:pStyle w:val="ListParagraph"/>
        <w:numPr>
          <w:ilvl w:val="0"/>
          <w:numId w:val="2"/>
        </w:numPr>
        <w:spacing w:after="80" w:before="0"/>
      </w:pPr>
      <w:r>
        <w:rPr>
          <w:rFonts w:ascii="Arial" w:cs="Arial" w:eastAsia="Arial" w:hAnsi="Arial"/>
          <w:color w:val="1a1a1a"/>
          <w:sz w:val="22"/>
          <w:szCs w:val="22"/>
        </w:rPr>
        <w:t xml:space="preserve">No auth on the demo page — open access for any visitor to try it.</w:t>
      </w:r>
    </w:p>
    <w:p>
      <w:pPr>
        <w:pStyle w:val="ListParagraph"/>
        <w:numPr>
          <w:ilvl w:val="0"/>
          <w:numId w:val="2"/>
        </w:numPr>
        <w:spacing w:after="80" w:before="0"/>
      </w:pPr>
      <w:r>
        <w:rPr>
          <w:rFonts w:ascii="Arial" w:cs="Arial" w:eastAsia="Arial" w:hAnsi="Arial"/>
          <w:color w:val="1a1a1a"/>
          <w:sz w:val="22"/>
          <w:szCs w:val="22"/>
        </w:rPr>
        <w:t xml:space="preserve">The bucket fill calculation uses area-based quadratic formula, not simple height percentage, to look visually correct given the trapezoid shape.</w:t>
      </w:r>
    </w:p>
    <w:p>
      <w:pPr>
        <w:pStyle w:val="ListParagraph"/>
        <w:numPr>
          <w:ilvl w:val="0"/>
          <w:numId w:val="2"/>
        </w:numPr>
        <w:spacing w:after="80" w:before="0"/>
      </w:pPr>
      <w:r>
        <w:rPr>
          <w:rFonts w:ascii="Arial" w:cs="Arial" w:eastAsia="Arial" w:hAnsi="Arial"/>
          <w:color w:val="1a1a1a"/>
          <w:sz w:val="22"/>
          <w:szCs w:val="22"/>
        </w:rPr>
        <w:t xml:space="preserve">All item deletions are soft (is_hidden) not hard — historical data always preserved.</w:t>
      </w:r>
    </w:p>
    <w:p>
      <w:pPr>
        <w:pStyle w:val="ListParagraph"/>
        <w:numPr>
          <w:ilvl w:val="0"/>
          <w:numId w:val="2"/>
        </w:numPr>
        <w:spacing w:after="80" w:before="0"/>
      </w:pPr>
      <w:r>
        <w:rPr>
          <w:rFonts w:ascii="Arial" w:cs="Arial" w:eastAsia="Arial" w:hAnsi="Arial"/>
          <w:color w:val="1a1a1a"/>
          <w:sz w:val="22"/>
          <w:szCs w:val="22"/>
        </w:rPr>
        <w:t xml:space="preserve">The supporter/view link suppresses all edit and delete controls — read only enforced both client and server side.</w:t>
      </w:r>
    </w:p>
    <w:p>
      <w:pPr>
        <w:spacing w:after="120" w:before="80"/>
        <w:jc w:val="left"/>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color w:val="2E75B6"/>
          <w:sz w:val="24"/>
          <w:szCs w:val="24"/>
        </w:rPr>
        <w:t xml:space="preserve">Things left to do on the personal tool</w:t>
      </w:r>
    </w:p>
    <w:p>
      <w:pPr>
        <w:pStyle w:val="ListParagraph"/>
        <w:numPr>
          <w:ilvl w:val="0"/>
          <w:numId w:val="2"/>
        </w:numPr>
        <w:spacing w:after="80" w:before="0"/>
      </w:pPr>
      <w:r>
        <w:rPr>
          <w:rFonts w:ascii="Arial" w:cs="Arial" w:eastAsia="Arial" w:hAnsi="Arial"/>
          <w:color w:val="1a1a1a"/>
          <w:sz w:val="22"/>
          <w:szCs w:val="22"/>
        </w:rPr>
        <w:t xml:space="preserve">Domain pointing — CNAME headroom.me.uk to trigger-level.onrender.com (or to new website service once built, with app on subdomain)</w:t>
      </w:r>
    </w:p>
    <w:p>
      <w:pPr>
        <w:pStyle w:val="ListParagraph"/>
        <w:numPr>
          <w:ilvl w:val="0"/>
          <w:numId w:val="2"/>
        </w:numPr>
        <w:spacing w:after="80" w:before="0"/>
      </w:pPr>
      <w:r>
        <w:rPr>
          <w:rFonts w:ascii="Arial" w:cs="Arial" w:eastAsia="Arial" w:hAnsi="Arial"/>
          <w:color w:val="1a1a1a"/>
          <w:sz w:val="22"/>
          <w:szCs w:val="22"/>
        </w:rPr>
        <w:t xml:space="preserve">Bucket fill visual fix — area-based calculation was implemented but not confirmed working in production. Worth verifying.</w:t>
      </w:r>
    </w:p>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8. How to Start the Next Conversation</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F4E79" w:sz="24"/>
              <w:bottom w:val="single" w:color="CCCCCC" w:sz="1"/>
              <w:right w:val="none" w:color="FFFFFF" w:sz="0"/>
            </w:tcBorders>
            <w:shd w:fill="D6E4F0" w:val="clear"/>
            <w:tcMar>
              <w:top w:type="dxa" w:w="120"/>
              <w:left w:type="dxa" w:w="200"/>
              <w:bottom w:type="dxa" w:w="120"/>
              <w:right w:type="dxa" w:w="200"/>
            </w:tcMar>
          </w:tcPr>
          <w:p>
            <w:pPr>
              <w:spacing w:after="0" w:before="0"/>
            </w:pPr>
            <w:r>
              <w:rPr>
                <w:rFonts w:ascii="Arial" w:cs="Arial" w:eastAsia="Arial" w:hAnsi="Arial"/>
                <w:i/>
                <w:iCs/>
                <w:color w:val="2a2a2a"/>
                <w:sz w:val="21"/>
                <w:szCs w:val="21"/>
              </w:rPr>
              <w:t xml:space="preserve">Paste this document into a new Claude chat and say: "I want to build the public website and PWA prototype for Headroom. This document contains all the context. The domain is headroom.me.uk on Cloudflare. Infrastructure will be a new Render service separate from my personal tool. Please read the document and confirm you understand the project before we start."</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spacing w:after="80" w:before="0"/>
        <w:jc w:val="left"/>
      </w:pPr>
      <w:r>
        <w:rPr>
          <w:rFonts w:ascii="Arial" w:cs="Arial" w:eastAsia="Arial" w:hAnsi="Arial"/>
          <w:b w:val="false"/>
          <w:bCs w:val="false"/>
          <w:i/>
          <w:iCs/>
          <w:color w:val="505050"/>
          <w:sz w:val="22"/>
          <w:szCs w:val="22"/>
        </w:rPr>
        <w:t xml:space="preserve">The new conversation will have full context to pick up without repeating the history of how the project developed. The GitHub repo (dbrand-dataops/trigger-level) contains the working codebase which can be used as the foundation or reference for the new project.</w:t>
      </w:r>
    </w:p>
    <w:p>
      <w:pPr>
        <w:spacing w:after="120" w:before="160"/>
        <w:jc w:val="left"/>
      </w:pPr>
      <w:r>
        <w:rPr>
          <w:rFonts w:ascii="Arial" w:cs="Arial" w:eastAsia="Arial" w:hAnsi="Arial"/>
          <w:b w:val="false"/>
          <w:bCs w:val="false"/>
          <w:i w:val="false"/>
          <w:iCs w:val="false"/>
          <w:color w:val="1a1a1a"/>
          <w:sz w:val="22"/>
          <w:szCs w:val="22"/>
        </w:rPr>
        <w:t xml:space="preserve"/>
      </w:r>
    </w:p>
    <w:p>
      <w:pPr>
        <w:pBdr>
          <w:bottom w:val="single" w:color="CCCCCC" w:sz="4" w:space="1"/>
        </w:pBdr>
        <w:spacing w:after="0" w:before="0"/>
      </w:pPr>
    </w:p>
    <w:p>
      <w:pPr>
        <w:spacing w:after="120" w:before="80"/>
        <w:jc w:val="left"/>
      </w:pPr>
      <w:r>
        <w:rPr>
          <w:rFonts w:ascii="Arial" w:cs="Arial" w:eastAsia="Arial" w:hAnsi="Arial"/>
          <w:b w:val="false"/>
          <w:bCs w:val="false"/>
          <w:i w:val="false"/>
          <w:iCs w:val="false"/>
          <w:color w:val="1a1a1a"/>
          <w:sz w:val="22"/>
          <w:szCs w:val="22"/>
        </w:rPr>
        <w:t xml:space="preserve"/>
      </w:r>
    </w:p>
    <w:p>
      <w:pPr>
        <w:spacing w:after="120" w:before="0"/>
        <w:jc w:val="left"/>
      </w:pPr>
      <w:r>
        <w:rPr>
          <w:rFonts w:ascii="Arial" w:cs="Arial" w:eastAsia="Arial" w:hAnsi="Arial"/>
          <w:b w:val="false"/>
          <w:bCs w:val="false"/>
          <w:i/>
          <w:iCs/>
          <w:color w:val="808080"/>
          <w:sz w:val="18"/>
          <w:szCs w:val="18"/>
        </w:rPr>
        <w:t xml:space="preserve">Headroom — Project Handover Document — April 2026 — David Brand</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0"/>
    </w:pPr>
    <w:r>
      <w:rPr>
        <w:rFonts w:ascii="Arial" w:cs="Arial" w:eastAsia="Arial" w:hAnsi="Arial"/>
        <w:color w:val="808080"/>
        <w:sz w:val="18"/>
        <w:szCs w:val="18"/>
      </w:rPr>
      <w:t xml:space="preserve">Headroom — Confidential</w:t>
    </w:r>
    <w:r>
      <w:rPr>
        <w:rFonts w:ascii="Arial" w:cs="Arial" w:eastAsia="Arial" w:hAnsi="Arial"/>
        <w:color w:val="808080"/>
        <w:sz w:val="18"/>
        <w:szCs w:val="18"/>
      </w:rPr>
      <w:t xml:space="preserve">	Page </w:t>
    </w:r>
    <w:r>
      <w:rPr>
        <w:rFonts w:ascii="Arial" w:cs="Arial" w:eastAsia="Arial" w:hAnsi="Arial"/>
        <w:color w:val="8080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before="0"/>
    </w:pPr>
    <w:r>
      <w:rPr>
        <w:rFonts w:ascii="Arial" w:cs="Arial" w:eastAsia="Arial" w:hAnsi="Arial"/>
        <w:color w:val="808080"/>
        <w:sz w:val="18"/>
        <w:szCs w:val="18"/>
      </w:rPr>
      <w:t xml:space="preserve">Headroom — Project Handover Document</w:t>
    </w:r>
    <w:r>
      <w:rPr>
        <w:rFonts w:ascii="Arial" w:cs="Arial" w:eastAsia="Arial" w:hAnsi="Arial"/>
        <w:color w:val="B0B0B0"/>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2026-04-27T14:59:34.356Z</dcterms:created>
  <dcterms:modified xsi:type="dcterms:W3CDTF">2026-04-27T14:59:34.357Z</dcterms:modified>
</cp:coreProperties>
</file>

<file path=docProps/custom.xml><?xml version="1.0" encoding="utf-8"?>
<Properties xmlns="http://schemas.openxmlformats.org/officeDocument/2006/custom-properties" xmlns:vt="http://schemas.openxmlformats.org/officeDocument/2006/docPropsVTypes"/>
</file>