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8F9FA"/>
  <w:body>
    <w:p w:rsidR="00000000" w:rsidDel="00000000" w:rsidP="00000000" w:rsidRDefault="00000000" w:rsidRPr="00000000" w14:paraId="00000001">
      <w:pPr>
        <w:spacing w:after="60" w:line="216" w:lineRule="auto"/>
        <w:ind w:left="504" w:firstLine="0"/>
        <w:rPr>
          <w:rFonts w:ascii="Open Sans ExtraBold" w:cs="Open Sans ExtraBold" w:eastAsia="Open Sans ExtraBold" w:hAnsi="Open Sans ExtraBold"/>
          <w:sz w:val="56"/>
          <w:szCs w:val="56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sz w:val="56"/>
          <w:szCs w:val="56"/>
          <w:rtl w:val="0"/>
        </w:rPr>
        <w:t xml:space="preserve">Dakota Bridges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180" w:lineRule="auto"/>
        <w:ind w:left="504" w:firstLine="0"/>
        <w:rPr>
          <w:rFonts w:ascii="Open Sans" w:cs="Open Sans" w:eastAsia="Open Sans" w:hAnsi="Open Sans"/>
          <w:color w:val="3697c9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color w:val="3697c9"/>
          <w:sz w:val="36"/>
          <w:szCs w:val="36"/>
          <w:rtl w:val="0"/>
        </w:rPr>
        <w:t xml:space="preserve">Salesforce Administrator </w:t>
      </w:r>
    </w:p>
    <w:p w:rsidR="00000000" w:rsidDel="00000000" w:rsidP="00000000" w:rsidRDefault="00000000" w:rsidRPr="00000000" w14:paraId="00000003">
      <w:pPr>
        <w:spacing w:line="180" w:lineRule="auto"/>
        <w:ind w:left="504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+(1) 318 393 9613 |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dbridges@ualr.edu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| Arkansas, United States</w:t>
      </w:r>
    </w:p>
    <w:p w:rsidR="00000000" w:rsidDel="00000000" w:rsidP="00000000" w:rsidRDefault="00000000" w:rsidRPr="00000000" w14:paraId="00000004">
      <w:pPr>
        <w:spacing w:line="180" w:lineRule="auto"/>
        <w:jc w:val="left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292608</wp:posOffset>
                </wp:positionH>
                <wp:positionV relativeFrom="paragraph">
                  <wp:posOffset>209950</wp:posOffset>
                </wp:positionV>
                <wp:extent cx="717804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287875" y="1426575"/>
                          <a:ext cx="94413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697C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292608</wp:posOffset>
                </wp:positionH>
                <wp:positionV relativeFrom="paragraph">
                  <wp:posOffset>209950</wp:posOffset>
                </wp:positionV>
                <wp:extent cx="717804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8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2225.0" w:type="dxa"/>
        <w:jc w:val="center"/>
        <w:tblLayout w:type="fixed"/>
        <w:tblLook w:val="0600"/>
      </w:tblPr>
      <w:tblGrid>
        <w:gridCol w:w="4605"/>
        <w:gridCol w:w="7620"/>
        <w:tblGridChange w:id="0">
          <w:tblGrid>
            <w:gridCol w:w="4605"/>
            <w:gridCol w:w="7620"/>
          </w:tblGrid>
        </w:tblGridChange>
      </w:tblGrid>
      <w:tr>
        <w:trPr>
          <w:cantSplit w:val="0"/>
          <w:trHeight w:val="82.890625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3697c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3697c9" w:space="0" w:sz="8" w:val="single"/>
            </w:tcBorders>
            <w:shd w:fill="auto" w:val="clear"/>
            <w:tcMar>
              <w:top w:w="504.0" w:type="dxa"/>
              <w:left w:w="504.0" w:type="dxa"/>
              <w:bottom w:w="504.0" w:type="dxa"/>
              <w:right w:w="50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697c9"/>
                <w:sz w:val="32"/>
                <w:szCs w:val="32"/>
                <w:rtl w:val="0"/>
              </w:rPr>
              <w:t xml:space="preserve">Technical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Systems: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Windows, Windows Server 2008-2022, Linux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Database: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MySQL, Oracle, SQL</w:t>
              <w:br w:type="textWrapping"/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Languages: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Java, JavaScript, Visual C#, HTML5, CSS, PHP, Botstrap, Laravel 5, Python 3, Node.js,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Concepts/Methodologies: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Software Development Life Cycle, GitHub Development, University Enterprise Systems, ITIL Best Practices, Change Management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Software/Tools: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ServiceNow, Microsoft Office Suite, Adobe Suite, Mitel, SnapLogic, Apsona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before="40" w:line="192.00000000000003" w:lineRule="auto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697c9"/>
                <w:sz w:val="32"/>
                <w:szCs w:val="3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697c9"/>
                <w:sz w:val="32"/>
                <w:szCs w:val="32"/>
                <w:rtl w:val="0"/>
              </w:rPr>
              <w:t xml:space="preserve">Accomplishments</w:t>
            </w:r>
          </w:p>
          <w:p w:rsidR="00000000" w:rsidDel="00000000" w:rsidP="00000000" w:rsidRDefault="00000000" w:rsidRPr="00000000" w14:paraId="0000000F">
            <w:pPr>
              <w:widowControl w:val="0"/>
              <w:spacing w:before="20" w:line="192.00000000000003" w:lineRule="auto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Snaplogic Automations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before="20" w:line="192.00000000000003" w:lineRule="auto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(Spring 2025)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20" w:line="192.00000000000003" w:lineRule="auto"/>
              <w:jc w:val="both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Developed and maintain multiple snaplogic pipelines to aid various Salesforce automations.</w:t>
            </w:r>
          </w:p>
          <w:p w:rsidR="00000000" w:rsidDel="00000000" w:rsidP="00000000" w:rsidRDefault="00000000" w:rsidRPr="00000000" w14:paraId="00000012">
            <w:pPr>
              <w:widowControl w:val="0"/>
              <w:spacing w:before="20" w:line="192.00000000000003" w:lineRule="auto"/>
              <w:jc w:val="both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before="20" w:line="192.00000000000003" w:lineRule="auto"/>
              <w:jc w:val="both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ImageNow Upgrade 7.1.5 - 7.7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20" w:line="192.00000000000003" w:lineRule="auto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(Spring 2023)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20" w:line="192.00000000000003" w:lineRule="auto"/>
              <w:jc w:val="both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Migrated and upgraded both backend and frontend of the application.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before="20" w:line="192.00000000000003" w:lineRule="auto"/>
              <w:jc w:val="both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ServiceNow QoL Scripting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20" w:line="192.00000000000003" w:lineRule="auto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(Spring 2023 - Spring 2024)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Implemented various Javascript upgrades and maintenance to ServiceNow to aid functionality for ITS</w:t>
            </w:r>
          </w:p>
          <w:p w:rsidR="00000000" w:rsidDel="00000000" w:rsidP="00000000" w:rsidRDefault="00000000" w:rsidRPr="00000000" w14:paraId="0000001A">
            <w:pPr>
              <w:widowControl w:val="0"/>
              <w:spacing w:before="20" w:line="192.00000000000003" w:lineRule="auto"/>
              <w:jc w:val="both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697c9"/>
                <w:sz w:val="32"/>
                <w:szCs w:val="32"/>
                <w:rtl w:val="0"/>
              </w:rPr>
              <w:t xml:space="preserve">Education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University of Arkansas Little Rock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40" w:line="216" w:lineRule="auto"/>
              <w:ind w:left="0" w:firstLine="0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- B.S. Information Science 2019 - 2026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40" w:line="216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Bossier Parish Community College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- AAS. Programmer Analyst 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3697c9" w:space="0" w:sz="8" w:val="single"/>
            </w:tcBorders>
            <w:shd w:fill="auto" w:val="clear"/>
            <w:tcMar>
              <w:top w:w="504.0" w:type="dxa"/>
              <w:left w:w="504.0" w:type="dxa"/>
              <w:bottom w:w="504.0" w:type="dxa"/>
              <w:right w:w="504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697c9"/>
                <w:sz w:val="32"/>
                <w:szCs w:val="32"/>
                <w:rtl w:val="0"/>
              </w:rPr>
              <w:t xml:space="preserve">Work History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40" w:line="216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Salesforce Administrator &amp; IT Manager - UALR Advancement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40" w:line="216" w:lineRule="auto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Nov. 2024 - Present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- Managed and customized Salesforce Dashboards, Visualforce pages, and Flows for efficiency for higher education operations.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- Successfully integrated third-party applications with Salesforce, improving workflow automation and reporting.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- Utilized Apsona for data loading and analysis.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- Provided user management, security configurations, and workflow automation within Salesforce.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- Collaborated with external vendors and third parties on IT contracts, ensuring compliance and efficiency.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- Oversaw IT inventory, daily technical support, and strategic planning for technology infrastructure.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16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Enterprise Applications Support - UALR IT Services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16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Oct. 2022 - Oct.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- Plan, design, develop, &amp; deploy new applications and enhancing existing applications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- Conduct research on hardware and software products to justify recommendations and to support purchasing efforts.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- Ensure compatibility and interoperability of in-house computing systems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- Meet with decision makers, system, owners, and end users to define business requirements and system goals, and identify and resolve business issues, performing cost benefit analysis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- Review and analyze the effectiveness and efficiency of existing systems and develop strategies for improving or further leveraging these systems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1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after="40" w:line="216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Computer Support Specialist - UALR IT Services 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40" w:line="216" w:lineRule="auto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Jan. 2020 - Oct.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16" w:lineRule="auto"/>
              <w:ind w:left="0" w:right="0" w:firstLine="0"/>
              <w:jc w:val="both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- Providing support with desktop/technical issues at all levels across campus. Such as driver installation, running hardware diagnostics or compatibility issues. 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- Developing documentation and upgrading existing procedures to aid coworkers and new workers.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- Support maintenance and installation of computers, network printers, and laboratories across campus. Such as adding extra video cards and testing ports for printer functionality.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after="200" w:lineRule="auto"/>
        <w:ind w:left="0" w:firstLine="0"/>
        <w:rPr>
          <w:rFonts w:ascii="Poppins Light" w:cs="Poppins Light" w:eastAsia="Poppins Light" w:hAnsi="Poppins Light"/>
          <w:color w:val="8d8d8d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ExtraBold">
    <w:embedBold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/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2286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001200" y="842075"/>
                        <a:ext cx="7816500" cy="426000"/>
                      </a:xfrm>
                      <a:prstGeom prst="rect">
                        <a:avLst/>
                      </a:prstGeom>
                      <a:solidFill>
                        <a:srgbClr val="3697C9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2286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bridges@ualr.edu" TargetMode="Externa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Light-regular.ttf"/><Relationship Id="rId2" Type="http://schemas.openxmlformats.org/officeDocument/2006/relationships/font" Target="fonts/PoppinsLight-bold.ttf"/><Relationship Id="rId3" Type="http://schemas.openxmlformats.org/officeDocument/2006/relationships/font" Target="fonts/PoppinsLight-italic.ttf"/><Relationship Id="rId4" Type="http://schemas.openxmlformats.org/officeDocument/2006/relationships/font" Target="fonts/PoppinsLight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OpenSansExtraBold-bold.ttf"/><Relationship Id="rId6" Type="http://schemas.openxmlformats.org/officeDocument/2006/relationships/font" Target="fonts/OpenSansExtraBold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