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rial" w:cs="Arial" w:eastAsia="Arial" w:hAnsi="Arial"/>
          <w:b/>
          <w:bCs/>
          <w:color w:val="B07D3A"/>
          <w:spacing w:val="36"/>
          <w:sz w:val="18"/>
          <w:szCs w:val="18"/>
        </w:rPr>
        <w:t xml:space="preserve">GROWTHPATH ANALYTICS</w:t>
      </w:r>
    </w:p>
    <w:p>
      <w:pPr>
        <w:spacing w:after="0" w:before="160"/>
      </w:pPr>
      <w:r>
        <w:rPr>
          <w:rFonts w:ascii="Arial" w:cs="Arial" w:eastAsia="Arial" w:hAnsi="Arial"/>
          <w:b/>
          <w:bCs/>
          <w:color w:val="1A1A1A"/>
          <w:sz w:val="44"/>
          <w:szCs w:val="44"/>
        </w:rPr>
        <w:t xml:space="preserve">What the Market Tells Us</w:t>
      </w:r>
    </w:p>
    <w:p>
      <w:pPr>
        <w:spacing w:after="0" w:before="60"/>
      </w:pPr>
      <w:r>
        <w:rPr>
          <w:rFonts w:ascii="Arial" w:cs="Arial" w:eastAsia="Arial" w:hAnsi="Arial"/>
          <w:color w:val="6B6B6B"/>
          <w:sz w:val="24"/>
          <w:szCs w:val="24"/>
        </w:rPr>
        <w:t xml:space="preserve">Evidence companion to the platform overview</w:t>
      </w:r>
    </w:p>
    <w:p>
      <w:pPr>
        <w:pBdr>
          <w:top w:val="single" w:color="B07D3A" w:sz="6" w:space="1"/>
        </w:pBdr>
        <w:spacing w:after="0" w:before="240"/>
      </w:pPr>
    </w:p>
    <w:p>
      <w:pPr>
        <w:spacing w:after="120" w:line="288"/>
      </w:pPr>
      <w:r>
        <w:rPr>
          <w:rFonts w:ascii="Arial" w:cs="Arial" w:eastAsia="Arial" w:hAnsi="Arial"/>
          <w:b w:val="false"/>
          <w:bCs w:val="false"/>
          <w:color w:val="1A1A1A"/>
          <w:sz w:val="21"/>
          <w:szCs w:val="21"/>
        </w:rPr>
        <w:t xml:space="preserve">You raised the right question: not whether the product can be built, but who the first buyer is and what delivery model they will pay for. To answer it with something better than opinion, we pulled what customers of the incumbent tools actually say — across Trustpilot, G2, Capterra, and independent review roundups. Links to verify everything yourself are at the end. The short version follows.</w:t>
      </w:r>
    </w:p>
    <w:p>
      <w:pPr>
        <w:spacing w:after="80" w:before="360"/>
      </w:pPr>
      <w:r>
        <w:rPr>
          <w:rFonts w:ascii="Arial" w:cs="Arial" w:eastAsia="Arial" w:hAnsi="Arial"/>
          <w:b/>
          <w:bCs/>
          <w:color w:val="B07D3A"/>
          <w:spacing w:val="28"/>
          <w:sz w:val="16"/>
          <w:szCs w:val="16"/>
        </w:rPr>
        <w:t xml:space="preserve">THE CORE FINDING</w:t>
      </w:r>
    </w:p>
    <w:p>
      <w:pPr>
        <w:spacing w:after="160" w:before="180"/>
      </w:pPr>
      <w:r>
        <w:rPr>
          <w:rFonts w:ascii="Arial" w:cs="Arial" w:eastAsia="Arial" w:hAnsi="Arial"/>
          <w:b/>
          <w:bCs/>
          <w:color w:val="1A1A1A"/>
          <w:sz w:val="30"/>
          <w:szCs w:val="30"/>
        </w:rPr>
        <w:t xml:space="preserve">The complaint is never “not enough data.” It’s “I don’t know what to do with it.”</w:t>
      </w:r>
    </w:p>
    <w:p>
      <w:pPr>
        <w:spacing w:after="150" w:line="288"/>
      </w:pPr>
      <w:r>
        <w:rPr>
          <w:rFonts w:ascii="Arial" w:cs="Arial" w:eastAsia="Arial" w:hAnsi="Arial"/>
          <w:b w:val="false"/>
          <w:bCs w:val="false"/>
          <w:color w:val="1A1A1A"/>
          <w:sz w:val="21"/>
          <w:szCs w:val="21"/>
        </w:rPr>
        <w:t xml:space="preserve">This is the most consistent signal in the data. The incumbent tools are not failing on features or accuracy — they are failing the local business owner on usability and direction. The clearest example is Semrush’s own review profile: an analysis of its Trustpilot corpus found the five most-discussed negative themes are subscription, payment, cancellation, support, and refunds — </w:t>
      </w:r>
      <w:r>
        <w:rPr>
          <w:rFonts w:ascii="Arial" w:cs="Arial" w:eastAsia="Arial" w:hAnsi="Arial"/>
          <w:b/>
          <w:bCs/>
          <w:color w:val="1A1A1A"/>
          <w:sz w:val="21"/>
          <w:szCs w:val="21"/>
        </w:rPr>
        <w:t xml:space="preserve">not feature gaps or performance.</w:t>
      </w:r>
      <w:r>
        <w:rPr>
          <w:rFonts w:ascii="Arial" w:cs="Arial" w:eastAsia="Arial" w:hAnsi="Arial"/>
          <w:b w:val="false"/>
          <w:bCs w:val="false"/>
          <w:color w:val="1A1A1A"/>
          <w:sz w:val="21"/>
          <w:szCs w:val="21"/>
        </w:rPr>
        <w:t xml:space="preserve"> The same analysis concluded Semrush holds strong product-market fit with professional marketers and agencies, while creating real friction for cost-conscious small businesses. The tool works; it is built for someone who is not the local owner.</w:t>
      </w:r>
    </w:p>
    <w:p>
      <w:pPr>
        <w:spacing w:after="150" w:line="288"/>
      </w:pPr>
      <w:r>
        <w:rPr>
          <w:rFonts w:ascii="Arial" w:cs="Arial" w:eastAsia="Arial" w:hAnsi="Arial"/>
          <w:b w:val="false"/>
          <w:bCs w:val="false"/>
          <w:color w:val="1A1A1A"/>
          <w:sz w:val="21"/>
          <w:szCs w:val="21"/>
        </w:rPr>
        <w:t xml:space="preserve">Owners and reviewers say it plainly — Semrush and Ahrefs are repeatedly described as </w:t>
      </w:r>
      <w:r>
        <w:rPr>
          <w:rFonts w:ascii="Arial" w:cs="Arial" w:eastAsia="Arial" w:hAnsi="Arial"/>
          <w:b/>
          <w:bCs/>
          <w:color w:val="1A1A1A"/>
          <w:sz w:val="21"/>
          <w:szCs w:val="21"/>
        </w:rPr>
        <w:t xml:space="preserve">overwhelming for beginners</w:t>
      </w:r>
      <w:r>
        <w:rPr>
          <w:rFonts w:ascii="Arial" w:cs="Arial" w:eastAsia="Arial" w:hAnsi="Arial"/>
          <w:b w:val="false"/>
          <w:bCs w:val="false"/>
          <w:color w:val="1A1A1A"/>
          <w:sz w:val="21"/>
          <w:szCs w:val="21"/>
        </w:rPr>
        <w:t xml:space="preserve">, “like drinking from a firehose,” and cost-prohibitive for solo operators. The gap is not that these businesses can’t afford a tool. It’s that the tools hand them data and leave the interpretation — the part they actually need — undone.</w:t>
      </w:r>
    </w:p>
    <w:p>
      <w:pPr>
        <w:spacing w:after="80" w:before="360"/>
      </w:pPr>
      <w:r>
        <w:rPr>
          <w:rFonts w:ascii="Arial" w:cs="Arial" w:eastAsia="Arial" w:hAnsi="Arial"/>
          <w:b/>
          <w:bCs/>
          <w:color w:val="B07D3A"/>
          <w:spacing w:val="28"/>
          <w:sz w:val="16"/>
          <w:szCs w:val="16"/>
        </w:rPr>
        <w:t xml:space="preserve">WHAT THIS VALIDATES</w:t>
      </w:r>
    </w:p>
    <w:p>
      <w:pPr>
        <w:spacing w:after="160" w:before="180"/>
      </w:pPr>
      <w:r>
        <w:rPr>
          <w:rFonts w:ascii="Arial" w:cs="Arial" w:eastAsia="Arial" w:hAnsi="Arial"/>
          <w:b/>
          <w:bCs/>
          <w:color w:val="1A1A1A"/>
          <w:sz w:val="30"/>
          <w:szCs w:val="30"/>
        </w:rPr>
        <w:t xml:space="preserve">A funded product category already exists around “tell me what to fix”</w:t>
      </w:r>
    </w:p>
    <w:p>
      <w:pPr>
        <w:spacing w:after="150" w:line="288"/>
      </w:pPr>
      <w:r>
        <w:rPr>
          <w:rFonts w:ascii="Arial" w:cs="Arial" w:eastAsia="Arial" w:hAnsi="Arial"/>
          <w:b w:val="false"/>
          <w:bCs w:val="false"/>
          <w:color w:val="1A1A1A"/>
          <w:sz w:val="21"/>
          <w:szCs w:val="21"/>
        </w:rPr>
        <w:t xml:space="preserve">That gap has produced real competitors — MorningScore, SiteGuru, Keysearch, Ubersuggest — positioned explicitly on guided, prioritized action rather than raw data. Their third-party reviews read almost verbatim like GrowthPath’s pitch:</w:t>
      </w:r>
    </w:p>
    <w:p>
      <w:pPr>
        <w:pStyle w:val="ListParagraph"/>
        <w:numPr>
          <w:ilvl w:val="0"/>
          <w:numId w:val="2"/>
        </w:numPr>
        <w:spacing w:after="110" w:line="280"/>
      </w:pPr>
      <w:r>
        <w:rPr>
          <w:rFonts w:ascii="Arial" w:cs="Arial" w:eastAsia="Arial" w:hAnsi="Arial"/>
          <w:b/>
          <w:bCs/>
          <w:color w:val="1A1A1A"/>
          <w:sz w:val="21"/>
          <w:szCs w:val="21"/>
        </w:rPr>
        <w:t xml:space="preserve">MorningScore</w:t>
      </w:r>
      <w:r>
        <w:rPr>
          <w:rFonts w:ascii="Arial" w:cs="Arial" w:eastAsia="Arial" w:hAnsi="Arial"/>
          <w:b w:val="false"/>
          <w:bCs w:val="false"/>
          <w:color w:val="1A1A1A"/>
          <w:sz w:val="21"/>
          <w:szCs w:val="21"/>
        </w:rPr>
        <w:t xml:space="preserve"> is described as purpose-built for business owners and non-specialists who find Semrush or Ahrefs overwhelming and want a tool that tells them what to fix rather than just showing data.</w:t>
      </w:r>
    </w:p>
    <w:p>
      <w:pPr>
        <w:pStyle w:val="ListParagraph"/>
        <w:numPr>
          <w:ilvl w:val="0"/>
          <w:numId w:val="2"/>
        </w:numPr>
        <w:spacing w:after="110" w:line="280"/>
      </w:pPr>
      <w:r>
        <w:rPr>
          <w:rFonts w:ascii="Arial" w:cs="Arial" w:eastAsia="Arial" w:hAnsi="Arial"/>
          <w:b/>
          <w:bCs/>
          <w:color w:val="1A1A1A"/>
          <w:sz w:val="21"/>
          <w:szCs w:val="21"/>
        </w:rPr>
        <w:t xml:space="preserve">SiteGuru</w:t>
      </w:r>
      <w:r>
        <w:rPr>
          <w:rFonts w:ascii="Arial" w:cs="Arial" w:eastAsia="Arial" w:hAnsi="Arial"/>
          <w:b w:val="false"/>
          <w:bCs w:val="false"/>
          <w:color w:val="1A1A1A"/>
          <w:sz w:val="21"/>
          <w:szCs w:val="21"/>
        </w:rPr>
        <w:t xml:space="preserve"> users say it gives “a clear roadmap of what to fix and in what order” instead of “endless data and vague advice.” One small-company reviewer: “I don’t want to spend time learning SEO theory — it turns SEO into simple tasks I can just implement, without turning it into a full-time job.”</w:t>
      </w:r>
    </w:p>
    <w:p>
      <w:pPr>
        <w:spacing w:after="150" w:line="288"/>
      </w:pPr>
      <w:r>
        <w:rPr>
          <w:rFonts w:ascii="Arial" w:cs="Arial" w:eastAsia="Arial" w:hAnsi="Arial"/>
          <w:b w:val="false"/>
          <w:bCs w:val="false"/>
          <w:color w:val="1A1A1A"/>
          <w:sz w:val="21"/>
          <w:szCs w:val="21"/>
        </w:rPr>
        <w:t xml:space="preserve">This matters for two reasons. First, it proves the buyer — the informed non-expert who acts on a prioritized list — is real and already spending money, not a hypothetical. Second, it sets the price floor: these tools run </w:t>
      </w:r>
      <w:r>
        <w:rPr>
          <w:rFonts w:ascii="Arial" w:cs="Arial" w:eastAsia="Arial" w:hAnsi="Arial"/>
          <w:b/>
          <w:bCs/>
          <w:color w:val="1A1A1A"/>
          <w:sz w:val="21"/>
          <w:szCs w:val="21"/>
        </w:rPr>
        <w:t xml:space="preserve">$49–$259 per month</w:t>
      </w:r>
      <w:r>
        <w:rPr>
          <w:rFonts w:ascii="Arial" w:cs="Arial" w:eastAsia="Arial" w:hAnsi="Arial"/>
          <w:b w:val="false"/>
          <w:bCs w:val="false"/>
          <w:color w:val="1A1A1A"/>
          <w:sz w:val="21"/>
          <w:szCs w:val="21"/>
        </w:rPr>
        <w:t xml:space="preserve"> (MorningScore) and </w:t>
      </w:r>
      <w:r>
        <w:rPr>
          <w:rFonts w:ascii="Arial" w:cs="Arial" w:eastAsia="Arial" w:hAnsi="Arial"/>
          <w:b/>
          <w:bCs/>
          <w:color w:val="1A1A1A"/>
          <w:sz w:val="21"/>
          <w:szCs w:val="21"/>
        </w:rPr>
        <w:t xml:space="preserve">$49–$199 per month</w:t>
      </w:r>
      <w:r>
        <w:rPr>
          <w:rFonts w:ascii="Arial" w:cs="Arial" w:eastAsia="Arial" w:hAnsi="Arial"/>
          <w:b w:val="false"/>
          <w:bCs w:val="false"/>
          <w:color w:val="1A1A1A"/>
          <w:sz w:val="21"/>
          <w:szCs w:val="21"/>
        </w:rPr>
        <w:t xml:space="preserve"> (SiteGuru). Those are monthly. GrowthPath’s $149–249 annual sits far below the proven willingness-to-pay for this exact value — which reads as either a sharp entry wedge or a signal we are underpricing.</w:t>
      </w:r>
    </w:p>
    <w:p>
      <w:pPr>
        <w:spacing w:after="150" w:line="288"/>
      </w:pPr>
      <w:r>
        <w:rPr>
          <w:rFonts w:ascii="Arial" w:cs="Arial" w:eastAsia="Arial" w:hAnsi="Arial"/>
          <w:b w:val="false"/>
          <w:bCs w:val="false"/>
          <w:color w:val="1A1A1A"/>
          <w:sz w:val="21"/>
          <w:szCs w:val="21"/>
        </w:rPr>
        <w:t xml:space="preserve">GrowthPath’s edge inside this category is specific: </w:t>
      </w:r>
      <w:r>
        <w:rPr>
          <w:rFonts w:ascii="Arial" w:cs="Arial" w:eastAsia="Arial" w:hAnsi="Arial"/>
          <w:b/>
          <w:bCs/>
          <w:color w:val="1A1A1A"/>
          <w:sz w:val="21"/>
          <w:szCs w:val="21"/>
        </w:rPr>
        <w:t xml:space="preserve">none of these tools do local trade-area depth.</w:t>
      </w:r>
      <w:r>
        <w:rPr>
          <w:rFonts w:ascii="Arial" w:cs="Arial" w:eastAsia="Arial" w:hAnsi="Arial"/>
          <w:b w:val="false"/>
          <w:bCs w:val="false"/>
          <w:color w:val="1A1A1A"/>
          <w:sz w:val="21"/>
          <w:szCs w:val="21"/>
        </w:rPr>
        <w:t xml:space="preserve"> MorningScore and SiteGuru are general site-audit tools — technical, on-page, keywords. They don’t do the ZCTA-based Map Pack and Local Finder geography. The local-specific tools that do the geography don’t do the guided action layer well. GrowthPath sits at the intersection nobody occupies cleanly.</w:t>
      </w:r>
    </w:p>
    <w:p>
      <w:pPr>
        <w:spacing w:after="80" w:before="360"/>
      </w:pPr>
      <w:r>
        <w:rPr>
          <w:rFonts w:ascii="Arial" w:cs="Arial" w:eastAsia="Arial" w:hAnsi="Arial"/>
          <w:b/>
          <w:bCs/>
          <w:color w:val="B07D3A"/>
          <w:spacing w:val="28"/>
          <w:sz w:val="16"/>
          <w:szCs w:val="16"/>
        </w:rPr>
        <w:t xml:space="preserve">THE SECOND CHANNEL</w:t>
      </w:r>
    </w:p>
    <w:p>
      <w:pPr>
        <w:spacing w:after="160" w:before="180"/>
      </w:pPr>
      <w:r>
        <w:rPr>
          <w:rFonts w:ascii="Arial" w:cs="Arial" w:eastAsia="Arial" w:hAnsi="Arial"/>
          <w:b/>
          <w:bCs/>
          <w:color w:val="1A1A1A"/>
          <w:sz w:val="30"/>
          <w:szCs w:val="30"/>
        </w:rPr>
        <w:t xml:space="preserve">Agency and white-label demand is documented and mature</w:t>
      </w:r>
    </w:p>
    <w:p>
      <w:pPr>
        <w:spacing w:after="150" w:line="288"/>
      </w:pPr>
      <w:r>
        <w:rPr>
          <w:rFonts w:ascii="Arial" w:cs="Arial" w:eastAsia="Arial" w:hAnsi="Arial"/>
          <w:b w:val="false"/>
          <w:bCs w:val="false"/>
          <w:color w:val="1A1A1A"/>
          <w:sz w:val="21"/>
          <w:szCs w:val="21"/>
        </w:rPr>
        <w:t xml:space="preserve">The agency buyer wants three things: a credible audit to win the client, branded reporting to retain them, and proof-of-value without manual hours. BrightLocal’s own positioning confirms the audit-as-sales-tool use case — reviewers note you can “run the audit for a prospective client and show them exactly where they’re leaving local traffic on the table,” and that for an agency “the white-label reporting alone can justify the subscription.” This is a mature sub-market, not a guess.</w:t>
      </w:r>
    </w:p>
    <w:p>
      <w:pPr>
        <w:spacing w:after="150" w:line="288"/>
      </w:pPr>
      <w:r>
        <w:rPr>
          <w:rFonts w:ascii="Arial" w:cs="Arial" w:eastAsia="Arial" w:hAnsi="Arial"/>
          <w:b w:val="false"/>
          <w:bCs w:val="false"/>
          <w:color w:val="1A1A1A"/>
          <w:sz w:val="21"/>
          <w:szCs w:val="21"/>
        </w:rPr>
        <w:t xml:space="preserve">The buyer-side frustration GrowthPath resolves is documented too. One agency case study describes a local business that had worked with </w:t>
      </w:r>
      <w:r>
        <w:rPr>
          <w:rFonts w:ascii="Arial" w:cs="Arial" w:eastAsia="Arial" w:hAnsi="Arial"/>
          <w:b/>
          <w:bCs/>
          <w:color w:val="1A1A1A"/>
          <w:sz w:val="21"/>
          <w:szCs w:val="21"/>
        </w:rPr>
        <w:t xml:space="preserve">five different agencies and seen no results</w:t>
      </w:r>
      <w:r>
        <w:rPr>
          <w:rFonts w:ascii="Arial" w:cs="Arial" w:eastAsia="Arial" w:hAnsi="Arial"/>
          <w:b w:val="false"/>
          <w:bCs w:val="false"/>
          <w:color w:val="1A1A1A"/>
          <w:sz w:val="21"/>
          <w:szCs w:val="21"/>
        </w:rPr>
        <w:t xml:space="preserve">, with “no useful reporting or understanding of what was happening.” That “I have no idea what I’m paying for” experience is exactly the wound a clear diagnostic closes — for the end client and as the agency’s differentiation.</w:t>
      </w:r>
    </w:p>
    <w:p>
      <w:pPr>
        <w:spacing w:after="80" w:before="360"/>
      </w:pPr>
      <w:r>
        <w:rPr>
          <w:rFonts w:ascii="Arial" w:cs="Arial" w:eastAsia="Arial" w:hAnsi="Arial"/>
          <w:b/>
          <w:bCs/>
          <w:color w:val="B07D3A"/>
          <w:spacing w:val="28"/>
          <w:sz w:val="16"/>
          <w:szCs w:val="16"/>
        </w:rPr>
        <w:t xml:space="preserve">THE HONEST RISK</w:t>
      </w:r>
    </w:p>
    <w:p>
      <w:pPr>
        <w:spacing w:after="160" w:before="180"/>
      </w:pPr>
      <w:r>
        <w:rPr>
          <w:rFonts w:ascii="Arial" w:cs="Arial" w:eastAsia="Arial" w:hAnsi="Arial"/>
          <w:b/>
          <w:bCs/>
          <w:color w:val="1A1A1A"/>
          <w:sz w:val="30"/>
          <w:szCs w:val="30"/>
        </w:rPr>
        <w:t xml:space="preserve">BrightLocal is already moving toward this thesis</w:t>
      </w:r>
    </w:p>
    <w:p>
      <w:pPr>
        <w:spacing w:after="150" w:line="288"/>
      </w:pPr>
      <w:r>
        <w:rPr>
          <w:rFonts w:ascii="Arial" w:cs="Arial" w:eastAsia="Arial" w:hAnsi="Arial"/>
          <w:b w:val="false"/>
          <w:bCs w:val="false"/>
          <w:color w:val="1A1A1A"/>
          <w:sz w:val="21"/>
          <w:szCs w:val="21"/>
        </w:rPr>
        <w:t xml:space="preserve">The finding you most need is the one not in the original overview: BrightLocal, with 6,000+ agency customers and the local-data infrastructure, currently states on its site that it is building “the next generation of the platform, combining AI intelligence, guided actions, and built-in execution,” with “AI that audits everything and hands you a personalized, easy-to-follow plan.” That is the incumbent aiming directly at the guided-plan wedge.</w:t>
      </w:r>
    </w:p>
    <w:p>
      <w:pPr>
        <w:spacing w:after="150" w:line="288"/>
      </w:pPr>
      <w:r>
        <w:rPr>
          <w:rFonts w:ascii="Arial" w:cs="Arial" w:eastAsia="Arial" w:hAnsi="Arial"/>
          <w:b w:val="false"/>
          <w:bCs w:val="false"/>
          <w:color w:val="1A1A1A"/>
          <w:sz w:val="21"/>
          <w:szCs w:val="21"/>
        </w:rPr>
        <w:t xml:space="preserve">It doesn’t invalidate the opportunity — they are a horizontal local-SEO suite, they are not doing Census/ZCTA trade-area curves, and large incumbents move broadly and slowly. But it does set the strategic constraint clearly: </w:t>
      </w:r>
      <w:r>
        <w:rPr>
          <w:rFonts w:ascii="Arial" w:cs="Arial" w:eastAsia="Arial" w:hAnsi="Arial"/>
          <w:b/>
          <w:bCs/>
          <w:color w:val="1A1A1A"/>
          <w:sz w:val="21"/>
          <w:szCs w:val="21"/>
        </w:rPr>
        <w:t xml:space="preserve">the durable differentiation has to be the methodology, not the idea of a guided plan.</w:t>
      </w:r>
      <w:r>
        <w:rPr>
          <w:rFonts w:ascii="Arial" w:cs="Arial" w:eastAsia="Arial" w:hAnsi="Arial"/>
          <w:b w:val="false"/>
          <w:bCs w:val="false"/>
          <w:color w:val="1A1A1A"/>
          <w:sz w:val="21"/>
          <w:szCs w:val="21"/>
        </w:rPr>
        <w:t xml:space="preserve"> That is precisely why the ZCTA trade-area model is the part worth pressure-testing — it’s the piece a fast-follower can’t trivially copy.</w:t>
      </w:r>
    </w:p>
    <w:p>
      <w:r>
        <w:br w:type="page"/>
      </w:r>
    </w:p>
    <w:p>
      <w:pPr>
        <w:spacing w:after="80" w:before="360"/>
      </w:pPr>
      <w:r>
        <w:rPr>
          <w:rFonts w:ascii="Arial" w:cs="Arial" w:eastAsia="Arial" w:hAnsi="Arial"/>
          <w:b/>
          <w:bCs/>
          <w:color w:val="B07D3A"/>
          <w:spacing w:val="28"/>
          <w:sz w:val="16"/>
          <w:szCs w:val="16"/>
        </w:rPr>
        <w:t xml:space="preserve">YOUR THREE PATHS, ON THE EVIDENCE</w:t>
      </w:r>
    </w:p>
    <w:p>
      <w:pPr>
        <w:spacing w:after="160" w:before="180"/>
      </w:pPr>
      <w:r>
        <w:rPr>
          <w:rFonts w:ascii="Arial" w:cs="Arial" w:eastAsia="Arial" w:hAnsi="Arial"/>
          <w:b/>
          <w:bCs/>
          <w:color w:val="1A1A1A"/>
          <w:sz w:val="30"/>
          <w:szCs w:val="30"/>
        </w:rPr>
        <w:t xml:space="preserve">One product, two channels — not three companies</w:t>
      </w:r>
    </w:p>
    <w:p>
      <w:pPr>
        <w:spacing w:after="150" w:line="288"/>
      </w:pPr>
      <w:r>
        <w:rPr>
          <w:rFonts w:ascii="Arial" w:cs="Arial" w:eastAsia="Arial" w:hAnsi="Arial"/>
          <w:b w:val="false"/>
          <w:bCs w:val="false"/>
          <w:color w:val="1A1A1A"/>
          <w:sz w:val="21"/>
          <w:szCs w:val="21"/>
        </w:rPr>
        <w:t xml:space="preserve">On reflection, Paths 1 and 2 are not a strategic fork. They are the same product in two formats. Path 2 is the diagnostic and prioritized action plan; Path 1 is that same thing delivered as an interactive portal instead of a static report. The evidence argues the portal is the </w:t>
      </w:r>
      <w:r>
        <w:rPr>
          <w:rFonts w:ascii="Arial" w:cs="Arial" w:eastAsia="Arial" w:hAnsi="Arial"/>
          <w:b/>
          <w:bCs/>
          <w:color w:val="1A1A1A"/>
          <w:sz w:val="21"/>
          <w:szCs w:val="21"/>
        </w:rPr>
        <w:t xml:space="preserve">correct</w:t>
      </w:r>
      <w:r>
        <w:rPr>
          <w:rFonts w:ascii="Arial" w:cs="Arial" w:eastAsia="Arial" w:hAnsi="Arial"/>
          <w:b w:val="false"/>
          <w:bCs w:val="false"/>
          <w:color w:val="1A1A1A"/>
          <w:sz w:val="21"/>
          <w:szCs w:val="21"/>
        </w:rPr>
        <w:t xml:space="preserve"> delivery vehicle, not merely an acceptable one — because the value of a prioritized plan is that it is acted on over time, and a static report can’t check items off, re-scan, or show the rank moving. The tracking loop is the product, and only a platform delivers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D8D4CC" w:sz="1"/>
              <w:left w:val="single" w:color="D8D4CC" w:sz="1"/>
              <w:bottom w:val="single" w:color="D8D4CC" w:sz="1"/>
              <w:right w:val="single" w:color="D8D4CC" w:sz="1"/>
            </w:tcBorders>
            <w:shd w:fill="FAF3E6" w:val="clear"/>
            <w:tcMar>
              <w:top w:type="dxa" w:w="80"/>
              <w:left w:type="dxa" w:w="120"/>
              <w:bottom w:type="dxa" w:w="80"/>
              <w:right w:type="dxa" w:w="120"/>
            </w:tcMar>
          </w:tcPr>
          <w:p>
            <w:r>
              <w:rPr>
                <w:rFonts w:ascii="Arial" w:cs="Arial" w:eastAsia="Arial" w:hAnsi="Arial"/>
                <w:b/>
                <w:bCs/>
                <w:color w:val="1A1A1A"/>
                <w:sz w:val="18"/>
                <w:szCs w:val="18"/>
              </w:rPr>
              <w:t xml:space="preserve">Path</w:t>
            </w:r>
          </w:p>
        </w:tc>
        <w:tc>
          <w:tcPr>
            <w:tcW w:type="dxa" w:w="7660"/>
            <w:tcBorders>
              <w:top w:val="single" w:color="D8D4CC" w:sz="1"/>
              <w:left w:val="single" w:color="D8D4CC" w:sz="1"/>
              <w:bottom w:val="single" w:color="D8D4CC" w:sz="1"/>
              <w:right w:val="single" w:color="D8D4CC" w:sz="1"/>
            </w:tcBorders>
            <w:shd w:fill="FAF3E6" w:val="clear"/>
            <w:tcMar>
              <w:top w:type="dxa" w:w="80"/>
              <w:left w:type="dxa" w:w="120"/>
              <w:bottom w:type="dxa" w:w="80"/>
              <w:right w:type="dxa" w:w="120"/>
            </w:tcMar>
          </w:tcPr>
          <w:p>
            <w:r>
              <w:rPr>
                <w:rFonts w:ascii="Arial" w:cs="Arial" w:eastAsia="Arial" w:hAnsi="Arial"/>
                <w:b/>
                <w:bCs/>
                <w:color w:val="1A1A1A"/>
                <w:sz w:val="18"/>
                <w:szCs w:val="18"/>
              </w:rPr>
              <w:t xml:space="preserve">What the data says</w:t>
            </w:r>
          </w:p>
        </w:tc>
      </w:tr>
      <w:tr>
        <w:tc>
          <w:tcPr>
            <w:tcW w:type="dxa" w:w="1700"/>
            <w:tcBorders>
              <w:top w:val="single" w:color="D8D4CC" w:sz="1"/>
              <w:left w:val="single" w:color="D8D4CC" w:sz="1"/>
              <w:bottom w:val="single" w:color="D8D4CC" w:sz="1"/>
              <w:right w:val="single" w:color="D8D4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1 + 2</w:t>
            </w:r>
          </w:p>
        </w:tc>
        <w:tc>
          <w:tcPr>
            <w:tcW w:type="dxa" w:w="7660"/>
            <w:tcBorders>
              <w:top w:val="single" w:color="D8D4CC" w:sz="1"/>
              <w:left w:val="single" w:color="D8D4CC" w:sz="1"/>
              <w:bottom w:val="single" w:color="D8D4CC" w:sz="1"/>
              <w:right w:val="single" w:color="D8D4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Best-validated. A funded competitor set proves the buyer, the willingness-to-pay (at multiples of our current price), and the exact value proposition. Delivered as an interactive platform, not a static report. Our edge inside it: local trade-area depth none of them have.</w:t>
            </w:r>
          </w:p>
        </w:tc>
      </w:tr>
      <w:tr>
        <w:tc>
          <w:tcPr>
            <w:tcW w:type="dxa" w:w="1700"/>
            <w:tcBorders>
              <w:top w:val="single" w:color="D8D4CC" w:sz="1"/>
              <w:left w:val="single" w:color="D8D4CC" w:sz="1"/>
              <w:bottom w:val="single" w:color="D8D4CC" w:sz="1"/>
              <w:right w:val="single" w:color="D8D4CC" w:sz="1"/>
            </w:tcBorders>
            <w:shd w:fill="F5F4F1" w:val="clear"/>
            <w:tcMar>
              <w:top w:type="dxa" w:w="80"/>
              <w:left w:type="dxa" w:w="120"/>
              <w:bottom w:type="dxa" w:w="80"/>
              <w:right w:type="dxa" w:w="120"/>
            </w:tcMar>
          </w:tcPr>
          <w:p>
            <w:r>
              <w:rPr>
                <w:rFonts w:ascii="Arial" w:cs="Arial" w:eastAsia="Arial" w:hAnsi="Arial"/>
                <w:b w:val="false"/>
                <w:bCs w:val="false"/>
                <w:color w:val="1A1A1A"/>
                <w:sz w:val="18"/>
                <w:szCs w:val="18"/>
              </w:rPr>
              <w:t xml:space="preserve">3</w:t>
            </w:r>
          </w:p>
        </w:tc>
        <w:tc>
          <w:tcPr>
            <w:tcW w:type="dxa" w:w="7660"/>
            <w:tcBorders>
              <w:top w:val="single" w:color="D8D4CC" w:sz="1"/>
              <w:left w:val="single" w:color="D8D4CC" w:sz="1"/>
              <w:bottom w:val="single" w:color="D8D4CC" w:sz="1"/>
              <w:right w:val="single" w:color="D8D4CC" w:sz="1"/>
            </w:tcBorders>
            <w:shd w:fill="F5F4F1" w:val="clear"/>
            <w:tcMar>
              <w:top w:type="dxa" w:w="80"/>
              <w:left w:type="dxa" w:w="120"/>
              <w:bottom w:type="dxa" w:w="80"/>
              <w:right w:type="dxa" w:w="120"/>
            </w:tcMar>
          </w:tcPr>
          <w:p>
            <w:r>
              <w:rPr>
                <w:rFonts w:ascii="Arial" w:cs="Arial" w:eastAsia="Arial" w:hAnsi="Arial"/>
                <w:b w:val="false"/>
                <w:bCs w:val="false"/>
                <w:color w:val="1A1A1A"/>
                <w:sz w:val="18"/>
                <w:szCs w:val="18"/>
              </w:rPr>
              <w:t xml:space="preserve">Most-proven demand and highest revenue density, but the most crowded and the direction BrightLocal’s roadmap points. Strongest as the scale layer; riskier as the beachhead.</w:t>
            </w:r>
          </w:p>
        </w:tc>
      </w:tr>
      <w:tr>
        <w:tc>
          <w:tcPr>
            <w:tcW w:type="dxa" w:w="1700"/>
            <w:tcBorders>
              <w:top w:val="single" w:color="D8D4CC" w:sz="1"/>
              <w:left w:val="single" w:color="D8D4CC" w:sz="1"/>
              <w:bottom w:val="single" w:color="D8D4CC" w:sz="1"/>
              <w:right w:val="single" w:color="D8D4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1 alone</w:t>
            </w:r>
          </w:p>
        </w:tc>
        <w:tc>
          <w:tcPr>
            <w:tcW w:type="dxa" w:w="7660"/>
            <w:tcBorders>
              <w:top w:val="single" w:color="D8D4CC" w:sz="1"/>
              <w:left w:val="single" w:color="D8D4CC" w:sz="1"/>
              <w:bottom w:val="single" w:color="D8D4CC" w:sz="1"/>
              <w:right w:val="single" w:color="D8D4CC"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A cheap self-serve tool stripped of the guidance layer is the one thing the data warns against — owners abandon data-dump tools precisely because they don’t know what to do next. This was a strawman; it collapses into Path 2 once the action plan is included.</w:t>
            </w:r>
          </w:p>
        </w:tc>
      </w:tr>
    </w:tbl>
    <w:p>
      <w:pPr>
        <w:spacing w:after="120"/>
      </w:pPr>
    </w:p>
    <w:p>
      <w:pPr>
        <w:spacing w:after="150" w:line="288"/>
      </w:pPr>
      <w:r>
        <w:rPr>
          <w:rFonts w:ascii="Arial" w:cs="Arial" w:eastAsia="Arial" w:hAnsi="Arial"/>
          <w:b w:val="false"/>
          <w:bCs w:val="false"/>
          <w:color w:val="1A1A1A"/>
          <w:sz w:val="21"/>
          <w:szCs w:val="21"/>
        </w:rPr>
        <w:t xml:space="preserve">The practical consequence for the build: this is </w:t>
      </w:r>
      <w:r>
        <w:rPr>
          <w:rFonts w:ascii="Arial" w:cs="Arial" w:eastAsia="Arial" w:hAnsi="Arial"/>
          <w:b/>
          <w:bCs/>
          <w:color w:val="1A1A1A"/>
          <w:sz w:val="21"/>
          <w:szCs w:val="21"/>
        </w:rPr>
        <w:t xml:space="preserve">one product with one open go-to-market question</w:t>
      </w:r>
      <w:r>
        <w:rPr>
          <w:rFonts w:ascii="Arial" w:cs="Arial" w:eastAsia="Arial" w:hAnsi="Arial"/>
          <w:b w:val="false"/>
          <w:bCs w:val="false"/>
          <w:color w:val="1A1A1A"/>
          <w:sz w:val="21"/>
          <w:szCs w:val="21"/>
        </w:rPr>
        <w:t xml:space="preserve">, not three divergent bets. The same multi-tenant platform serves a single owner or a white-label agency; the architecture doesn’t fork. What’s unresolved is only the channel — does the trade-area diagnostic pull harder sold direct to owners, or white-labeled through agencies? That is a far more fundable and buildable shape than the three-companies framing.</w:t>
      </w:r>
    </w:p>
    <w:p>
      <w:pPr>
        <w:spacing w:after="80" w:before="360"/>
      </w:pPr>
      <w:r>
        <w:rPr>
          <w:rFonts w:ascii="Arial" w:cs="Arial" w:eastAsia="Arial" w:hAnsi="Arial"/>
          <w:b/>
          <w:bCs/>
          <w:color w:val="B07D3A"/>
          <w:spacing w:val="28"/>
          <w:sz w:val="16"/>
          <w:szCs w:val="16"/>
        </w:rPr>
        <w:t xml:space="preserve">THE VALIDATION SPRINT</w:t>
      </w:r>
    </w:p>
    <w:p>
      <w:pPr>
        <w:spacing w:after="160" w:before="180"/>
      </w:pPr>
      <w:r>
        <w:rPr>
          <w:rFonts w:ascii="Arial" w:cs="Arial" w:eastAsia="Arial" w:hAnsi="Arial"/>
          <w:b/>
          <w:bCs/>
          <w:color w:val="1A1A1A"/>
          <w:sz w:val="30"/>
          <w:szCs w:val="30"/>
        </w:rPr>
        <w:t xml:space="preserve">What’s actually worth testing</w:t>
      </w:r>
    </w:p>
    <w:p>
      <w:pPr>
        <w:spacing w:after="150" w:line="288"/>
      </w:pPr>
      <w:r>
        <w:rPr>
          <w:rFonts w:ascii="Arial" w:cs="Arial" w:eastAsia="Arial" w:hAnsi="Arial"/>
          <w:b w:val="false"/>
          <w:bCs w:val="false"/>
          <w:color w:val="1A1A1A"/>
          <w:sz w:val="21"/>
          <w:szCs w:val="21"/>
        </w:rPr>
        <w:t xml:space="preserve">Your instinct on a 2–4 week validation sprint is right, and the evidence sharpens the question. It is no longer “will anyone buy a local SEO tool” — the market says yes. It is narrower and answerable in a month:</w:t>
      </w:r>
    </w:p>
    <w:p>
      <w:pPr>
        <w:pStyle w:val="ListParagraph"/>
        <w:numPr>
          <w:ilvl w:val="0"/>
          <w:numId w:val="2"/>
        </w:numPr>
        <w:spacing w:after="110" w:line="280"/>
      </w:pPr>
      <w:r>
        <w:rPr>
          <w:rFonts w:ascii="Arial" w:cs="Arial" w:eastAsia="Arial" w:hAnsi="Arial"/>
          <w:b w:val="false"/>
          <w:bCs w:val="false"/>
          <w:color w:val="1A1A1A"/>
          <w:sz w:val="21"/>
          <w:szCs w:val="21"/>
        </w:rPr>
        <w:t xml:space="preserve">Does the trade-area diagnostic specifically pull harder than the general-audit tools (MorningScore, SiteGuru) already serving this buyer?</w:t>
      </w:r>
    </w:p>
    <w:p>
      <w:pPr>
        <w:pStyle w:val="ListParagraph"/>
        <w:numPr>
          <w:ilvl w:val="0"/>
          <w:numId w:val="2"/>
        </w:numPr>
        <w:spacing w:after="110" w:line="280"/>
      </w:pPr>
      <w:r>
        <w:rPr>
          <w:rFonts w:ascii="Arial" w:cs="Arial" w:eastAsia="Arial" w:hAnsi="Arial"/>
          <w:b w:val="false"/>
          <w:bCs w:val="false"/>
          <w:color w:val="1A1A1A"/>
          <w:sz w:val="21"/>
          <w:szCs w:val="21"/>
        </w:rPr>
        <w:t xml:space="preserve">Does it pull harder sold direct-to-owner, or white-labeled through agencies?</w:t>
      </w:r>
    </w:p>
    <w:p>
      <w:pPr>
        <w:spacing w:after="150" w:line="288"/>
      </w:pPr>
      <w:r>
        <w:rPr>
          <w:rFonts w:ascii="Arial" w:cs="Arial" w:eastAsia="Arial" w:hAnsi="Arial"/>
          <w:b w:val="false"/>
          <w:bCs w:val="false"/>
          <w:color w:val="1A1A1A"/>
          <w:sz w:val="21"/>
          <w:szCs w:val="21"/>
        </w:rPr>
        <w:t xml:space="preserve">Those are clean to test with real customer conversations against a lean MVP. The division of labor you proposed — you driving conversations and sales validation, technical pressure-testing of the product and the ZCTA model in parallel — is the right way to run it.</w:t>
      </w:r>
    </w:p>
    <w:p>
      <w:pPr>
        <w:spacing w:after="80" w:before="360"/>
      </w:pPr>
      <w:r>
        <w:rPr>
          <w:rFonts w:ascii="Arial" w:cs="Arial" w:eastAsia="Arial" w:hAnsi="Arial"/>
          <w:b/>
          <w:bCs/>
          <w:color w:val="B07D3A"/>
          <w:spacing w:val="28"/>
          <w:sz w:val="16"/>
          <w:szCs w:val="16"/>
        </w:rPr>
        <w:t xml:space="preserve">SOURCES — VERIFY DIRECTLY</w:t>
      </w:r>
    </w:p>
    <w:p>
      <w:pPr>
        <w:spacing w:after="160" w:before="180"/>
      </w:pPr>
      <w:r>
        <w:rPr>
          <w:rFonts w:ascii="Arial" w:cs="Arial" w:eastAsia="Arial" w:hAnsi="Arial"/>
          <w:b/>
          <w:bCs/>
          <w:color w:val="1A1A1A"/>
          <w:sz w:val="30"/>
          <w:szCs w:val="30"/>
        </w:rPr>
        <w:t xml:space="preserve">Check it yourself</w:t>
      </w:r>
    </w:p>
    <w:p>
      <w:pPr>
        <w:spacing w:after="80" w:line="288"/>
      </w:pPr>
      <w:r>
        <w:rPr>
          <w:rFonts w:ascii="Arial" w:cs="Arial" w:eastAsia="Arial" w:hAnsi="Arial"/>
          <w:b w:val="false"/>
          <w:bCs w:val="false"/>
          <w:color w:val="1A1A1A"/>
          <w:sz w:val="21"/>
          <w:szCs w:val="21"/>
        </w:rPr>
        <w:t xml:space="preserve">Incumbent products referenced:</w:t>
      </w:r>
    </w:p>
    <w:p>
      <w:pPr>
        <w:pStyle w:val="ListParagraph"/>
        <w:numPr>
          <w:ilvl w:val="0"/>
          <w:numId w:val="2"/>
        </w:numPr>
        <w:spacing w:after="110" w:line="280"/>
      </w:pPr>
      <w:r>
        <w:rPr>
          <w:rFonts w:ascii="Arial" w:cs="Arial" w:eastAsia="Arial" w:hAnsi="Arial"/>
          <w:b w:val="false"/>
          <w:bCs w:val="false"/>
          <w:color w:val="1A1A1A"/>
          <w:sz w:val="21"/>
          <w:szCs w:val="21"/>
        </w:rPr>
        <w:t xml:space="preserve">Semrush — </w:t>
      </w:r>
      <w:hyperlink w:history="1" r:id="rIdmr3kv-4c_waqs6008eebu">
        <w:r>
          <w:rPr>
            <w:rFonts w:ascii="Arial" w:cs="Arial" w:eastAsia="Arial" w:hAnsi="Arial"/>
            <w:color w:val="2A6AB0"/>
            <w:sz w:val="21"/>
            <w:szCs w:val="21"/>
            <w:u w:val="single"/>
          </w:rPr>
          <w:t xml:space="preserve">semrush.com</w:t>
        </w:r>
      </w:hyperlink>
      <w:r>
        <w:rPr>
          <w:rFonts w:ascii="Arial" w:cs="Arial" w:eastAsia="Arial" w:hAnsi="Arial"/>
          <w:b w:val="false"/>
          <w:bCs w:val="false"/>
          <w:color w:val="1A1A1A"/>
          <w:sz w:val="21"/>
          <w:szCs w:val="21"/>
        </w:rPr>
        <w:t xml:space="preserve">  ·  reviews: </w:t>
      </w:r>
      <w:hyperlink w:history="1" r:id="rIdehf24bqm6e8u8tlvniof0">
        <w:r>
          <w:rPr>
            <w:rFonts w:ascii="Arial" w:cs="Arial" w:eastAsia="Arial" w:hAnsi="Arial"/>
            <w:color w:val="2A6AB0"/>
            <w:sz w:val="21"/>
            <w:szCs w:val="21"/>
            <w:u w:val="single"/>
          </w:rPr>
          <w:t xml:space="preserve">Trustpilot</w:t>
        </w:r>
      </w:hyperlink>
      <w:r>
        <w:rPr>
          <w:rFonts w:ascii="Arial" w:cs="Arial" w:eastAsia="Arial" w:hAnsi="Arial"/>
          <w:b w:val="false"/>
          <w:bCs w:val="false"/>
          <w:color w:val="1A1A1A"/>
          <w:sz w:val="21"/>
          <w:szCs w:val="21"/>
        </w:rPr>
        <w:t xml:space="preserve">, </w:t>
      </w:r>
      <w:hyperlink w:history="1" r:id="rIdjo8_rdbzgw6a2-vgeqaag">
        <w:r>
          <w:rPr>
            <w:rFonts w:ascii="Arial" w:cs="Arial" w:eastAsia="Arial" w:hAnsi="Arial"/>
            <w:color w:val="2A6AB0"/>
            <w:sz w:val="21"/>
            <w:szCs w:val="21"/>
            <w:u w:val="single"/>
          </w:rPr>
          <w:t xml:space="preserve">G2</w:t>
        </w:r>
      </w:hyperlink>
    </w:p>
    <w:p>
      <w:pPr>
        <w:pStyle w:val="ListParagraph"/>
        <w:numPr>
          <w:ilvl w:val="0"/>
          <w:numId w:val="2"/>
        </w:numPr>
        <w:spacing w:after="110" w:line="280"/>
      </w:pPr>
      <w:r>
        <w:rPr>
          <w:rFonts w:ascii="Arial" w:cs="Arial" w:eastAsia="Arial" w:hAnsi="Arial"/>
          <w:b w:val="false"/>
          <w:bCs w:val="false"/>
          <w:color w:val="1A1A1A"/>
          <w:sz w:val="21"/>
          <w:szCs w:val="21"/>
        </w:rPr>
        <w:t xml:space="preserve">Ahrefs — </w:t>
      </w:r>
      <w:hyperlink w:history="1" r:id="rIdnowgbvix7z1w5jhaekril">
        <w:r>
          <w:rPr>
            <w:rFonts w:ascii="Arial" w:cs="Arial" w:eastAsia="Arial" w:hAnsi="Arial"/>
            <w:color w:val="2A6AB0"/>
            <w:sz w:val="21"/>
            <w:szCs w:val="21"/>
            <w:u w:val="single"/>
          </w:rPr>
          <w:t xml:space="preserve">ahrefs.com</w:t>
        </w:r>
      </w:hyperlink>
    </w:p>
    <w:p>
      <w:pPr>
        <w:pStyle w:val="ListParagraph"/>
        <w:numPr>
          <w:ilvl w:val="0"/>
          <w:numId w:val="2"/>
        </w:numPr>
        <w:spacing w:after="110" w:line="280"/>
      </w:pPr>
      <w:r>
        <w:rPr>
          <w:rFonts w:ascii="Arial" w:cs="Arial" w:eastAsia="Arial" w:hAnsi="Arial"/>
          <w:b w:val="false"/>
          <w:bCs w:val="false"/>
          <w:color w:val="1A1A1A"/>
          <w:sz w:val="21"/>
          <w:szCs w:val="21"/>
        </w:rPr>
        <w:t xml:space="preserve">BrightLocal — </w:t>
      </w:r>
      <w:hyperlink w:history="1" r:id="rIdj5vvtbykftndmnjtexwgv">
        <w:r>
          <w:rPr>
            <w:rFonts w:ascii="Arial" w:cs="Arial" w:eastAsia="Arial" w:hAnsi="Arial"/>
            <w:color w:val="2A6AB0"/>
            <w:sz w:val="21"/>
            <w:szCs w:val="21"/>
            <w:u w:val="single"/>
          </w:rPr>
          <w:t xml:space="preserve">brightlocal.com</w:t>
        </w:r>
      </w:hyperlink>
      <w:r>
        <w:rPr>
          <w:rFonts w:ascii="Arial" w:cs="Arial" w:eastAsia="Arial" w:hAnsi="Arial"/>
          <w:b w:val="false"/>
          <w:bCs w:val="false"/>
          <w:color w:val="1A1A1A"/>
          <w:sz w:val="21"/>
          <w:szCs w:val="21"/>
        </w:rPr>
        <w:t xml:space="preserve">  ·  </w:t>
      </w:r>
      <w:hyperlink w:history="1" r:id="rIdylnmg69ohom_6qidxpg8u">
        <w:r>
          <w:rPr>
            <w:rFonts w:ascii="Arial" w:cs="Arial" w:eastAsia="Arial" w:hAnsi="Arial"/>
            <w:color w:val="2A6AB0"/>
            <w:sz w:val="21"/>
            <w:szCs w:val="21"/>
            <w:u w:val="single"/>
          </w:rPr>
          <w:t xml:space="preserve">agency / white-label positioning</w:t>
        </w:r>
      </w:hyperlink>
    </w:p>
    <w:p>
      <w:pPr>
        <w:pStyle w:val="ListParagraph"/>
        <w:numPr>
          <w:ilvl w:val="0"/>
          <w:numId w:val="2"/>
        </w:numPr>
        <w:spacing w:after="110" w:line="280"/>
      </w:pPr>
      <w:r>
        <w:rPr>
          <w:rFonts w:ascii="Arial" w:cs="Arial" w:eastAsia="Arial" w:hAnsi="Arial"/>
          <w:b w:val="false"/>
          <w:bCs w:val="false"/>
          <w:color w:val="1A1A1A"/>
          <w:sz w:val="21"/>
          <w:szCs w:val="21"/>
        </w:rPr>
        <w:t xml:space="preserve">LocalFalcon — </w:t>
      </w:r>
      <w:hyperlink w:history="1" r:id="rIdnk1qzripphjgr4wihpx-8">
        <w:r>
          <w:rPr>
            <w:rFonts w:ascii="Arial" w:cs="Arial" w:eastAsia="Arial" w:hAnsi="Arial"/>
            <w:color w:val="2A6AB0"/>
            <w:sz w:val="21"/>
            <w:szCs w:val="21"/>
            <w:u w:val="single"/>
          </w:rPr>
          <w:t xml:space="preserve">localfalcon.com</w:t>
        </w:r>
      </w:hyperlink>
    </w:p>
    <w:p>
      <w:pPr>
        <w:pStyle w:val="ListParagraph"/>
        <w:numPr>
          <w:ilvl w:val="0"/>
          <w:numId w:val="2"/>
        </w:numPr>
        <w:spacing w:after="110" w:line="280"/>
      </w:pPr>
      <w:r>
        <w:rPr>
          <w:rFonts w:ascii="Arial" w:cs="Arial" w:eastAsia="Arial" w:hAnsi="Arial"/>
          <w:b w:val="false"/>
          <w:bCs w:val="false"/>
          <w:color w:val="1A1A1A"/>
          <w:sz w:val="21"/>
          <w:szCs w:val="21"/>
        </w:rPr>
        <w:t xml:space="preserve">MorningScore — </w:t>
      </w:r>
      <w:hyperlink w:history="1" r:id="rIdlwjeocmpnjsano9feoy8g">
        <w:r>
          <w:rPr>
            <w:rFonts w:ascii="Arial" w:cs="Arial" w:eastAsia="Arial" w:hAnsi="Arial"/>
            <w:color w:val="2A6AB0"/>
            <w:sz w:val="21"/>
            <w:szCs w:val="21"/>
            <w:u w:val="single"/>
          </w:rPr>
          <w:t xml:space="preserve">morningscore.io</w:t>
        </w:r>
      </w:hyperlink>
      <w:r>
        <w:rPr>
          <w:rFonts w:ascii="Arial" w:cs="Arial" w:eastAsia="Arial" w:hAnsi="Arial"/>
          <w:b w:val="false"/>
          <w:bCs w:val="false"/>
          <w:color w:val="1A1A1A"/>
          <w:sz w:val="21"/>
          <w:szCs w:val="21"/>
        </w:rPr>
        <w:t xml:space="preserve">  ·  reviews: </w:t>
      </w:r>
      <w:hyperlink w:history="1" r:id="rIdq-q_rd_pdpa7jujo3q-za">
        <w:r>
          <w:rPr>
            <w:rFonts w:ascii="Arial" w:cs="Arial" w:eastAsia="Arial" w:hAnsi="Arial"/>
            <w:color w:val="2A6AB0"/>
            <w:sz w:val="21"/>
            <w:szCs w:val="21"/>
            <w:u w:val="single"/>
          </w:rPr>
          <w:t xml:space="preserve">G2</w:t>
        </w:r>
      </w:hyperlink>
      <w:r>
        <w:rPr>
          <w:rFonts w:ascii="Arial" w:cs="Arial" w:eastAsia="Arial" w:hAnsi="Arial"/>
          <w:b w:val="false"/>
          <w:bCs w:val="false"/>
          <w:color w:val="1A1A1A"/>
          <w:sz w:val="21"/>
          <w:szCs w:val="21"/>
        </w:rPr>
        <w:t xml:space="preserve">, </w:t>
      </w:r>
      <w:hyperlink w:history="1" r:id="rIdcaezo_wntjv9e5rpm-uwv">
        <w:r>
          <w:rPr>
            <w:rFonts w:ascii="Arial" w:cs="Arial" w:eastAsia="Arial" w:hAnsi="Arial"/>
            <w:color w:val="2A6AB0"/>
            <w:sz w:val="21"/>
            <w:szCs w:val="21"/>
            <w:u w:val="single"/>
          </w:rPr>
          <w:t xml:space="preserve">Capterra</w:t>
        </w:r>
      </w:hyperlink>
    </w:p>
    <w:p>
      <w:pPr>
        <w:pStyle w:val="ListParagraph"/>
        <w:numPr>
          <w:ilvl w:val="0"/>
          <w:numId w:val="2"/>
        </w:numPr>
        <w:spacing w:after="110" w:line="280"/>
      </w:pPr>
      <w:r>
        <w:rPr>
          <w:rFonts w:ascii="Arial" w:cs="Arial" w:eastAsia="Arial" w:hAnsi="Arial"/>
          <w:b w:val="false"/>
          <w:bCs w:val="false"/>
          <w:color w:val="1A1A1A"/>
          <w:sz w:val="21"/>
          <w:szCs w:val="21"/>
        </w:rPr>
        <w:t xml:space="preserve">SiteGuru — </w:t>
      </w:r>
      <w:hyperlink w:history="1" r:id="rIdot2zy5rcwhdybvzczu2yx">
        <w:r>
          <w:rPr>
            <w:rFonts w:ascii="Arial" w:cs="Arial" w:eastAsia="Arial" w:hAnsi="Arial"/>
            <w:color w:val="2A6AB0"/>
            <w:sz w:val="21"/>
            <w:szCs w:val="21"/>
            <w:u w:val="single"/>
          </w:rPr>
          <w:t xml:space="preserve">siteguru.co</w:t>
        </w:r>
      </w:hyperlink>
      <w:r>
        <w:rPr>
          <w:rFonts w:ascii="Arial" w:cs="Arial" w:eastAsia="Arial" w:hAnsi="Arial"/>
          <w:b w:val="false"/>
          <w:bCs w:val="false"/>
          <w:color w:val="1A1A1A"/>
          <w:sz w:val="21"/>
          <w:szCs w:val="21"/>
        </w:rPr>
        <w:t xml:space="preserve">  ·  reviews: </w:t>
      </w:r>
      <w:hyperlink w:history="1" r:id="rIdripcjim0oi5fhfh130seg">
        <w:r>
          <w:rPr>
            <w:rFonts w:ascii="Arial" w:cs="Arial" w:eastAsia="Arial" w:hAnsi="Arial"/>
            <w:color w:val="2A6AB0"/>
            <w:sz w:val="21"/>
            <w:szCs w:val="21"/>
            <w:u w:val="single"/>
          </w:rPr>
          <w:t xml:space="preserve">G2</w:t>
        </w:r>
      </w:hyperlink>
    </w:p>
    <w:p>
      <w:pPr>
        <w:pBdr>
          <w:top w:val="single" w:color="B07D3A" w:sz="6" w:space="1"/>
        </w:pBdr>
        <w:spacing w:after="0" w:before="360"/>
      </w:pPr>
    </w:p>
    <w:p>
      <w:pPr>
        <w:spacing w:before="150"/>
      </w:pPr>
      <w:r>
        <w:rPr>
          <w:rFonts w:ascii="Arial" w:cs="Arial" w:eastAsia="Arial" w:hAnsi="Arial"/>
          <w:color w:val="6B6B6B"/>
          <w:sz w:val="16"/>
          <w:szCs w:val="16"/>
        </w:rPr>
        <w:t xml:space="preserve">GrowthPath Analytics  ·  Confidential  ·  Market Evidence Memo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r3kv-4c_waqs6008eebu" Type="http://schemas.openxmlformats.org/officeDocument/2006/relationships/hyperlink" Target="https://www.semrush.com" TargetMode="External"/><Relationship Id="rIdehf24bqm6e8u8tlvniof0" Type="http://schemas.openxmlformats.org/officeDocument/2006/relationships/hyperlink" Target="https://www.trustpilot.com/review/semrush.com" TargetMode="External"/><Relationship Id="rIdjo8_rdbzgw6a2-vgeqaag" Type="http://schemas.openxmlformats.org/officeDocument/2006/relationships/hyperlink" Target="https://www.g2.com/products/semrush/reviews" TargetMode="External"/><Relationship Id="rIdnowgbvix7z1w5jhaekril" Type="http://schemas.openxmlformats.org/officeDocument/2006/relationships/hyperlink" Target="https://ahrefs.com" TargetMode="External"/><Relationship Id="rIdj5vvtbykftndmnjtexwgv" Type="http://schemas.openxmlformats.org/officeDocument/2006/relationships/hyperlink" Target="https://www.brightlocal.com" TargetMode="External"/><Relationship Id="rIdylnmg69ohom_6qidxpg8u" Type="http://schemas.openxmlformats.org/officeDocument/2006/relationships/hyperlink" Target="https://www.brightlocal.com/agencies/" TargetMode="External"/><Relationship Id="rIdnk1qzripphjgr4wihpx-8" Type="http://schemas.openxmlformats.org/officeDocument/2006/relationships/hyperlink" Target="https://www.localfalcon.com" TargetMode="External"/><Relationship Id="rIdlwjeocmpnjsano9feoy8g" Type="http://schemas.openxmlformats.org/officeDocument/2006/relationships/hyperlink" Target="https://morningscore.io" TargetMode="External"/><Relationship Id="rIdq-q_rd_pdpa7jujo3q-za" Type="http://schemas.openxmlformats.org/officeDocument/2006/relationships/hyperlink" Target="https://www.g2.com/products/morningscore/reviews" TargetMode="External"/><Relationship Id="rIdcaezo_wntjv9e5rpm-uwv" Type="http://schemas.openxmlformats.org/officeDocument/2006/relationships/hyperlink" Target="https://www.capterra.com/p/180731/Morningscore/" TargetMode="External"/><Relationship Id="rIdot2zy5rcwhdybvzczu2yx" Type="http://schemas.openxmlformats.org/officeDocument/2006/relationships/hyperlink" Target="https://www.siteguru.co" TargetMode="External"/><Relationship Id="rIdripcjim0oi5fhfh130seg" Type="http://schemas.openxmlformats.org/officeDocument/2006/relationships/hyperlink" Target="https://www.g2.com/products/siteguru-siteguru/reviews"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2026-06-19T15:54:45.458Z</dcterms:created>
  <dcterms:modified xsi:type="dcterms:W3CDTF">2026-06-19T15:54:45.474Z</dcterms:modified>
</cp:coreProperties>
</file>

<file path=docProps/custom.xml><?xml version="1.0" encoding="utf-8"?>
<Properties xmlns="http://schemas.openxmlformats.org/officeDocument/2006/custom-properties" xmlns:vt="http://schemas.openxmlformats.org/officeDocument/2006/docPropsVTypes"/>
</file>