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94C5F0" w14:textId="77777777" w:rsidR="00BF7FAE" w:rsidRDefault="00000000">
      <w:pPr>
        <w:spacing w:before="1200"/>
      </w:pPr>
      <w:r>
        <w:rPr>
          <w:b/>
          <w:bCs/>
          <w:color w:val="B07D3A"/>
          <w:spacing w:val="40"/>
          <w:sz w:val="20"/>
          <w:szCs w:val="20"/>
        </w:rPr>
        <w:t>GROWTHPATH ANALYTICS</w:t>
      </w:r>
    </w:p>
    <w:p w14:paraId="627A579C" w14:textId="77777777" w:rsidR="00BF7FAE" w:rsidRDefault="00000000">
      <w:pPr>
        <w:spacing w:before="240"/>
      </w:pPr>
      <w:r>
        <w:rPr>
          <w:b/>
          <w:bCs/>
          <w:sz w:val="56"/>
          <w:szCs w:val="56"/>
        </w:rPr>
        <w:t>The Market Opportunity</w:t>
      </w:r>
    </w:p>
    <w:p w14:paraId="0A7FEA32" w14:textId="77777777" w:rsidR="00BF7FAE" w:rsidRDefault="00000000">
      <w:pPr>
        <w:spacing w:before="80"/>
      </w:pPr>
      <w:r>
        <w:rPr>
          <w:color w:val="6B6B6B"/>
          <w:sz w:val="26"/>
          <w:szCs w:val="26"/>
        </w:rPr>
        <w:t>A platform overview for technical leadership</w:t>
      </w:r>
    </w:p>
    <w:p w14:paraId="68483091" w14:textId="77777777" w:rsidR="00BF7FAE" w:rsidRDefault="00BF7FAE">
      <w:pPr>
        <w:pBdr>
          <w:top w:val="single" w:sz="6" w:space="1" w:color="B07D3A"/>
        </w:pBdr>
        <w:spacing w:before="600"/>
      </w:pPr>
    </w:p>
    <w:p w14:paraId="347C118E" w14:textId="77777777" w:rsidR="00BF7FAE" w:rsidRDefault="00000000">
      <w:pPr>
        <w:spacing w:before="200"/>
      </w:pPr>
      <w:r>
        <w:rPr>
          <w:color w:val="6B6B6B"/>
          <w:sz w:val="18"/>
          <w:szCs w:val="18"/>
        </w:rPr>
        <w:t>Prepared for prospective CTO co-</w:t>
      </w:r>
      <w:proofErr w:type="gramStart"/>
      <w:r>
        <w:rPr>
          <w:color w:val="6B6B6B"/>
          <w:sz w:val="18"/>
          <w:szCs w:val="18"/>
        </w:rPr>
        <w:t>founder  ·</w:t>
      </w:r>
      <w:proofErr w:type="gramEnd"/>
      <w:r>
        <w:rPr>
          <w:color w:val="6B6B6B"/>
          <w:sz w:val="18"/>
          <w:szCs w:val="18"/>
        </w:rPr>
        <w:t xml:space="preserve">  Confidential</w:t>
      </w:r>
    </w:p>
    <w:p w14:paraId="16BA3720" w14:textId="77777777" w:rsidR="00BF7FAE" w:rsidRDefault="00000000">
      <w:pPr>
        <w:spacing w:before="40"/>
      </w:pPr>
      <w:r>
        <w:rPr>
          <w:color w:val="6B6B6B"/>
          <w:sz w:val="18"/>
          <w:szCs w:val="18"/>
        </w:rPr>
        <w:t>June 2026</w:t>
      </w:r>
    </w:p>
    <w:p w14:paraId="00E1857E" w14:textId="77777777" w:rsidR="00BF7FAE" w:rsidRDefault="00000000">
      <w:r>
        <w:br w:type="page"/>
      </w:r>
    </w:p>
    <w:p w14:paraId="66CAF575" w14:textId="77777777" w:rsidR="00BF7FAE" w:rsidRDefault="00000000">
      <w:pPr>
        <w:spacing w:before="360" w:after="80"/>
      </w:pPr>
      <w:r>
        <w:rPr>
          <w:b/>
          <w:bCs/>
          <w:color w:val="B07D3A"/>
          <w:spacing w:val="28"/>
          <w:sz w:val="16"/>
          <w:szCs w:val="16"/>
        </w:rPr>
        <w:lastRenderedPageBreak/>
        <w:t>ORIENTATION</w:t>
      </w:r>
    </w:p>
    <w:p w14:paraId="13377CAC" w14:textId="77777777" w:rsidR="00BF7FAE" w:rsidRDefault="00000000">
      <w:pPr>
        <w:spacing w:before="200" w:after="200"/>
        <w:outlineLvl w:val="0"/>
      </w:pPr>
      <w:r>
        <w:rPr>
          <w:b/>
          <w:bCs/>
          <w:sz w:val="34"/>
          <w:szCs w:val="34"/>
        </w:rPr>
        <w:t xml:space="preserve">What </w:t>
      </w:r>
      <w:proofErr w:type="spellStart"/>
      <w:r>
        <w:rPr>
          <w:b/>
          <w:bCs/>
          <w:sz w:val="34"/>
          <w:szCs w:val="34"/>
        </w:rPr>
        <w:t>GrowthPath</w:t>
      </w:r>
      <w:proofErr w:type="spellEnd"/>
      <w:r>
        <w:rPr>
          <w:b/>
          <w:bCs/>
          <w:sz w:val="34"/>
          <w:szCs w:val="34"/>
        </w:rPr>
        <w:t xml:space="preserve"> is</w:t>
      </w:r>
    </w:p>
    <w:p w14:paraId="52B69864" w14:textId="77777777" w:rsidR="00BF7FAE" w:rsidRDefault="00000000">
      <w:pPr>
        <w:spacing w:after="160" w:line="288" w:lineRule="auto"/>
      </w:pPr>
      <w:proofErr w:type="spellStart"/>
      <w:r>
        <w:t>GrowthPath</w:t>
      </w:r>
      <w:proofErr w:type="spellEnd"/>
      <w:r>
        <w:t xml:space="preserve"> is a local SEO diagnostic and competitive intelligence platform for small businesses. It runs a complete, scored diagnostic of a business's search visibility across twelve live data sources, benchmarks every signal against the business's own vertical, and produces a ranked action plan the owner can execute. </w:t>
      </w:r>
      <w:r>
        <w:rPr>
          <w:b/>
          <w:bCs/>
        </w:rPr>
        <w:t>The core design constraint is unusual: the platform is built to complete its work within twelve months, not to retain a subscriber indefinitely.</w:t>
      </w:r>
    </w:p>
    <w:p w14:paraId="4201203A" w14:textId="77777777" w:rsidR="00BF7FAE" w:rsidRDefault="00000000">
      <w:pPr>
        <w:spacing w:after="160" w:line="288" w:lineRule="auto"/>
      </w:pPr>
      <w:r>
        <w:t>That single decision shapes the product, the economics, and the position in the market. It is worth understanding before anything else, because most of what follows is a consequence of it.</w:t>
      </w:r>
    </w:p>
    <w:p w14:paraId="403E1A20" w14:textId="77777777" w:rsidR="00BF7FAE" w:rsidRDefault="00000000">
      <w:pPr>
        <w:spacing w:after="160" w:line="288" w:lineRule="auto"/>
      </w:pPr>
      <w:r>
        <w:t xml:space="preserve">The diagnostic measures two pillars. </w:t>
      </w:r>
      <w:r>
        <w:rPr>
          <w:b/>
          <w:bCs/>
        </w:rPr>
        <w:t>Pillar 1 (Search Visibility)</w:t>
      </w:r>
      <w:r>
        <w:t xml:space="preserve"> covers the signals that determine whether a business appears in Google's local results — Map Pack and Local Finder ranking, Google Business Profile strength, on-page relevance, and domain authority. </w:t>
      </w:r>
      <w:r>
        <w:rPr>
          <w:b/>
          <w:bCs/>
        </w:rPr>
        <w:t>Pillar 2 (Website &amp; Conversion)</w:t>
      </w:r>
      <w:r>
        <w:t xml:space="preserve"> covers what happens once a searcher arrives — site performance, conversion infrastructure, and mobile readiness. A business can be highly visible and still fail to </w:t>
      </w:r>
      <w:proofErr w:type="gramStart"/>
      <w:r>
        <w:t>convert, or</w:t>
      </w:r>
      <w:proofErr w:type="gramEnd"/>
      <w:r>
        <w:t xml:space="preserve"> convert well and remain invisible. Measuring both is what makes the diagnosis actionable rather than partial.</w:t>
      </w:r>
    </w:p>
    <w:p w14:paraId="297D1B49" w14:textId="77777777" w:rsidR="00BF7FAE" w:rsidRDefault="00000000">
      <w:pPr>
        <w:spacing w:before="360" w:after="80"/>
      </w:pPr>
      <w:r>
        <w:rPr>
          <w:b/>
          <w:bCs/>
          <w:color w:val="B07D3A"/>
          <w:spacing w:val="28"/>
          <w:sz w:val="16"/>
          <w:szCs w:val="16"/>
        </w:rPr>
        <w:t>THE MARKET</w:t>
      </w:r>
    </w:p>
    <w:p w14:paraId="3F8C9B4F" w14:textId="77777777" w:rsidR="00BF7FAE" w:rsidRDefault="00000000">
      <w:pPr>
        <w:spacing w:before="200" w:after="200"/>
        <w:outlineLvl w:val="0"/>
      </w:pPr>
      <w:r>
        <w:rPr>
          <w:b/>
          <w:bCs/>
          <w:sz w:val="34"/>
          <w:szCs w:val="34"/>
        </w:rPr>
        <w:t>Where the opportunity sits</w:t>
      </w:r>
    </w:p>
    <w:p w14:paraId="102EECBC" w14:textId="77777777" w:rsidR="00BF7FAE" w:rsidRDefault="00000000">
      <w:pPr>
        <w:spacing w:after="160" w:line="288" w:lineRule="auto"/>
      </w:pPr>
      <w:r>
        <w:t>There are roughly 33 million small businesses in the United States. The overwhelming majority have a Google Business Profile, a website, and no data-driven understanding of which of the two is failing them, or why. The agency market that serves them is a $65 billion industry built predominantly on monthly retainers rather than measured outcomes.</w:t>
      </w:r>
    </w:p>
    <w:p w14:paraId="733CA343" w14:textId="77777777" w:rsidR="00BF7FAE" w:rsidRDefault="00000000">
      <w:pPr>
        <w:spacing w:after="160" w:line="288" w:lineRule="auto"/>
      </w:pPr>
      <w:proofErr w:type="spellStart"/>
      <w:r>
        <w:t>GrowthPath's</w:t>
      </w:r>
      <w:proofErr w:type="spellEnd"/>
      <w:r>
        <w:t xml:space="preserve"> addressable market is not a slice of that $65 billion. It is the population of businesses currently </w:t>
      </w:r>
      <w:r>
        <w:rPr>
          <w:b/>
          <w:bCs/>
        </w:rPr>
        <w:t>underserved or unserved</w:t>
      </w:r>
      <w:r>
        <w:t xml:space="preserve"> by it — the operators for whom a $1,500–$3,000/month retainer is not a rational expense, but who still need to know why their Map Pack ranking dropped, why a website redesign produced no new calls, or why they are invisible in Google Maps from three miles away.</w:t>
      </w:r>
    </w:p>
    <w:p w14:paraId="78503FAA" w14:textId="77777777" w:rsidR="00BF7FAE" w:rsidRDefault="00000000">
      <w:pPr>
        <w:spacing w:after="160" w:line="288" w:lineRule="auto"/>
      </w:pPr>
      <w:r>
        <w:t xml:space="preserve">This is not an edge segment. It is the modal small business in America: the single-location </w:t>
      </w:r>
      <w:proofErr w:type="spellStart"/>
      <w:r>
        <w:t>medspa</w:t>
      </w:r>
      <w:proofErr w:type="spellEnd"/>
      <w:r>
        <w:t>, the independent roofer, the neighborhood restaurant, the owner-operated gym. The market is large because the gap is structural, not because any single competitor is failing.</w:t>
      </w:r>
    </w:p>
    <w:p w14:paraId="39A76667" w14:textId="77777777" w:rsidR="00BF7FAE" w:rsidRDefault="00000000">
      <w:pPr>
        <w:spacing w:before="320" w:after="120"/>
        <w:outlineLvl w:val="1"/>
      </w:pPr>
      <w:r>
        <w:rPr>
          <w:b/>
          <w:bCs/>
          <w:sz w:val="26"/>
          <w:szCs w:val="26"/>
        </w:rPr>
        <w:t>The gap between 'nothing' and 'real agency'</w:t>
      </w:r>
    </w:p>
    <w:p w14:paraId="66104AD1" w14:textId="77777777" w:rsidR="00BF7FAE" w:rsidRDefault="00000000">
      <w:pPr>
        <w:spacing w:after="160" w:line="288" w:lineRule="auto"/>
      </w:pPr>
      <w:r>
        <w:t>The price ladder for local SEO has a hole in the middle. At the top, credible agencies start around $1,500–$3,000/month on annual contracts. At the bottom, the sub-$500/month tier is largely lead-resellers and offshore content. Between those two sits a wide band of businesses that want rigor and clarity but cannot justify a retainer — and there is little built specifically for them.</w:t>
      </w:r>
    </w:p>
    <w:p w14:paraId="1A13261E" w14:textId="77777777" w:rsidR="00BF7FAE" w:rsidRDefault="00000000">
      <w:pPr>
        <w:spacing w:after="160" w:line="288" w:lineRule="auto"/>
      </w:pPr>
      <w:proofErr w:type="spellStart"/>
      <w:r>
        <w:rPr>
          <w:b/>
          <w:bCs/>
        </w:rPr>
        <w:lastRenderedPageBreak/>
        <w:t>GrowthPath</w:t>
      </w:r>
      <w:proofErr w:type="spellEnd"/>
      <w:r>
        <w:rPr>
          <w:b/>
          <w:bCs/>
        </w:rPr>
        <w:t xml:space="preserve"> occupies that band deliberately. It is not positioned as a cheaper agency, and it is not a self-serve tool for marketers. It is a diagnostic layer that did not previously exist at this price point.</w:t>
      </w:r>
    </w:p>
    <w:p w14:paraId="6BAA1FD7" w14:textId="77777777" w:rsidR="00BF7FAE" w:rsidRDefault="00000000">
      <w:pPr>
        <w:spacing w:before="360" w:after="80"/>
      </w:pPr>
      <w:r>
        <w:rPr>
          <w:b/>
          <w:bCs/>
          <w:color w:val="B07D3A"/>
          <w:spacing w:val="28"/>
          <w:sz w:val="16"/>
          <w:szCs w:val="16"/>
        </w:rPr>
        <w:t>COMPETITIVE LANDSCAPE</w:t>
      </w:r>
    </w:p>
    <w:p w14:paraId="78947E3A" w14:textId="77777777" w:rsidR="00BF7FAE" w:rsidRDefault="00000000">
      <w:pPr>
        <w:spacing w:before="200" w:after="200"/>
        <w:outlineLvl w:val="0"/>
      </w:pPr>
      <w:r>
        <w:rPr>
          <w:b/>
          <w:bCs/>
          <w:sz w:val="34"/>
          <w:szCs w:val="34"/>
        </w:rPr>
        <w:t>What exists today, and why it doesn't close the gap</w:t>
      </w:r>
    </w:p>
    <w:p w14:paraId="73BB7253" w14:textId="77777777" w:rsidR="00BF7FAE" w:rsidRDefault="00000000">
      <w:pPr>
        <w:spacing w:after="160" w:line="288" w:lineRule="auto"/>
      </w:pPr>
      <w:r>
        <w:t>The incumbents are real tools with real users. The point below is not that they are weak — it is that their structural constraints keep them from serving this specific buyer.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5560"/>
      </w:tblGrid>
      <w:tr w:rsidR="00BF7FAE" w14:paraId="613BEC74" w14:textId="77777777">
        <w:tblPrEx>
          <w:tblCellMar>
            <w:top w:w="0" w:type="dxa"/>
            <w:bottom w:w="0" w:type="dxa"/>
          </w:tblCellMar>
        </w:tblPrEx>
        <w:trPr>
          <w:tblHeader/>
        </w:trPr>
        <w:tc>
          <w:tcPr>
            <w:tcW w:w="2300" w:type="dxa"/>
            <w:tcBorders>
              <w:top w:val="single" w:sz="1" w:space="0" w:color="D8D4CC"/>
              <w:left w:val="single" w:sz="1" w:space="0" w:color="D8D4CC"/>
              <w:bottom w:val="single" w:sz="1" w:space="0" w:color="D8D4CC"/>
              <w:right w:val="single" w:sz="1" w:space="0" w:color="D8D4CC"/>
            </w:tcBorders>
            <w:shd w:val="clear" w:color="auto" w:fill="FAF3E6"/>
            <w:tcMar>
              <w:top w:w="90" w:type="dxa"/>
              <w:left w:w="130" w:type="dxa"/>
              <w:bottom w:w="90" w:type="dxa"/>
              <w:right w:w="130" w:type="dxa"/>
            </w:tcMar>
          </w:tcPr>
          <w:p w14:paraId="791DD2B5" w14:textId="77777777" w:rsidR="00BF7FAE" w:rsidRDefault="00000000">
            <w:r>
              <w:rPr>
                <w:b/>
                <w:bCs/>
                <w:sz w:val="19"/>
                <w:szCs w:val="19"/>
              </w:rPr>
              <w:t>Tool</w:t>
            </w:r>
          </w:p>
        </w:tc>
        <w:tc>
          <w:tcPr>
            <w:tcW w:w="1500" w:type="dxa"/>
            <w:tcBorders>
              <w:top w:val="single" w:sz="1" w:space="0" w:color="D8D4CC"/>
              <w:left w:val="single" w:sz="1" w:space="0" w:color="D8D4CC"/>
              <w:bottom w:val="single" w:sz="1" w:space="0" w:color="D8D4CC"/>
              <w:right w:val="single" w:sz="1" w:space="0" w:color="D8D4CC"/>
            </w:tcBorders>
            <w:shd w:val="clear" w:color="auto" w:fill="FAF3E6"/>
            <w:tcMar>
              <w:top w:w="90" w:type="dxa"/>
              <w:left w:w="130" w:type="dxa"/>
              <w:bottom w:w="90" w:type="dxa"/>
              <w:right w:w="130" w:type="dxa"/>
            </w:tcMar>
          </w:tcPr>
          <w:p w14:paraId="08297400" w14:textId="77777777" w:rsidR="00BF7FAE" w:rsidRDefault="00000000">
            <w:r>
              <w:rPr>
                <w:b/>
                <w:bCs/>
                <w:sz w:val="19"/>
                <w:szCs w:val="19"/>
              </w:rPr>
              <w:t>Price</w:t>
            </w:r>
          </w:p>
        </w:tc>
        <w:tc>
          <w:tcPr>
            <w:tcW w:w="5560" w:type="dxa"/>
            <w:tcBorders>
              <w:top w:val="single" w:sz="1" w:space="0" w:color="D8D4CC"/>
              <w:left w:val="single" w:sz="1" w:space="0" w:color="D8D4CC"/>
              <w:bottom w:val="single" w:sz="1" w:space="0" w:color="D8D4CC"/>
              <w:right w:val="single" w:sz="1" w:space="0" w:color="D8D4CC"/>
            </w:tcBorders>
            <w:shd w:val="clear" w:color="auto" w:fill="FAF3E6"/>
            <w:tcMar>
              <w:top w:w="90" w:type="dxa"/>
              <w:left w:w="130" w:type="dxa"/>
              <w:bottom w:w="90" w:type="dxa"/>
              <w:right w:w="130" w:type="dxa"/>
            </w:tcMar>
          </w:tcPr>
          <w:p w14:paraId="3953DC6C" w14:textId="77777777" w:rsidR="00BF7FAE" w:rsidRDefault="00000000">
            <w:r>
              <w:rPr>
                <w:b/>
                <w:bCs/>
                <w:sz w:val="19"/>
                <w:szCs w:val="19"/>
              </w:rPr>
              <w:t>Built for / structural limit</w:t>
            </w:r>
          </w:p>
        </w:tc>
      </w:tr>
      <w:tr w:rsidR="00BF7FAE" w14:paraId="1B8148C7" w14:textId="77777777">
        <w:tblPrEx>
          <w:tblCellMar>
            <w:top w:w="0" w:type="dxa"/>
            <w:bottom w:w="0" w:type="dxa"/>
          </w:tblCellMar>
        </w:tblPrEx>
        <w:tc>
          <w:tcPr>
            <w:tcW w:w="2300" w:type="dxa"/>
            <w:tcBorders>
              <w:top w:val="single" w:sz="1" w:space="0" w:color="D8D4CC"/>
              <w:left w:val="single" w:sz="1" w:space="0" w:color="D8D4CC"/>
              <w:bottom w:val="single" w:sz="1" w:space="0" w:color="D8D4CC"/>
              <w:right w:val="single" w:sz="1" w:space="0" w:color="D8D4CC"/>
            </w:tcBorders>
            <w:tcMar>
              <w:top w:w="90" w:type="dxa"/>
              <w:left w:w="130" w:type="dxa"/>
              <w:bottom w:w="90" w:type="dxa"/>
              <w:right w:w="130" w:type="dxa"/>
            </w:tcMar>
          </w:tcPr>
          <w:p w14:paraId="52EB1A72" w14:textId="77777777" w:rsidR="00BF7FAE" w:rsidRDefault="00000000">
            <w:proofErr w:type="spellStart"/>
            <w:r>
              <w:rPr>
                <w:sz w:val="19"/>
                <w:szCs w:val="19"/>
              </w:rPr>
              <w:t>Semrush</w:t>
            </w:r>
            <w:proofErr w:type="spellEnd"/>
          </w:p>
        </w:tc>
        <w:tc>
          <w:tcPr>
            <w:tcW w:w="1500" w:type="dxa"/>
            <w:tcBorders>
              <w:top w:val="single" w:sz="1" w:space="0" w:color="D8D4CC"/>
              <w:left w:val="single" w:sz="1" w:space="0" w:color="D8D4CC"/>
              <w:bottom w:val="single" w:sz="1" w:space="0" w:color="D8D4CC"/>
              <w:right w:val="single" w:sz="1" w:space="0" w:color="D8D4CC"/>
            </w:tcBorders>
            <w:tcMar>
              <w:top w:w="90" w:type="dxa"/>
              <w:left w:w="130" w:type="dxa"/>
              <w:bottom w:w="90" w:type="dxa"/>
              <w:right w:w="130" w:type="dxa"/>
            </w:tcMar>
          </w:tcPr>
          <w:p w14:paraId="20626E5E" w14:textId="77777777" w:rsidR="00BF7FAE" w:rsidRDefault="00000000">
            <w:r>
              <w:rPr>
                <w:sz w:val="19"/>
                <w:szCs w:val="19"/>
              </w:rPr>
              <w:t>$130–450/</w:t>
            </w:r>
            <w:proofErr w:type="spellStart"/>
            <w:r>
              <w:rPr>
                <w:sz w:val="19"/>
                <w:szCs w:val="19"/>
              </w:rPr>
              <w:t>mo</w:t>
            </w:r>
            <w:proofErr w:type="spellEnd"/>
          </w:p>
        </w:tc>
        <w:tc>
          <w:tcPr>
            <w:tcW w:w="5560" w:type="dxa"/>
            <w:tcBorders>
              <w:top w:val="single" w:sz="1" w:space="0" w:color="D8D4CC"/>
              <w:left w:val="single" w:sz="1" w:space="0" w:color="D8D4CC"/>
              <w:bottom w:val="single" w:sz="1" w:space="0" w:color="D8D4CC"/>
              <w:right w:val="single" w:sz="1" w:space="0" w:color="D8D4CC"/>
            </w:tcBorders>
            <w:tcMar>
              <w:top w:w="90" w:type="dxa"/>
              <w:left w:w="130" w:type="dxa"/>
              <w:bottom w:w="90" w:type="dxa"/>
              <w:right w:w="130" w:type="dxa"/>
            </w:tcMar>
          </w:tcPr>
          <w:p w14:paraId="7B30D5A6" w14:textId="77777777" w:rsidR="00BF7FAE" w:rsidRDefault="00000000">
            <w:r>
              <w:rPr>
                <w:sz w:val="19"/>
                <w:szCs w:val="19"/>
              </w:rPr>
              <w:t>Built for SEO practitioners. Data density and interface assume the user already understands SEO. Simplifying for owners would mean rebuilding the core product.</w:t>
            </w:r>
          </w:p>
        </w:tc>
      </w:tr>
      <w:tr w:rsidR="00BF7FAE" w14:paraId="3A67B2A0" w14:textId="77777777">
        <w:tblPrEx>
          <w:tblCellMar>
            <w:top w:w="0" w:type="dxa"/>
            <w:bottom w:w="0" w:type="dxa"/>
          </w:tblCellMar>
        </w:tblPrEx>
        <w:tc>
          <w:tcPr>
            <w:tcW w:w="2300" w:type="dxa"/>
            <w:tcBorders>
              <w:top w:val="single" w:sz="1" w:space="0" w:color="D8D4CC"/>
              <w:left w:val="single" w:sz="1" w:space="0" w:color="D8D4CC"/>
              <w:bottom w:val="single" w:sz="1" w:space="0" w:color="D8D4CC"/>
              <w:right w:val="single" w:sz="1" w:space="0" w:color="D8D4CC"/>
            </w:tcBorders>
            <w:shd w:val="clear" w:color="auto" w:fill="F5F4F1"/>
            <w:tcMar>
              <w:top w:w="90" w:type="dxa"/>
              <w:left w:w="130" w:type="dxa"/>
              <w:bottom w:w="90" w:type="dxa"/>
              <w:right w:w="130" w:type="dxa"/>
            </w:tcMar>
          </w:tcPr>
          <w:p w14:paraId="49D1BD5B" w14:textId="77777777" w:rsidR="00BF7FAE" w:rsidRDefault="00000000">
            <w:proofErr w:type="spellStart"/>
            <w:r>
              <w:rPr>
                <w:sz w:val="19"/>
                <w:szCs w:val="19"/>
              </w:rPr>
              <w:t>BrightLocal</w:t>
            </w:r>
            <w:proofErr w:type="spellEnd"/>
          </w:p>
        </w:tc>
        <w:tc>
          <w:tcPr>
            <w:tcW w:w="1500" w:type="dxa"/>
            <w:tcBorders>
              <w:top w:val="single" w:sz="1" w:space="0" w:color="D8D4CC"/>
              <w:left w:val="single" w:sz="1" w:space="0" w:color="D8D4CC"/>
              <w:bottom w:val="single" w:sz="1" w:space="0" w:color="D8D4CC"/>
              <w:right w:val="single" w:sz="1" w:space="0" w:color="D8D4CC"/>
            </w:tcBorders>
            <w:shd w:val="clear" w:color="auto" w:fill="F5F4F1"/>
            <w:tcMar>
              <w:top w:w="90" w:type="dxa"/>
              <w:left w:w="130" w:type="dxa"/>
              <w:bottom w:w="90" w:type="dxa"/>
              <w:right w:w="130" w:type="dxa"/>
            </w:tcMar>
          </w:tcPr>
          <w:p w14:paraId="0E5A1558" w14:textId="77777777" w:rsidR="00BF7FAE" w:rsidRDefault="00000000">
            <w:r>
              <w:rPr>
                <w:sz w:val="19"/>
                <w:szCs w:val="19"/>
              </w:rPr>
              <w:t>~$40+/</w:t>
            </w:r>
            <w:proofErr w:type="spellStart"/>
            <w:r>
              <w:rPr>
                <w:sz w:val="19"/>
                <w:szCs w:val="19"/>
              </w:rPr>
              <w:t>mo</w:t>
            </w:r>
            <w:proofErr w:type="spellEnd"/>
          </w:p>
        </w:tc>
        <w:tc>
          <w:tcPr>
            <w:tcW w:w="5560" w:type="dxa"/>
            <w:tcBorders>
              <w:top w:val="single" w:sz="1" w:space="0" w:color="D8D4CC"/>
              <w:left w:val="single" w:sz="1" w:space="0" w:color="D8D4CC"/>
              <w:bottom w:val="single" w:sz="1" w:space="0" w:color="D8D4CC"/>
              <w:right w:val="single" w:sz="1" w:space="0" w:color="D8D4CC"/>
            </w:tcBorders>
            <w:shd w:val="clear" w:color="auto" w:fill="F5F4F1"/>
            <w:tcMar>
              <w:top w:w="90" w:type="dxa"/>
              <w:left w:w="130" w:type="dxa"/>
              <w:bottom w:w="90" w:type="dxa"/>
              <w:right w:w="130" w:type="dxa"/>
            </w:tcMar>
          </w:tcPr>
          <w:p w14:paraId="30F176CF" w14:textId="77777777" w:rsidR="00BF7FAE" w:rsidRDefault="00000000">
            <w:r>
              <w:rPr>
                <w:sz w:val="19"/>
                <w:szCs w:val="19"/>
              </w:rPr>
              <w:t>Rank and citation monitoring. Shallow diagnostic depth; no scored two-pillar assessment, no sequenced action plan.</w:t>
            </w:r>
          </w:p>
        </w:tc>
      </w:tr>
      <w:tr w:rsidR="00BF7FAE" w14:paraId="08FFB993" w14:textId="77777777">
        <w:tblPrEx>
          <w:tblCellMar>
            <w:top w:w="0" w:type="dxa"/>
            <w:bottom w:w="0" w:type="dxa"/>
          </w:tblCellMar>
        </w:tblPrEx>
        <w:tc>
          <w:tcPr>
            <w:tcW w:w="2300" w:type="dxa"/>
            <w:tcBorders>
              <w:top w:val="single" w:sz="1" w:space="0" w:color="D8D4CC"/>
              <w:left w:val="single" w:sz="1" w:space="0" w:color="D8D4CC"/>
              <w:bottom w:val="single" w:sz="1" w:space="0" w:color="D8D4CC"/>
              <w:right w:val="single" w:sz="1" w:space="0" w:color="D8D4CC"/>
            </w:tcBorders>
            <w:tcMar>
              <w:top w:w="90" w:type="dxa"/>
              <w:left w:w="130" w:type="dxa"/>
              <w:bottom w:w="90" w:type="dxa"/>
              <w:right w:w="130" w:type="dxa"/>
            </w:tcMar>
          </w:tcPr>
          <w:p w14:paraId="373C6C48" w14:textId="77777777" w:rsidR="00BF7FAE" w:rsidRDefault="00000000">
            <w:proofErr w:type="spellStart"/>
            <w:r>
              <w:rPr>
                <w:sz w:val="19"/>
                <w:szCs w:val="19"/>
              </w:rPr>
              <w:t>LocalFalcon</w:t>
            </w:r>
            <w:proofErr w:type="spellEnd"/>
          </w:p>
        </w:tc>
        <w:tc>
          <w:tcPr>
            <w:tcW w:w="1500" w:type="dxa"/>
            <w:tcBorders>
              <w:top w:val="single" w:sz="1" w:space="0" w:color="D8D4CC"/>
              <w:left w:val="single" w:sz="1" w:space="0" w:color="D8D4CC"/>
              <w:bottom w:val="single" w:sz="1" w:space="0" w:color="D8D4CC"/>
              <w:right w:val="single" w:sz="1" w:space="0" w:color="D8D4CC"/>
            </w:tcBorders>
            <w:tcMar>
              <w:top w:w="90" w:type="dxa"/>
              <w:left w:w="130" w:type="dxa"/>
              <w:bottom w:w="90" w:type="dxa"/>
              <w:right w:w="130" w:type="dxa"/>
            </w:tcMar>
          </w:tcPr>
          <w:p w14:paraId="2412DCED" w14:textId="77777777" w:rsidR="00BF7FAE" w:rsidRDefault="00000000">
            <w:r>
              <w:rPr>
                <w:sz w:val="19"/>
                <w:szCs w:val="19"/>
              </w:rPr>
              <w:t>$50+/</w:t>
            </w:r>
            <w:proofErr w:type="spellStart"/>
            <w:r>
              <w:rPr>
                <w:sz w:val="19"/>
                <w:szCs w:val="19"/>
              </w:rPr>
              <w:t>mo</w:t>
            </w:r>
            <w:proofErr w:type="spellEnd"/>
          </w:p>
        </w:tc>
        <w:tc>
          <w:tcPr>
            <w:tcW w:w="5560" w:type="dxa"/>
            <w:tcBorders>
              <w:top w:val="single" w:sz="1" w:space="0" w:color="D8D4CC"/>
              <w:left w:val="single" w:sz="1" w:space="0" w:color="D8D4CC"/>
              <w:bottom w:val="single" w:sz="1" w:space="0" w:color="D8D4CC"/>
              <w:right w:val="single" w:sz="1" w:space="0" w:color="D8D4CC"/>
            </w:tcBorders>
            <w:tcMar>
              <w:top w:w="90" w:type="dxa"/>
              <w:left w:w="130" w:type="dxa"/>
              <w:bottom w:w="90" w:type="dxa"/>
              <w:right w:w="130" w:type="dxa"/>
            </w:tcMar>
          </w:tcPr>
          <w:p w14:paraId="02B2309D" w14:textId="77777777" w:rsidR="00BF7FAE" w:rsidRDefault="00000000">
            <w:r>
              <w:rPr>
                <w:sz w:val="19"/>
                <w:szCs w:val="19"/>
              </w:rPr>
              <w:t>Grid-based rank tracking only. Strong at one thing — street-level rank grids — but not a full diagnostic or conversion assessment.</w:t>
            </w:r>
          </w:p>
        </w:tc>
      </w:tr>
      <w:tr w:rsidR="00BF7FAE" w14:paraId="15796D10" w14:textId="77777777">
        <w:tblPrEx>
          <w:tblCellMar>
            <w:top w:w="0" w:type="dxa"/>
            <w:bottom w:w="0" w:type="dxa"/>
          </w:tblCellMar>
        </w:tblPrEx>
        <w:tc>
          <w:tcPr>
            <w:tcW w:w="2300" w:type="dxa"/>
            <w:tcBorders>
              <w:top w:val="single" w:sz="1" w:space="0" w:color="D8D4CC"/>
              <w:left w:val="single" w:sz="1" w:space="0" w:color="D8D4CC"/>
              <w:bottom w:val="single" w:sz="1" w:space="0" w:color="D8D4CC"/>
              <w:right w:val="single" w:sz="1" w:space="0" w:color="D8D4CC"/>
            </w:tcBorders>
            <w:shd w:val="clear" w:color="auto" w:fill="F5F4F1"/>
            <w:tcMar>
              <w:top w:w="90" w:type="dxa"/>
              <w:left w:w="130" w:type="dxa"/>
              <w:bottom w:w="90" w:type="dxa"/>
              <w:right w:w="130" w:type="dxa"/>
            </w:tcMar>
          </w:tcPr>
          <w:p w14:paraId="557EFB45" w14:textId="77777777" w:rsidR="00BF7FAE" w:rsidRDefault="00000000">
            <w:proofErr w:type="spellStart"/>
            <w:r>
              <w:rPr>
                <w:sz w:val="19"/>
                <w:szCs w:val="19"/>
              </w:rPr>
              <w:t>Whitespark</w:t>
            </w:r>
            <w:proofErr w:type="spellEnd"/>
          </w:p>
        </w:tc>
        <w:tc>
          <w:tcPr>
            <w:tcW w:w="1500" w:type="dxa"/>
            <w:tcBorders>
              <w:top w:val="single" w:sz="1" w:space="0" w:color="D8D4CC"/>
              <w:left w:val="single" w:sz="1" w:space="0" w:color="D8D4CC"/>
              <w:bottom w:val="single" w:sz="1" w:space="0" w:color="D8D4CC"/>
              <w:right w:val="single" w:sz="1" w:space="0" w:color="D8D4CC"/>
            </w:tcBorders>
            <w:shd w:val="clear" w:color="auto" w:fill="F5F4F1"/>
            <w:tcMar>
              <w:top w:w="90" w:type="dxa"/>
              <w:left w:w="130" w:type="dxa"/>
              <w:bottom w:w="90" w:type="dxa"/>
              <w:right w:w="130" w:type="dxa"/>
            </w:tcMar>
          </w:tcPr>
          <w:p w14:paraId="037A5FC0" w14:textId="77777777" w:rsidR="00BF7FAE" w:rsidRDefault="00000000">
            <w:r>
              <w:rPr>
                <w:sz w:val="19"/>
                <w:szCs w:val="19"/>
              </w:rPr>
              <w:t>subscription</w:t>
            </w:r>
          </w:p>
        </w:tc>
        <w:tc>
          <w:tcPr>
            <w:tcW w:w="5560" w:type="dxa"/>
            <w:tcBorders>
              <w:top w:val="single" w:sz="1" w:space="0" w:color="D8D4CC"/>
              <w:left w:val="single" w:sz="1" w:space="0" w:color="D8D4CC"/>
              <w:bottom w:val="single" w:sz="1" w:space="0" w:color="D8D4CC"/>
              <w:right w:val="single" w:sz="1" w:space="0" w:color="D8D4CC"/>
            </w:tcBorders>
            <w:shd w:val="clear" w:color="auto" w:fill="F5F4F1"/>
            <w:tcMar>
              <w:top w:w="90" w:type="dxa"/>
              <w:left w:w="130" w:type="dxa"/>
              <w:bottom w:w="90" w:type="dxa"/>
              <w:right w:w="130" w:type="dxa"/>
            </w:tcMar>
          </w:tcPr>
          <w:p w14:paraId="08B7FD34" w14:textId="77777777" w:rsidR="00BF7FAE" w:rsidRDefault="00000000">
            <w:r>
              <w:rPr>
                <w:sz w:val="19"/>
                <w:szCs w:val="19"/>
              </w:rPr>
              <w:t>Citation building. A fulfillment tool, not a diagnostic. Revenue model is tied to ongoing agency relationships.</w:t>
            </w:r>
          </w:p>
        </w:tc>
      </w:tr>
      <w:tr w:rsidR="00BF7FAE" w14:paraId="638B545A" w14:textId="77777777">
        <w:tblPrEx>
          <w:tblCellMar>
            <w:top w:w="0" w:type="dxa"/>
            <w:bottom w:w="0" w:type="dxa"/>
          </w:tblCellMar>
        </w:tblPrEx>
        <w:tc>
          <w:tcPr>
            <w:tcW w:w="2300" w:type="dxa"/>
            <w:tcBorders>
              <w:top w:val="single" w:sz="1" w:space="0" w:color="D8D4CC"/>
              <w:left w:val="single" w:sz="1" w:space="0" w:color="D8D4CC"/>
              <w:bottom w:val="single" w:sz="1" w:space="0" w:color="D8D4CC"/>
              <w:right w:val="single" w:sz="1" w:space="0" w:color="D8D4CC"/>
            </w:tcBorders>
            <w:tcMar>
              <w:top w:w="90" w:type="dxa"/>
              <w:left w:w="130" w:type="dxa"/>
              <w:bottom w:w="90" w:type="dxa"/>
              <w:right w:w="130" w:type="dxa"/>
            </w:tcMar>
          </w:tcPr>
          <w:p w14:paraId="6E59C8FD" w14:textId="77777777" w:rsidR="00BF7FAE" w:rsidRDefault="00000000">
            <w:r>
              <w:rPr>
                <w:sz w:val="19"/>
                <w:szCs w:val="19"/>
              </w:rPr>
              <w:t>Full-service agency</w:t>
            </w:r>
          </w:p>
        </w:tc>
        <w:tc>
          <w:tcPr>
            <w:tcW w:w="1500" w:type="dxa"/>
            <w:tcBorders>
              <w:top w:val="single" w:sz="1" w:space="0" w:color="D8D4CC"/>
              <w:left w:val="single" w:sz="1" w:space="0" w:color="D8D4CC"/>
              <w:bottom w:val="single" w:sz="1" w:space="0" w:color="D8D4CC"/>
              <w:right w:val="single" w:sz="1" w:space="0" w:color="D8D4CC"/>
            </w:tcBorders>
            <w:tcMar>
              <w:top w:w="90" w:type="dxa"/>
              <w:left w:w="130" w:type="dxa"/>
              <w:bottom w:w="90" w:type="dxa"/>
              <w:right w:w="130" w:type="dxa"/>
            </w:tcMar>
          </w:tcPr>
          <w:p w14:paraId="05808B5F" w14:textId="77777777" w:rsidR="00BF7FAE" w:rsidRDefault="00000000">
            <w:r>
              <w:rPr>
                <w:sz w:val="19"/>
                <w:szCs w:val="19"/>
              </w:rPr>
              <w:t>$1.5–5K/</w:t>
            </w:r>
            <w:proofErr w:type="spellStart"/>
            <w:r>
              <w:rPr>
                <w:sz w:val="19"/>
                <w:szCs w:val="19"/>
              </w:rPr>
              <w:t>mo</w:t>
            </w:r>
            <w:proofErr w:type="spellEnd"/>
          </w:p>
        </w:tc>
        <w:tc>
          <w:tcPr>
            <w:tcW w:w="5560" w:type="dxa"/>
            <w:tcBorders>
              <w:top w:val="single" w:sz="1" w:space="0" w:color="D8D4CC"/>
              <w:left w:val="single" w:sz="1" w:space="0" w:color="D8D4CC"/>
              <w:bottom w:val="single" w:sz="1" w:space="0" w:color="D8D4CC"/>
              <w:right w:val="single" w:sz="1" w:space="0" w:color="D8D4CC"/>
            </w:tcBorders>
            <w:tcMar>
              <w:top w:w="90" w:type="dxa"/>
              <w:left w:w="130" w:type="dxa"/>
              <w:bottom w:w="90" w:type="dxa"/>
              <w:right w:w="130" w:type="dxa"/>
            </w:tcMar>
          </w:tcPr>
          <w:p w14:paraId="2F6F7FEC" w14:textId="77777777" w:rsidR="00BF7FAE" w:rsidRDefault="00000000">
            <w:r>
              <w:rPr>
                <w:sz w:val="19"/>
                <w:szCs w:val="19"/>
              </w:rPr>
              <w:t>Solves the execution problem, but at a price and contract structure most of the target market cannot accept. No incentive to make a business self-sufficient.</w:t>
            </w:r>
          </w:p>
        </w:tc>
      </w:tr>
    </w:tbl>
    <w:p w14:paraId="732FF5CE" w14:textId="77777777" w:rsidR="00BF7FAE" w:rsidRDefault="00BF7FAE">
      <w:pPr>
        <w:spacing w:after="120"/>
      </w:pPr>
    </w:p>
    <w:p w14:paraId="11F5DC5F" w14:textId="77777777" w:rsidR="00BF7FAE" w:rsidRDefault="00000000">
      <w:pPr>
        <w:spacing w:after="160" w:line="288" w:lineRule="auto"/>
      </w:pPr>
      <w:r>
        <w:t xml:space="preserve">Two constraints recur across the incumbents. First, </w:t>
      </w:r>
      <w:r>
        <w:rPr>
          <w:b/>
          <w:bCs/>
        </w:rPr>
        <w:t>they are built for practitioners</w:t>
      </w:r>
      <w:r>
        <w:t xml:space="preserve">, so their output assumes expertise the owner doesn't have. Second, </w:t>
      </w:r>
      <w:r>
        <w:rPr>
          <w:b/>
          <w:bCs/>
        </w:rPr>
        <w:t>their revenue models create conflicting incentives</w:t>
      </w:r>
      <w:r>
        <w:t xml:space="preserve"> — a tool sold to agencies to manage client relationships has no reason to make a business owner self-sufficient. </w:t>
      </w:r>
      <w:proofErr w:type="spellStart"/>
      <w:r>
        <w:t>GrowthPath</w:t>
      </w:r>
      <w:proofErr w:type="spellEnd"/>
      <w:r>
        <w:t xml:space="preserve"> has neither constraint, which is the opening.</w:t>
      </w:r>
    </w:p>
    <w:p w14:paraId="2013D7A5" w14:textId="77777777" w:rsidR="00BF7FAE" w:rsidRDefault="00000000">
      <w:r>
        <w:br w:type="page"/>
      </w:r>
    </w:p>
    <w:p w14:paraId="34449215" w14:textId="77777777" w:rsidR="00BF7FAE" w:rsidRDefault="00000000">
      <w:pPr>
        <w:spacing w:before="360" w:after="80"/>
      </w:pPr>
      <w:r>
        <w:rPr>
          <w:b/>
          <w:bCs/>
          <w:color w:val="B07D3A"/>
          <w:spacing w:val="28"/>
          <w:sz w:val="16"/>
          <w:szCs w:val="16"/>
        </w:rPr>
        <w:lastRenderedPageBreak/>
        <w:t>DIFFERENTIATION</w:t>
      </w:r>
    </w:p>
    <w:p w14:paraId="45A511DC" w14:textId="77777777" w:rsidR="00BF7FAE" w:rsidRDefault="00000000">
      <w:pPr>
        <w:spacing w:before="200" w:after="200"/>
        <w:outlineLvl w:val="0"/>
      </w:pPr>
      <w:r>
        <w:rPr>
          <w:b/>
          <w:bCs/>
          <w:sz w:val="34"/>
          <w:szCs w:val="34"/>
        </w:rPr>
        <w:t>The methodology wedge</w:t>
      </w:r>
    </w:p>
    <w:p w14:paraId="68AB03C7" w14:textId="77777777" w:rsidR="00BF7FAE" w:rsidRDefault="00000000">
      <w:pPr>
        <w:spacing w:after="160" w:line="288" w:lineRule="auto"/>
      </w:pPr>
      <w:r>
        <w:t xml:space="preserve">The clearest technical differentiator — the one a CTO will want to interrogate — is the trade area model. Most tools scan from a single ZIP-code centroid, which is close to meaningless for a business that serves several neighborhoods. </w:t>
      </w:r>
      <w:proofErr w:type="spellStart"/>
      <w:r>
        <w:t>GrowthPath</w:t>
      </w:r>
      <w:proofErr w:type="spellEnd"/>
      <w:r>
        <w:t xml:space="preserve"> instead derives its scan origins from Census data.</w:t>
      </w:r>
    </w:p>
    <w:p w14:paraId="03BCE7DA" w14:textId="77777777" w:rsidR="00BF7FAE" w:rsidRDefault="00000000">
      <w:pPr>
        <w:spacing w:after="160" w:line="288" w:lineRule="auto"/>
      </w:pPr>
      <w:r>
        <w:t>From a single business address, the engine generates two distinct origin grids using the Census Gazetteer and ACS population data:</w:t>
      </w:r>
    </w:p>
    <w:p w14:paraId="011741A8" w14:textId="77777777" w:rsidR="00BF7FAE" w:rsidRDefault="00000000">
      <w:pPr>
        <w:pStyle w:val="ListParagraph"/>
        <w:numPr>
          <w:ilvl w:val="0"/>
          <w:numId w:val="2"/>
        </w:numPr>
        <w:spacing w:after="100" w:line="276" w:lineRule="auto"/>
      </w:pPr>
      <w:r>
        <w:rPr>
          <w:b/>
          <w:bCs/>
        </w:rPr>
        <w:t>A near-me grid</w:t>
      </w:r>
      <w:r>
        <w:t xml:space="preserve"> of real neighborhood ZCTAs strictly within 5 miles, representing the immediate catchment area. Capped at 5 origins, filtered by population, selected by distance.</w:t>
      </w:r>
    </w:p>
    <w:p w14:paraId="743E8AFE" w14:textId="77777777" w:rsidR="00BF7FAE" w:rsidRDefault="00000000">
      <w:pPr>
        <w:pStyle w:val="ListParagraph"/>
        <w:numPr>
          <w:ilvl w:val="0"/>
          <w:numId w:val="2"/>
        </w:numPr>
        <w:spacing w:after="100" w:line="276" w:lineRule="auto"/>
      </w:pPr>
      <w:r>
        <w:rPr>
          <w:b/>
          <w:bCs/>
        </w:rPr>
        <w:t>A city-modifier grid</w:t>
      </w:r>
      <w:r>
        <w:t xml:space="preserve"> of ZCTAs from 5 to 20 miles, selected band-first across four distance rings (5–9, 9–13, 13–17, 17–20 miles) so the grid spreads across the trade area rather than clustering where density happens to concentrate, with a minimum spacing guard between origins.</w:t>
      </w:r>
    </w:p>
    <w:p w14:paraId="1E671EA0" w14:textId="77777777" w:rsidR="00BF7FAE" w:rsidRDefault="00000000">
      <w:pPr>
        <w:spacing w:after="160" w:line="288" w:lineRule="auto"/>
      </w:pPr>
      <w:r>
        <w:t xml:space="preserve">Each keyword is scanned in two intents — a proximity "near me" variant and a destination "city name" variant — across both grids, on both the Maps and Local Finder surfaces. The output is a </w:t>
      </w:r>
      <w:r>
        <w:rPr>
          <w:b/>
          <w:bCs/>
        </w:rPr>
        <w:t>trade area visibility curve</w:t>
      </w:r>
      <w:r>
        <w:t xml:space="preserve">: a picture of how a business's ranking decays with distance, and where its proximity advantage gives out. No competitor produces this at </w:t>
      </w:r>
      <w:proofErr w:type="spellStart"/>
      <w:r>
        <w:t>GrowthPath's</w:t>
      </w:r>
      <w:proofErr w:type="spellEnd"/>
      <w:r>
        <w:t xml:space="preserve"> price point.</w:t>
      </w:r>
    </w:p>
    <w:p w14:paraId="750E91CD" w14:textId="77777777" w:rsidR="00BF7FAE" w:rsidRDefault="00000000">
      <w:pPr>
        <w:spacing w:after="160" w:line="288" w:lineRule="auto"/>
      </w:pPr>
      <w:r>
        <w:t xml:space="preserve">The underlying methodological claim is that </w:t>
      </w:r>
      <w:r>
        <w:rPr>
          <w:b/>
          <w:bCs/>
        </w:rPr>
        <w:t>ZIP-level trade area visibility matters more than street-level grid density</w:t>
      </w:r>
      <w:r>
        <w:t xml:space="preserve"> for this buyer. A roofer does not need a 49-point grid of one neighborhood; they need to know that they win within two miles and disappear at five. That is a deliberate departure from the grid-density approach the rank-tracking tools take, and it is defensible and hard to copy because it is built on a real geographic data pipeline rather than a UI feature.</w:t>
      </w:r>
    </w:p>
    <w:p w14:paraId="4AFC4FB8" w14:textId="77777777" w:rsidR="00BF7FAE" w:rsidRDefault="00000000">
      <w:pPr>
        <w:spacing w:before="320" w:after="120"/>
        <w:outlineLvl w:val="1"/>
      </w:pPr>
      <w:r>
        <w:rPr>
          <w:b/>
          <w:bCs/>
          <w:sz w:val="26"/>
          <w:szCs w:val="26"/>
        </w:rPr>
        <w:t>What else separates it structurally</w:t>
      </w:r>
    </w:p>
    <w:p w14:paraId="4C8B3569" w14:textId="77777777" w:rsidR="00BF7FAE" w:rsidRDefault="00000000">
      <w:pPr>
        <w:pStyle w:val="ListParagraph"/>
        <w:numPr>
          <w:ilvl w:val="0"/>
          <w:numId w:val="2"/>
        </w:numPr>
        <w:spacing w:after="100" w:line="276" w:lineRule="auto"/>
      </w:pPr>
      <w:r>
        <w:rPr>
          <w:b/>
          <w:bCs/>
        </w:rPr>
        <w:t xml:space="preserve">Speed. </w:t>
      </w:r>
      <w:r>
        <w:t>A complete scored diagnostic in minutes, not a 30–</w:t>
      </w:r>
      <w:proofErr w:type="gramStart"/>
      <w:r>
        <w:t>60 day</w:t>
      </w:r>
      <w:proofErr w:type="gramEnd"/>
      <w:r>
        <w:t xml:space="preserve"> agency onboarding. The free scan produces real findings from twelve live sources before a dollar is spent.</w:t>
      </w:r>
    </w:p>
    <w:p w14:paraId="138CE8BF" w14:textId="77777777" w:rsidR="00BF7FAE" w:rsidRDefault="00000000">
      <w:pPr>
        <w:pStyle w:val="ListParagraph"/>
        <w:numPr>
          <w:ilvl w:val="0"/>
          <w:numId w:val="2"/>
        </w:numPr>
        <w:spacing w:after="100" w:line="276" w:lineRule="auto"/>
      </w:pPr>
      <w:r>
        <w:rPr>
          <w:b/>
          <w:bCs/>
        </w:rPr>
        <w:t xml:space="preserve">Objectivity. </w:t>
      </w:r>
      <w:r>
        <w:t>Revenue comes from the diagnostic subscription, not from upselling services. There is no incentive to recommend work the business doesn't need — the diagnosis can be honest because the business model doesn't depend on it being otherwise.</w:t>
      </w:r>
    </w:p>
    <w:p w14:paraId="1FC99492" w14:textId="77777777" w:rsidR="00BF7FAE" w:rsidRDefault="00000000">
      <w:pPr>
        <w:pStyle w:val="ListParagraph"/>
        <w:numPr>
          <w:ilvl w:val="0"/>
          <w:numId w:val="2"/>
        </w:numPr>
        <w:spacing w:after="100" w:line="276" w:lineRule="auto"/>
      </w:pPr>
      <w:r>
        <w:rPr>
          <w:b/>
          <w:bCs/>
        </w:rPr>
        <w:t xml:space="preserve">Verifiable signals. </w:t>
      </w:r>
      <w:r>
        <w:t xml:space="preserve">The platform surfaces </w:t>
      </w:r>
      <w:proofErr w:type="gramStart"/>
      <w:r>
        <w:t>third-party</w:t>
      </w:r>
      <w:proofErr w:type="gramEnd"/>
      <w:r>
        <w:t xml:space="preserve">-verifiable measures — Map Pack rank, Domain Authority, GSC impressions, GA4 sessions — not proprietary scores the owner has to take on faith. When a ranking improves, Google confirms it. </w:t>
      </w:r>
      <w:proofErr w:type="spellStart"/>
      <w:r>
        <w:t>GrowthPath</w:t>
      </w:r>
      <w:proofErr w:type="spellEnd"/>
      <w:r>
        <w:t xml:space="preserve"> takes credit for the guidance, not the measurement.</w:t>
      </w:r>
    </w:p>
    <w:p w14:paraId="13556CD3" w14:textId="77777777" w:rsidR="00BF7FAE" w:rsidRDefault="00000000">
      <w:pPr>
        <w:pStyle w:val="ListParagraph"/>
        <w:numPr>
          <w:ilvl w:val="0"/>
          <w:numId w:val="2"/>
        </w:numPr>
        <w:spacing w:after="100" w:line="276" w:lineRule="auto"/>
      </w:pPr>
      <w:r>
        <w:rPr>
          <w:b/>
          <w:bCs/>
        </w:rPr>
        <w:t xml:space="preserve">Specificity. </w:t>
      </w:r>
      <w:r>
        <w:t xml:space="preserve">Every finding is scored, benchmarked against the vertical, and translated into a concrete action. Not "improve page speed" but "mobile </w:t>
      </w:r>
      <w:proofErr w:type="spellStart"/>
      <w:r>
        <w:t>PageSpeed</w:t>
      </w:r>
      <w:proofErr w:type="spellEnd"/>
      <w:r>
        <w:t xml:space="preserve"> is 51/100; here are the render-blocking resources and how to fix each."</w:t>
      </w:r>
    </w:p>
    <w:p w14:paraId="4F3C8E94" w14:textId="77777777" w:rsidR="00BF7FAE" w:rsidRDefault="00000000">
      <w:pPr>
        <w:spacing w:before="360" w:after="80"/>
      </w:pPr>
      <w:r>
        <w:rPr>
          <w:b/>
          <w:bCs/>
          <w:color w:val="B07D3A"/>
          <w:spacing w:val="28"/>
          <w:sz w:val="16"/>
          <w:szCs w:val="16"/>
        </w:rPr>
        <w:t>PRODUCT &amp; MODEL</w:t>
      </w:r>
    </w:p>
    <w:p w14:paraId="613698E2" w14:textId="77777777" w:rsidR="00BF7FAE" w:rsidRDefault="00000000">
      <w:pPr>
        <w:spacing w:before="200" w:after="200"/>
        <w:outlineLvl w:val="0"/>
      </w:pPr>
      <w:r>
        <w:rPr>
          <w:b/>
          <w:bCs/>
          <w:sz w:val="34"/>
          <w:szCs w:val="34"/>
        </w:rPr>
        <w:lastRenderedPageBreak/>
        <w:t>How it reaches the market and makes money</w:t>
      </w:r>
    </w:p>
    <w:p w14:paraId="0693FD22" w14:textId="77777777" w:rsidR="00BF7FAE" w:rsidRDefault="00000000">
      <w:pPr>
        <w:spacing w:after="160" w:line="288" w:lineRule="auto"/>
      </w:pPr>
      <w:r>
        <w:t>The go-to-market is a freemium funnel. Every paying subscriber begins as a free scan. The full diagnostic runs at no cost — same engine, same twelve data sources — but results are gated: free users see their quadrant profile, P1/P2 scores, and top findings. The full action plan, competitor leaderboard, keyword grid, and platform access unlock on subscription.</w:t>
      </w:r>
    </w:p>
    <w:p w14:paraId="7662AB75" w14:textId="77777777" w:rsidR="00BF7FAE" w:rsidRDefault="00000000">
      <w:pPr>
        <w:spacing w:after="160" w:line="288" w:lineRule="auto"/>
      </w:pPr>
      <w:r>
        <w:t xml:space="preserve">The conversion mechanic is the differentiator here: </w:t>
      </w:r>
      <w:r>
        <w:rPr>
          <w:b/>
          <w:bCs/>
        </w:rPr>
        <w:t>the owner sees their own real data before spending anything.</w:t>
      </w:r>
      <w:r>
        <w:t xml:space="preserve"> That is a stronger motivator than a generic demo, because the gap being shown is theirs.</w:t>
      </w:r>
    </w:p>
    <w:p w14:paraId="4258AADA" w14:textId="77777777" w:rsidR="00BF7FAE" w:rsidRDefault="00000000">
      <w:pPr>
        <w:spacing w:after="160" w:line="288" w:lineRule="auto"/>
      </w:pPr>
      <w:r>
        <w:t>The unit economics are clean. A free scan costs $1–5 in API fees. At an industry-typical 2–5% free-to-paid conversion, customer acquisition cost from scan fees runs on the order of $100 against program revenue in the $149–249 range. There is no fulfillment cost that scales with usage — the engine runs the same whether there are 100 subscribers or 10,000 — which is what gives the model an 80–92% gross margin profile before team and marketing.</w:t>
      </w:r>
    </w:p>
    <w:p w14:paraId="5E9F5711" w14:textId="77777777" w:rsidR="00BF7FAE" w:rsidRDefault="00000000">
      <w:pPr>
        <w:spacing w:before="320" w:after="120"/>
        <w:outlineLvl w:val="1"/>
      </w:pPr>
      <w:r>
        <w:rPr>
          <w:b/>
          <w:bCs/>
          <w:sz w:val="26"/>
          <w:szCs w:val="26"/>
        </w:rPr>
        <w:t>The subscription tiers</w:t>
      </w:r>
    </w:p>
    <w:p w14:paraId="21DC1A45" w14:textId="77777777" w:rsidR="00BF7FAE" w:rsidRDefault="00000000">
      <w:pPr>
        <w:spacing w:after="160" w:line="288" w:lineRule="auto"/>
      </w:pPr>
      <w:r>
        <w:t>Three annual tiers, all running the same engine — feature flags determine which data sources and platform sections unlock:</w:t>
      </w:r>
    </w:p>
    <w:p w14:paraId="13E87C8C" w14:textId="77777777" w:rsidR="00BF7FAE" w:rsidRDefault="00000000">
      <w:pPr>
        <w:pStyle w:val="ListParagraph"/>
        <w:numPr>
          <w:ilvl w:val="0"/>
          <w:numId w:val="2"/>
        </w:numPr>
        <w:spacing w:after="100" w:line="276" w:lineRule="auto"/>
      </w:pPr>
      <w:r>
        <w:rPr>
          <w:b/>
          <w:bCs/>
        </w:rPr>
        <w:t xml:space="preserve">Standard — $149/yr. </w:t>
      </w:r>
      <w:r>
        <w:t>Diagnostic, action plan, core signal tracking, five tracked keywords, quarterly re-scans, and 50 AI messages/month.</w:t>
      </w:r>
    </w:p>
    <w:p w14:paraId="58FEB22B" w14:textId="77777777" w:rsidR="00BF7FAE" w:rsidRDefault="00000000">
      <w:pPr>
        <w:pStyle w:val="ListParagraph"/>
        <w:numPr>
          <w:ilvl w:val="0"/>
          <w:numId w:val="2"/>
        </w:numPr>
        <w:spacing w:after="100" w:line="276" w:lineRule="auto"/>
      </w:pPr>
      <w:r>
        <w:rPr>
          <w:b/>
          <w:bCs/>
        </w:rPr>
        <w:t xml:space="preserve">Professional — $199/yr. </w:t>
      </w:r>
      <w:r>
        <w:t>Adds a GA4 connection and a web-traffic dashboard, with AI context expanded to cover traffic data and 100 AI messages/month.</w:t>
      </w:r>
    </w:p>
    <w:p w14:paraId="3E05F503" w14:textId="77777777" w:rsidR="00BF7FAE" w:rsidRDefault="00000000">
      <w:pPr>
        <w:pStyle w:val="ListParagraph"/>
        <w:numPr>
          <w:ilvl w:val="0"/>
          <w:numId w:val="2"/>
        </w:numPr>
        <w:spacing w:after="100" w:line="276" w:lineRule="auto"/>
      </w:pPr>
      <w:r>
        <w:rPr>
          <w:b/>
          <w:bCs/>
        </w:rPr>
        <w:t xml:space="preserve">Growth — $249/yr. </w:t>
      </w:r>
      <w:r>
        <w:t>Adds a GSC connection, keyword intelligence, near-miss and content opportunities, and 200 AI messages/month.</w:t>
      </w:r>
    </w:p>
    <w:p w14:paraId="05954252" w14:textId="77777777" w:rsidR="00BF7FAE" w:rsidRDefault="00000000">
      <w:pPr>
        <w:spacing w:before="320" w:after="120"/>
        <w:outlineLvl w:val="1"/>
      </w:pPr>
      <w:r>
        <w:rPr>
          <w:b/>
          <w:bCs/>
          <w:sz w:val="26"/>
          <w:szCs w:val="26"/>
        </w:rPr>
        <w:t>The AI guidance layer</w:t>
      </w:r>
    </w:p>
    <w:p w14:paraId="4A1DE92E" w14:textId="77777777" w:rsidR="00BF7FAE" w:rsidRDefault="00000000">
      <w:pPr>
        <w:spacing w:after="160" w:line="288" w:lineRule="auto"/>
      </w:pPr>
      <w:r>
        <w:t xml:space="preserve">This is the piece that turns a diagnostic into a guided program, and it runs on the Anthropic API. Every subscriber gets in-platform AI that is </w:t>
      </w:r>
      <w:r>
        <w:rPr>
          <w:b/>
          <w:bCs/>
        </w:rPr>
        <w:t>pre-loaded with their own scan data</w:t>
      </w:r>
      <w:r>
        <w:t xml:space="preserve"> — findings, scores, checklist state, rank history, competitor context, and (on higher tiers) their GA4 and GSC data. The owner can ask why a keyword's CTR is low, which fix to do first, how they stack up against a specific competitor, or what to build a content strategy around, and the answers are grounded in their actual numbers rather than generic advice. A monthly AI narrative interprets the month's movement in plain English, names what changed, and surfaces the next three actions.</w:t>
      </w:r>
    </w:p>
    <w:p w14:paraId="788755AF" w14:textId="77777777" w:rsidR="00BF7FAE" w:rsidRDefault="00000000">
      <w:pPr>
        <w:spacing w:after="160" w:line="288" w:lineRule="auto"/>
      </w:pPr>
      <w:r>
        <w:t>The cost model makes this viable at the price point. With prompt caching cutting input-token cost by roughly 80% on the static context, per-message cost runs about $0.01–0.03, and the monthly narrative about $0.05–0.15 per user — a controlled, predictable expense that the tiered message allotments cap. It is also a real differentiator: no incumbent at this price offers business-specific AI guidance grounded in the owner's own data.</w:t>
      </w:r>
    </w:p>
    <w:p w14:paraId="7AEF21D1" w14:textId="77777777" w:rsidR="00BF7FAE" w:rsidRDefault="00000000">
      <w:pPr>
        <w:spacing w:before="320" w:after="120"/>
        <w:outlineLvl w:val="1"/>
      </w:pPr>
      <w:r>
        <w:rPr>
          <w:b/>
          <w:bCs/>
          <w:sz w:val="26"/>
          <w:szCs w:val="26"/>
        </w:rPr>
        <w:t xml:space="preserve">Where </w:t>
      </w:r>
      <w:proofErr w:type="spellStart"/>
      <w:r>
        <w:rPr>
          <w:b/>
          <w:bCs/>
          <w:sz w:val="26"/>
          <w:szCs w:val="26"/>
        </w:rPr>
        <w:t>GrowthPath</w:t>
      </w:r>
      <w:proofErr w:type="spellEnd"/>
      <w:r>
        <w:rPr>
          <w:b/>
          <w:bCs/>
          <w:sz w:val="26"/>
          <w:szCs w:val="26"/>
        </w:rPr>
        <w:t xml:space="preserve"> does the work</w:t>
      </w:r>
    </w:p>
    <w:p w14:paraId="42F149E2" w14:textId="77777777" w:rsidR="00BF7FAE" w:rsidRDefault="00000000">
      <w:pPr>
        <w:spacing w:after="160" w:line="288" w:lineRule="auto"/>
      </w:pPr>
      <w:r>
        <w:lastRenderedPageBreak/>
        <w:t xml:space="preserve">One service runs against the grain of the self-serve model, and it matters for the "who executes the fixes" question. The diagnostic identifies which directories a business is missing from; the </w:t>
      </w:r>
      <w:r>
        <w:rPr>
          <w:b/>
          <w:bCs/>
        </w:rPr>
        <w:t>citation submission add-on</w:t>
      </w:r>
      <w:r>
        <w:t xml:space="preserve"> closes those gaps for the owner at $2.50 per directory, fulfilled through </w:t>
      </w:r>
      <w:proofErr w:type="spellStart"/>
      <w:r>
        <w:t>BrightLocal's</w:t>
      </w:r>
      <w:proofErr w:type="spellEnd"/>
      <w:r>
        <w:t xml:space="preserve"> wholesale API at roughly $2.00 — a small margin line, but more importantly a point where the platform performs the work rather than handing it back. Submissions are tracked in the same dashboard checklist as the rest of the action plan, and the owner keeps the listing credentials permanently.</w:t>
      </w:r>
    </w:p>
    <w:p w14:paraId="3DAC3FCA" w14:textId="77777777" w:rsidR="00BF7FAE" w:rsidRDefault="00000000">
      <w:pPr>
        <w:spacing w:before="320" w:after="120"/>
        <w:outlineLvl w:val="1"/>
      </w:pPr>
      <w:r>
        <w:rPr>
          <w:b/>
          <w:bCs/>
          <w:sz w:val="26"/>
          <w:szCs w:val="26"/>
        </w:rPr>
        <w:t>Two channels, sequenced</w:t>
      </w:r>
    </w:p>
    <w:p w14:paraId="1417F650" w14:textId="77777777" w:rsidR="00BF7FAE" w:rsidRDefault="00000000">
      <w:pPr>
        <w:spacing w:after="160" w:line="288" w:lineRule="auto"/>
      </w:pPr>
      <w:r>
        <w:t xml:space="preserve">Direct-to-business is the MVP channel — it validates pricing, product-market fit, and the scan-to-subscription funnel. </w:t>
      </w:r>
      <w:r>
        <w:rPr>
          <w:b/>
          <w:bCs/>
        </w:rPr>
        <w:t>The agency channel is the scale layer.</w:t>
      </w:r>
      <w:r>
        <w:t xml:space="preserve"> A local agency managing 50 </w:t>
      </w:r>
      <w:proofErr w:type="spellStart"/>
      <w:r>
        <w:t>clients</w:t>
      </w:r>
      <w:proofErr w:type="spellEnd"/>
      <w:r>
        <w:t xml:space="preserve"> needs exactly what </w:t>
      </w:r>
      <w:proofErr w:type="spellStart"/>
      <w:r>
        <w:t>GrowthPath</w:t>
      </w:r>
      <w:proofErr w:type="spellEnd"/>
      <w:r>
        <w:t xml:space="preserve"> produces: a fast, credible diagnostic to anchor onboarding, a progress-tracking layer to demonstrate value, and a reporting format that looks sophisticated without hours of manual work. White-label diagnostics and client reporting, priced per location under management, turn a consumer-priced product into a B2B SaaS account.</w:t>
      </w:r>
    </w:p>
    <w:p w14:paraId="76510AF0" w14:textId="77777777" w:rsidR="00BF7FAE" w:rsidRDefault="00000000">
      <w:pPr>
        <w:spacing w:after="160" w:line="288" w:lineRule="auto"/>
      </w:pPr>
      <w:r>
        <w:t>This matters architecturally, and it is the reason multi-tenancy is being designed in from day one rather than retrofitted: the same platform must serve a single owner at launch and an agency managing dozens of locations later, without a rebuild.</w:t>
      </w:r>
    </w:p>
    <w:p w14:paraId="1E1D9C04" w14:textId="77777777" w:rsidR="00BF7FAE" w:rsidRDefault="00000000">
      <w:pPr>
        <w:spacing w:before="320" w:after="120"/>
        <w:outlineLvl w:val="1"/>
      </w:pPr>
      <w:r>
        <w:rPr>
          <w:b/>
          <w:bCs/>
          <w:sz w:val="26"/>
          <w:szCs w:val="26"/>
        </w:rPr>
        <w:t>An adjacent expansion already in view</w:t>
      </w:r>
    </w:p>
    <w:p w14:paraId="70F6FE79" w14:textId="77777777" w:rsidR="00BF7FAE" w:rsidRDefault="00000000">
      <w:pPr>
        <w:spacing w:after="160" w:line="288" w:lineRule="auto"/>
      </w:pPr>
      <w:r>
        <w:t xml:space="preserve">A nascent but real opportunity sits next to the core: AI search visibility. Google AI Overviews, ChatGPT Search, and Perplexity are creating a new surface where local businesses either appear or don't — and almost none have visibility into it. </w:t>
      </w:r>
      <w:proofErr w:type="spellStart"/>
      <w:r>
        <w:t>DataForSEO's</w:t>
      </w:r>
      <w:proofErr w:type="spellEnd"/>
      <w:r>
        <w:t xml:space="preserve"> LLM Mentions API, already tested against the existing infrastructure, surfaces whether a business is cited in AI responses, which competitors are cited instead, and what would improve citation frequency. No competitor at this price point offers it today. It is positioned as a future addition, not current build scope, but it shows the platform has room to grow beyond its first job.</w:t>
      </w:r>
    </w:p>
    <w:p w14:paraId="4E8D4A90" w14:textId="77777777" w:rsidR="00BF7FAE" w:rsidRDefault="00000000">
      <w:pPr>
        <w:spacing w:before="360" w:after="80"/>
      </w:pPr>
      <w:r>
        <w:rPr>
          <w:b/>
          <w:bCs/>
          <w:color w:val="B07D3A"/>
          <w:spacing w:val="28"/>
          <w:sz w:val="16"/>
          <w:szCs w:val="16"/>
        </w:rPr>
        <w:t>THE LOGIC</w:t>
      </w:r>
    </w:p>
    <w:p w14:paraId="1D7251A7" w14:textId="77777777" w:rsidR="00BF7FAE" w:rsidRDefault="00000000">
      <w:pPr>
        <w:spacing w:before="200" w:after="200"/>
        <w:outlineLvl w:val="0"/>
      </w:pPr>
      <w:r>
        <w:rPr>
          <w:b/>
          <w:bCs/>
          <w:sz w:val="34"/>
          <w:szCs w:val="34"/>
        </w:rPr>
        <w:t>Why 'graduation' is a strategy, not a giveaway</w:t>
      </w:r>
    </w:p>
    <w:p w14:paraId="45B33741" w14:textId="77777777" w:rsidR="00BF7FAE" w:rsidRDefault="00000000">
      <w:pPr>
        <w:spacing w:after="160" w:line="288" w:lineRule="auto"/>
      </w:pPr>
      <w:r>
        <w:t>The instinct is to read a 12-month, designed-to-complete product as leaving money on the table. The opposite is the bet. A business owner who runs a free scan, subscribes, follows the plan, and watches their Map Pack rank move from position 8 to position 3 in two months has a story — and that story is the most credible acquisition channel a product like this can have.</w:t>
      </w:r>
    </w:p>
    <w:p w14:paraId="075B8C50" w14:textId="77777777" w:rsidR="00BF7FAE" w:rsidRDefault="00000000">
      <w:pPr>
        <w:spacing w:after="160" w:line="288" w:lineRule="auto"/>
      </w:pPr>
      <w:r>
        <w:rPr>
          <w:b/>
          <w:bCs/>
        </w:rPr>
        <w:t>Referrals from graduates are the intended growth engine.</w:t>
      </w:r>
      <w:r>
        <w:t xml:space="preserve"> The platform is built to manufacture that outcome systematically: the action plan is achievable, progress tracking makes improvement visible, and a monthly AI narrative names what changed and why. The diagnostic comes before the spend, which means the owner arrives at any future decision — including hiring an agency — knowing exactly what they need. That clarity is the product, and a business that has it becomes an advocate rather than a churned account.</w:t>
      </w:r>
    </w:p>
    <w:p w14:paraId="5E22886A" w14:textId="77777777" w:rsidR="00BF7FAE" w:rsidRDefault="00000000">
      <w:pPr>
        <w:spacing w:before="320" w:after="120"/>
        <w:outlineLvl w:val="1"/>
      </w:pPr>
      <w:r>
        <w:rPr>
          <w:b/>
          <w:bCs/>
          <w:sz w:val="26"/>
          <w:szCs w:val="26"/>
        </w:rPr>
        <w:lastRenderedPageBreak/>
        <w:t>The honest shape of the bet</w:t>
      </w:r>
    </w:p>
    <w:p w14:paraId="6DD842EA" w14:textId="77777777" w:rsidR="00BF7FAE" w:rsidRDefault="00000000">
      <w:pPr>
        <w:spacing w:after="160" w:line="288" w:lineRule="auto"/>
      </w:pPr>
      <w:r>
        <w:t>There is a real question about whether owners will act on fixes themselves versus paying someone to do it all. That question is worth pressure-testing independently, and it should be. What is worth saying here is only this: the model does not actually require the owner to be the one who executes. The diagnostic creates an informed buyer either way — one who fixes it themselves, or one who hires with a clear specification instead of a blank check. And the agency channel monetizes the second case directly. The platform's value is the measurement and the clarity; who performs the work is a downstream choice, not a precondition for the model to function.</w:t>
      </w:r>
    </w:p>
    <w:p w14:paraId="1C8C073E" w14:textId="77777777" w:rsidR="00BF7FAE" w:rsidRDefault="00BF7FAE">
      <w:pPr>
        <w:pBdr>
          <w:top w:val="single" w:sz="6" w:space="1" w:color="B07D3A"/>
        </w:pBdr>
        <w:spacing w:before="400"/>
      </w:pPr>
    </w:p>
    <w:p w14:paraId="42FE8F25" w14:textId="77777777" w:rsidR="00BF7FAE" w:rsidRDefault="00000000">
      <w:pPr>
        <w:spacing w:before="160"/>
      </w:pPr>
      <w:proofErr w:type="spellStart"/>
      <w:r>
        <w:rPr>
          <w:color w:val="6B6B6B"/>
          <w:sz w:val="16"/>
          <w:szCs w:val="16"/>
        </w:rPr>
        <w:t>GrowthPath</w:t>
      </w:r>
      <w:proofErr w:type="spellEnd"/>
      <w:r>
        <w:rPr>
          <w:color w:val="6B6B6B"/>
          <w:sz w:val="16"/>
          <w:szCs w:val="16"/>
        </w:rPr>
        <w:t xml:space="preserve"> </w:t>
      </w:r>
      <w:proofErr w:type="gramStart"/>
      <w:r>
        <w:rPr>
          <w:color w:val="6B6B6B"/>
          <w:sz w:val="16"/>
          <w:szCs w:val="16"/>
        </w:rPr>
        <w:t>Analytics  ·</w:t>
      </w:r>
      <w:proofErr w:type="gramEnd"/>
      <w:r>
        <w:rPr>
          <w:color w:val="6B6B6B"/>
          <w:sz w:val="16"/>
          <w:szCs w:val="16"/>
        </w:rPr>
        <w:t xml:space="preserve">  </w:t>
      </w:r>
      <w:proofErr w:type="gramStart"/>
      <w:r>
        <w:rPr>
          <w:color w:val="6B6B6B"/>
          <w:sz w:val="16"/>
          <w:szCs w:val="16"/>
        </w:rPr>
        <w:t>Confidential  ·</w:t>
      </w:r>
      <w:proofErr w:type="gramEnd"/>
      <w:r>
        <w:rPr>
          <w:color w:val="6B6B6B"/>
          <w:sz w:val="16"/>
          <w:szCs w:val="16"/>
        </w:rPr>
        <w:t xml:space="preserve">  Market Opportunity </w:t>
      </w:r>
      <w:proofErr w:type="gramStart"/>
      <w:r>
        <w:rPr>
          <w:color w:val="6B6B6B"/>
          <w:sz w:val="16"/>
          <w:szCs w:val="16"/>
        </w:rPr>
        <w:t>Overview  ·</w:t>
      </w:r>
      <w:proofErr w:type="gramEnd"/>
      <w:r>
        <w:rPr>
          <w:color w:val="6B6B6B"/>
          <w:sz w:val="16"/>
          <w:szCs w:val="16"/>
        </w:rPr>
        <w:t xml:space="preserve">  June 2026</w:t>
      </w:r>
    </w:p>
    <w:sectPr w:rsidR="00BF7FA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4E9170D"/>
    <w:multiLevelType w:val="hybridMultilevel"/>
    <w:tmpl w:val="FD8EBA66"/>
    <w:lvl w:ilvl="0" w:tplc="504CEEF8">
      <w:start w:val="1"/>
      <w:numFmt w:val="bullet"/>
      <w:lvlText w:val="—"/>
      <w:lvlJc w:val="left"/>
      <w:pPr>
        <w:ind w:left="460" w:hanging="260"/>
      </w:pPr>
    </w:lvl>
    <w:lvl w:ilvl="1" w:tplc="611A785A">
      <w:numFmt w:val="decimal"/>
      <w:lvlText w:val=""/>
      <w:lvlJc w:val="left"/>
    </w:lvl>
    <w:lvl w:ilvl="2" w:tplc="8090B400">
      <w:numFmt w:val="decimal"/>
      <w:lvlText w:val=""/>
      <w:lvlJc w:val="left"/>
    </w:lvl>
    <w:lvl w:ilvl="3" w:tplc="EBA2382A">
      <w:numFmt w:val="decimal"/>
      <w:lvlText w:val=""/>
      <w:lvlJc w:val="left"/>
    </w:lvl>
    <w:lvl w:ilvl="4" w:tplc="206C5918">
      <w:numFmt w:val="decimal"/>
      <w:lvlText w:val=""/>
      <w:lvlJc w:val="left"/>
    </w:lvl>
    <w:lvl w:ilvl="5" w:tplc="4FF49488">
      <w:numFmt w:val="decimal"/>
      <w:lvlText w:val=""/>
      <w:lvlJc w:val="left"/>
    </w:lvl>
    <w:lvl w:ilvl="6" w:tplc="B0DC74B2">
      <w:numFmt w:val="decimal"/>
      <w:lvlText w:val=""/>
      <w:lvlJc w:val="left"/>
    </w:lvl>
    <w:lvl w:ilvl="7" w:tplc="601464E4">
      <w:numFmt w:val="decimal"/>
      <w:lvlText w:val=""/>
      <w:lvlJc w:val="left"/>
    </w:lvl>
    <w:lvl w:ilvl="8" w:tplc="014C129A">
      <w:numFmt w:val="decimal"/>
      <w:lvlText w:val=""/>
      <w:lvlJc w:val="left"/>
    </w:lvl>
  </w:abstractNum>
  <w:abstractNum w:abstractNumId="1" w15:restartNumberingAfterBreak="0">
    <w:nsid w:val="6DF21ACB"/>
    <w:multiLevelType w:val="hybridMultilevel"/>
    <w:tmpl w:val="3B1C22D8"/>
    <w:lvl w:ilvl="0" w:tplc="2BB40CA0">
      <w:start w:val="1"/>
      <w:numFmt w:val="bullet"/>
      <w:lvlText w:val="●"/>
      <w:lvlJc w:val="left"/>
      <w:pPr>
        <w:ind w:left="720" w:hanging="360"/>
      </w:pPr>
    </w:lvl>
    <w:lvl w:ilvl="1" w:tplc="B68CD0FE">
      <w:start w:val="1"/>
      <w:numFmt w:val="bullet"/>
      <w:lvlText w:val="○"/>
      <w:lvlJc w:val="left"/>
      <w:pPr>
        <w:ind w:left="1440" w:hanging="360"/>
      </w:pPr>
    </w:lvl>
    <w:lvl w:ilvl="2" w:tplc="20DE6ED4">
      <w:start w:val="1"/>
      <w:numFmt w:val="bullet"/>
      <w:lvlText w:val="■"/>
      <w:lvlJc w:val="left"/>
      <w:pPr>
        <w:ind w:left="2160" w:hanging="360"/>
      </w:pPr>
    </w:lvl>
    <w:lvl w:ilvl="3" w:tplc="45F8B792">
      <w:start w:val="1"/>
      <w:numFmt w:val="bullet"/>
      <w:lvlText w:val="●"/>
      <w:lvlJc w:val="left"/>
      <w:pPr>
        <w:ind w:left="2880" w:hanging="360"/>
      </w:pPr>
    </w:lvl>
    <w:lvl w:ilvl="4" w:tplc="04CC5A58">
      <w:start w:val="1"/>
      <w:numFmt w:val="bullet"/>
      <w:lvlText w:val="○"/>
      <w:lvlJc w:val="left"/>
      <w:pPr>
        <w:ind w:left="3600" w:hanging="360"/>
      </w:pPr>
    </w:lvl>
    <w:lvl w:ilvl="5" w:tplc="3CB8BB42">
      <w:start w:val="1"/>
      <w:numFmt w:val="bullet"/>
      <w:lvlText w:val="■"/>
      <w:lvlJc w:val="left"/>
      <w:pPr>
        <w:ind w:left="4320" w:hanging="360"/>
      </w:pPr>
    </w:lvl>
    <w:lvl w:ilvl="6" w:tplc="64E4DC8A">
      <w:start w:val="1"/>
      <w:numFmt w:val="bullet"/>
      <w:lvlText w:val="●"/>
      <w:lvlJc w:val="left"/>
      <w:pPr>
        <w:ind w:left="5040" w:hanging="360"/>
      </w:pPr>
    </w:lvl>
    <w:lvl w:ilvl="7" w:tplc="52A28AB4">
      <w:start w:val="1"/>
      <w:numFmt w:val="bullet"/>
      <w:lvlText w:val="●"/>
      <w:lvlJc w:val="left"/>
      <w:pPr>
        <w:ind w:left="5760" w:hanging="360"/>
      </w:pPr>
    </w:lvl>
    <w:lvl w:ilvl="8" w:tplc="A7DC52E4">
      <w:start w:val="1"/>
      <w:numFmt w:val="bullet"/>
      <w:lvlText w:val="●"/>
      <w:lvlJc w:val="left"/>
      <w:pPr>
        <w:ind w:left="6480" w:hanging="360"/>
      </w:pPr>
    </w:lvl>
  </w:abstractNum>
  <w:num w:numId="1" w16cid:durableId="1993169710">
    <w:abstractNumId w:val="1"/>
    <w:lvlOverride w:ilvl="0">
      <w:startOverride w:val="1"/>
    </w:lvlOverride>
  </w:num>
  <w:num w:numId="2" w16cid:durableId="199074320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FAE"/>
    <w:rsid w:val="004D1BF5"/>
    <w:rsid w:val="006434C3"/>
    <w:rsid w:val="00BF7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C623F4"/>
  <w15:docId w15:val="{E26FE3F4-A7BE-9C4D-9024-DC89C5667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2192</Words>
  <Characters>11772</Characters>
  <Application>Microsoft Office Word</Application>
  <DocSecurity>0</DocSecurity>
  <Lines>202</Lines>
  <Paragraphs>94</Paragraphs>
  <ScaleCrop>false</ScaleCrop>
  <Company/>
  <LinksUpToDate>false</LinksUpToDate>
  <CharactersWithSpaces>13870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Dave Brody</cp:lastModifiedBy>
  <cp:revision>2</cp:revision>
  <dcterms:created xsi:type="dcterms:W3CDTF">2026-06-18T22:11:00Z</dcterms:created>
  <dcterms:modified xsi:type="dcterms:W3CDTF">2026-06-18T22:11:00Z</dcterms:modified>
</cp:coreProperties>
</file>