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FE4" w:rsidRDefault="002D6C3F" w:rsidP="002D6C3F">
      <w:pPr>
        <w:pStyle w:val="Heading1"/>
      </w:pPr>
      <w:r>
        <w:t xml:space="preserve">Core Features </w:t>
      </w:r>
    </w:p>
    <w:p w:rsidR="002D6C3F" w:rsidRDefault="002D6C3F" w:rsidP="002D6C3F">
      <w:pPr>
        <w:pStyle w:val="Heading2"/>
      </w:pPr>
      <w:r>
        <w:t>General Settings</w:t>
      </w:r>
    </w:p>
    <w:p w:rsidR="002D6C3F" w:rsidRPr="002D6C3F" w:rsidRDefault="002D6C3F" w:rsidP="002D6C3F">
      <w:r>
        <w:t xml:space="preserve">All settings are controlled in the </w:t>
      </w:r>
      <w:proofErr w:type="spellStart"/>
      <w:r>
        <w:t>B.settings</w:t>
      </w:r>
      <w:proofErr w:type="spellEnd"/>
      <w:r>
        <w:t xml:space="preserve"> collection. For example, the default title for say messaging would be in the </w:t>
      </w:r>
      <w:proofErr w:type="spellStart"/>
      <w:r>
        <w:t>B.settigs.say.defTitle</w:t>
      </w:r>
      <w:proofErr w:type="spellEnd"/>
      <w:r>
        <w:t xml:space="preserve"> item. All setting values in the table below should be prefixed with </w:t>
      </w:r>
      <w:proofErr w:type="spellStart"/>
      <w:r>
        <w:t>B.settings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980"/>
        <w:gridCol w:w="4675"/>
      </w:tblGrid>
      <w:tr w:rsidR="002D6C3F" w:rsidRPr="002D6C3F" w:rsidTr="002D6C3F">
        <w:tc>
          <w:tcPr>
            <w:tcW w:w="2695" w:type="dxa"/>
            <w:shd w:val="clear" w:color="auto" w:fill="355071" w:themeFill="text2"/>
          </w:tcPr>
          <w:p w:rsidR="002D6C3F" w:rsidRPr="002D6C3F" w:rsidRDefault="002D6C3F" w:rsidP="002D6C3F">
            <w:pPr>
              <w:rPr>
                <w:color w:val="FFFFFF" w:themeColor="background1"/>
                <w:sz w:val="24"/>
                <w:szCs w:val="24"/>
              </w:rPr>
            </w:pPr>
            <w:r w:rsidRPr="002D6C3F">
              <w:rPr>
                <w:color w:val="FFFFFF" w:themeColor="background1"/>
                <w:sz w:val="24"/>
                <w:szCs w:val="24"/>
              </w:rPr>
              <w:t>Settings</w:t>
            </w:r>
          </w:p>
        </w:tc>
        <w:tc>
          <w:tcPr>
            <w:tcW w:w="1980" w:type="dxa"/>
            <w:shd w:val="clear" w:color="auto" w:fill="355071" w:themeFill="text2"/>
          </w:tcPr>
          <w:p w:rsidR="002D6C3F" w:rsidRPr="002D6C3F" w:rsidRDefault="002D6C3F" w:rsidP="002D6C3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Default</w:t>
            </w:r>
          </w:p>
        </w:tc>
        <w:tc>
          <w:tcPr>
            <w:tcW w:w="4675" w:type="dxa"/>
            <w:shd w:val="clear" w:color="auto" w:fill="355071" w:themeFill="text2"/>
          </w:tcPr>
          <w:p w:rsidR="002D6C3F" w:rsidRPr="002D6C3F" w:rsidRDefault="002D6C3F" w:rsidP="002D6C3F">
            <w:pPr>
              <w:rPr>
                <w:color w:val="FFFFFF" w:themeColor="background1"/>
                <w:sz w:val="24"/>
                <w:szCs w:val="24"/>
              </w:rPr>
            </w:pPr>
            <w:r w:rsidRPr="002D6C3F"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2D6C3F" w:rsidTr="002D6C3F">
        <w:tc>
          <w:tcPr>
            <w:tcW w:w="2695" w:type="dxa"/>
          </w:tcPr>
          <w:p w:rsidR="002D6C3F" w:rsidRDefault="002D6C3F" w:rsidP="002D6C3F">
            <w:proofErr w:type="gramStart"/>
            <w:r>
              <w:t>.</w:t>
            </w:r>
            <w:proofErr w:type="spellStart"/>
            <w:r>
              <w:t>say</w:t>
            </w:r>
            <w:proofErr w:type="gramEnd"/>
            <w:r>
              <w:t>.defTitle</w:t>
            </w:r>
            <w:proofErr w:type="spellEnd"/>
          </w:p>
        </w:tc>
        <w:tc>
          <w:tcPr>
            <w:tcW w:w="1980" w:type="dxa"/>
          </w:tcPr>
          <w:p w:rsidR="002D6C3F" w:rsidRDefault="002D6C3F" w:rsidP="002D6C3F">
            <w:r>
              <w:t>‘System Message’</w:t>
            </w:r>
          </w:p>
        </w:tc>
        <w:tc>
          <w:tcPr>
            <w:tcW w:w="4675" w:type="dxa"/>
          </w:tcPr>
          <w:p w:rsidR="002D6C3F" w:rsidRDefault="002D6C3F" w:rsidP="002D6C3F">
            <w:r>
              <w:t>The title to be used in normal “say” message dialogs if no specific title is provided or that title is provided as either blank or null.</w:t>
            </w:r>
          </w:p>
        </w:tc>
      </w:tr>
      <w:tr w:rsidR="002D6C3F" w:rsidTr="002D6C3F">
        <w:tc>
          <w:tcPr>
            <w:tcW w:w="2695" w:type="dxa"/>
          </w:tcPr>
          <w:p w:rsidR="002D6C3F" w:rsidRDefault="002D6C3F" w:rsidP="002D6C3F">
            <w:proofErr w:type="gramStart"/>
            <w:r>
              <w:t>.</w:t>
            </w:r>
            <w:proofErr w:type="spellStart"/>
            <w:r>
              <w:t>ScrollingTable</w:t>
            </w:r>
            <w:proofErr w:type="spellEnd"/>
            <w:proofErr w:type="gramEnd"/>
            <w:r>
              <w:t>.</w:t>
            </w:r>
          </w:p>
          <w:p w:rsidR="002D6C3F" w:rsidRDefault="002D6C3F" w:rsidP="002D6C3F">
            <w:r>
              <w:t xml:space="preserve">     </w:t>
            </w:r>
            <w:proofErr w:type="spellStart"/>
            <w:r>
              <w:t>fieldBackgroundColor</w:t>
            </w:r>
            <w:proofErr w:type="spellEnd"/>
          </w:p>
        </w:tc>
        <w:tc>
          <w:tcPr>
            <w:tcW w:w="1980" w:type="dxa"/>
          </w:tcPr>
          <w:p w:rsidR="002D6C3F" w:rsidRDefault="002D6C3F" w:rsidP="002D6C3F">
            <w:r>
              <w:t>‘ivory’</w:t>
            </w:r>
          </w:p>
        </w:tc>
        <w:tc>
          <w:tcPr>
            <w:tcW w:w="4675" w:type="dxa"/>
          </w:tcPr>
          <w:p w:rsidR="002D6C3F" w:rsidRDefault="002D6C3F" w:rsidP="002D6C3F">
            <w:r>
              <w:t>In a scrolling table, any area that does not have a row has this background color.</w:t>
            </w:r>
          </w:p>
        </w:tc>
      </w:tr>
      <w:tr w:rsidR="002D6C3F" w:rsidTr="002D6C3F">
        <w:tc>
          <w:tcPr>
            <w:tcW w:w="2695" w:type="dxa"/>
          </w:tcPr>
          <w:p w:rsidR="002D6C3F" w:rsidRDefault="002D6C3F" w:rsidP="002D6C3F">
            <w:proofErr w:type="gramStart"/>
            <w:r>
              <w:t>.</w:t>
            </w:r>
            <w:proofErr w:type="spellStart"/>
            <w:r>
              <w:t>ScrollingTable</w:t>
            </w:r>
            <w:proofErr w:type="spellEnd"/>
            <w:proofErr w:type="gramEnd"/>
            <w:r>
              <w:t>.</w:t>
            </w:r>
          </w:p>
          <w:p w:rsidR="002D6C3F" w:rsidRDefault="002D6C3F" w:rsidP="002D6C3F">
            <w:r>
              <w:t xml:space="preserve">     </w:t>
            </w:r>
            <w:proofErr w:type="spellStart"/>
            <w:r>
              <w:t>footerBackgroundColor</w:t>
            </w:r>
            <w:proofErr w:type="spellEnd"/>
          </w:p>
        </w:tc>
        <w:tc>
          <w:tcPr>
            <w:tcW w:w="1980" w:type="dxa"/>
          </w:tcPr>
          <w:p w:rsidR="002D6C3F" w:rsidRDefault="002D6C3F" w:rsidP="002D6C3F">
            <w:r>
              <w:t>‘</w:t>
            </w:r>
            <w:proofErr w:type="spellStart"/>
            <w:r>
              <w:t>gainsboro</w:t>
            </w:r>
            <w:proofErr w:type="spellEnd"/>
            <w:r>
              <w:t>’</w:t>
            </w:r>
          </w:p>
        </w:tc>
        <w:tc>
          <w:tcPr>
            <w:tcW w:w="4675" w:type="dxa"/>
          </w:tcPr>
          <w:p w:rsidR="002D6C3F" w:rsidRDefault="002D6C3F" w:rsidP="002D6C3F">
            <w:r>
              <w:t>Footer buttons defined for a scrolling table will have the background color defined here.</w:t>
            </w:r>
          </w:p>
        </w:tc>
      </w:tr>
      <w:tr w:rsidR="002D6C3F" w:rsidTr="002D6C3F">
        <w:tc>
          <w:tcPr>
            <w:tcW w:w="2695" w:type="dxa"/>
          </w:tcPr>
          <w:p w:rsidR="002D6C3F" w:rsidRDefault="002D6C3F" w:rsidP="002D6C3F">
            <w:proofErr w:type="gramStart"/>
            <w:r>
              <w:t>.</w:t>
            </w:r>
            <w:proofErr w:type="spellStart"/>
            <w:r>
              <w:t>ScrollingTable</w:t>
            </w:r>
            <w:proofErr w:type="spellEnd"/>
            <w:proofErr w:type="gramEnd"/>
            <w:r>
              <w:t>.</w:t>
            </w:r>
          </w:p>
          <w:p w:rsidR="002D6C3F" w:rsidRDefault="002D6C3F" w:rsidP="002D6C3F">
            <w:r>
              <w:t xml:space="preserve">     </w:t>
            </w:r>
            <w:proofErr w:type="spellStart"/>
            <w:r>
              <w:t>footerHoverColor</w:t>
            </w:r>
            <w:proofErr w:type="spellEnd"/>
          </w:p>
        </w:tc>
        <w:tc>
          <w:tcPr>
            <w:tcW w:w="1980" w:type="dxa"/>
          </w:tcPr>
          <w:p w:rsidR="002D6C3F" w:rsidRDefault="002D6C3F" w:rsidP="002D6C3F">
            <w:r>
              <w:t>‘aqua’</w:t>
            </w:r>
          </w:p>
        </w:tc>
        <w:tc>
          <w:tcPr>
            <w:tcW w:w="4675" w:type="dxa"/>
          </w:tcPr>
          <w:p w:rsidR="002D6C3F" w:rsidRDefault="002D6C3F" w:rsidP="002D6C3F">
            <w:r>
              <w:t>Footer buttons defined for a scrolling table will have the hovered background color defined here.</w:t>
            </w:r>
          </w:p>
        </w:tc>
      </w:tr>
      <w:tr w:rsidR="002D6C3F" w:rsidTr="002D6C3F">
        <w:tc>
          <w:tcPr>
            <w:tcW w:w="2695" w:type="dxa"/>
          </w:tcPr>
          <w:p w:rsidR="002D6C3F" w:rsidRDefault="002D6C3F" w:rsidP="002D6C3F">
            <w:proofErr w:type="gramStart"/>
            <w:r>
              <w:t>.</w:t>
            </w:r>
            <w:proofErr w:type="spellStart"/>
            <w:r>
              <w:t>ScrollingTable</w:t>
            </w:r>
            <w:proofErr w:type="spellEnd"/>
            <w:proofErr w:type="gramEnd"/>
            <w:r>
              <w:t>.</w:t>
            </w:r>
          </w:p>
          <w:p w:rsidR="002D6C3F" w:rsidRDefault="002D6C3F" w:rsidP="002D6C3F">
            <w:r>
              <w:t xml:space="preserve">     </w:t>
            </w:r>
            <w:proofErr w:type="spellStart"/>
            <w:r>
              <w:t>JQTheme</w:t>
            </w:r>
            <w:proofErr w:type="spellEnd"/>
          </w:p>
        </w:tc>
        <w:tc>
          <w:tcPr>
            <w:tcW w:w="1980" w:type="dxa"/>
          </w:tcPr>
          <w:p w:rsidR="002D6C3F" w:rsidRDefault="002D6C3F" w:rsidP="002D6C3F">
            <w:r>
              <w:t>True</w:t>
            </w:r>
          </w:p>
        </w:tc>
        <w:tc>
          <w:tcPr>
            <w:tcW w:w="4675" w:type="dxa"/>
          </w:tcPr>
          <w:p w:rsidR="002D6C3F" w:rsidRDefault="002D6C3F" w:rsidP="002D6C3F">
            <w:r>
              <w:t xml:space="preserve">Defines if </w:t>
            </w:r>
            <w:r w:rsidR="00D1346A">
              <w:t xml:space="preserve">scrolling tables should use the </w:t>
            </w:r>
            <w:proofErr w:type="spellStart"/>
            <w:r w:rsidR="00D1346A">
              <w:t>JQuery</w:t>
            </w:r>
            <w:proofErr w:type="spellEnd"/>
            <w:r w:rsidR="00D1346A">
              <w:t xml:space="preserve"> theme or use stylesheet properties to define general colors.</w:t>
            </w:r>
          </w:p>
        </w:tc>
      </w:tr>
    </w:tbl>
    <w:p w:rsidR="002D6C3F" w:rsidRDefault="002D6C3F" w:rsidP="002D6C3F"/>
    <w:p w:rsidR="00D1346A" w:rsidRDefault="00D1346A" w:rsidP="00D1346A">
      <w:pPr>
        <w:pStyle w:val="Heading2"/>
      </w:pPr>
      <w:r>
        <w:t>Page initialization</w:t>
      </w:r>
    </w:p>
    <w:p w:rsidR="00D1346A" w:rsidRDefault="00D1346A" w:rsidP="00D1346A">
      <w:r>
        <w:t>Any page that has the B library added will have the following things applied once all scripts have loaded:</w:t>
      </w:r>
    </w:p>
    <w:p w:rsidR="00D1346A" w:rsidRDefault="00D1346A" w:rsidP="00D1346A">
      <w:pPr>
        <w:pStyle w:val="ListParagraph"/>
        <w:numPr>
          <w:ilvl w:val="0"/>
          <w:numId w:val="1"/>
        </w:numPr>
      </w:pPr>
      <w:r>
        <w:t xml:space="preserve">Any DIV or FORM with the class </w:t>
      </w:r>
      <w:proofErr w:type="spellStart"/>
      <w:r>
        <w:t>BDialog</w:t>
      </w:r>
      <w:proofErr w:type="spellEnd"/>
      <w:r>
        <w:t xml:space="preserve"> applied will be turned into a </w:t>
      </w:r>
      <w:proofErr w:type="spellStart"/>
      <w:r>
        <w:t>JQuery</w:t>
      </w:r>
      <w:proofErr w:type="spellEnd"/>
      <w:r>
        <w:t xml:space="preserve"> dialog with the following properties:</w:t>
      </w:r>
    </w:p>
    <w:p w:rsidR="00D1346A" w:rsidRDefault="00D1346A" w:rsidP="00D1346A">
      <w:pPr>
        <w:pStyle w:val="ListParagraph"/>
        <w:numPr>
          <w:ilvl w:val="1"/>
          <w:numId w:val="1"/>
        </w:numPr>
      </w:pPr>
      <w:proofErr w:type="spellStart"/>
      <w:r>
        <w:t>autoOpen</w:t>
      </w:r>
      <w:proofErr w:type="spellEnd"/>
      <w:r>
        <w:t xml:space="preserve"> = false: This setting causes the dialog to be created, but not opened at the time of creation. Use the </w:t>
      </w:r>
      <w:proofErr w:type="spellStart"/>
      <w:r>
        <w:t>openDialog</w:t>
      </w:r>
      <w:proofErr w:type="spellEnd"/>
      <w:r>
        <w:t xml:space="preserve"> method to open and close dialogs.</w:t>
      </w:r>
    </w:p>
    <w:p w:rsidR="00D1346A" w:rsidRDefault="00D1346A" w:rsidP="00D1346A">
      <w:pPr>
        <w:pStyle w:val="ListParagraph"/>
        <w:numPr>
          <w:ilvl w:val="1"/>
          <w:numId w:val="1"/>
        </w:numPr>
      </w:pPr>
      <w:r>
        <w:t xml:space="preserve">resizable = false: User defined dialogs are not resizable by default. You can use standard </w:t>
      </w:r>
      <w:proofErr w:type="spellStart"/>
      <w:r>
        <w:t>JQuery</w:t>
      </w:r>
      <w:proofErr w:type="spellEnd"/>
      <w:r>
        <w:t xml:space="preserve"> code to change from this default if you need to.</w:t>
      </w:r>
    </w:p>
    <w:p w:rsidR="00D1346A" w:rsidRDefault="00D1346A" w:rsidP="00D1346A">
      <w:pPr>
        <w:pStyle w:val="ListParagraph"/>
        <w:numPr>
          <w:ilvl w:val="1"/>
          <w:numId w:val="1"/>
        </w:numPr>
      </w:pPr>
      <w:r>
        <w:t xml:space="preserve">modal = true: This setting causes the dialog to “take over” the screen when it is opened. Note that the rest of the browser is not locked as a true Modal dialog would cause. This benefit is provided by </w:t>
      </w:r>
      <w:proofErr w:type="spellStart"/>
      <w:r>
        <w:t>JQuery</w:t>
      </w:r>
      <w:proofErr w:type="spellEnd"/>
      <w:r>
        <w:t xml:space="preserve"> dialog usage.</w:t>
      </w:r>
    </w:p>
    <w:p w:rsidR="00D1346A" w:rsidRDefault="00D1346A" w:rsidP="00D1346A">
      <w:pPr>
        <w:pStyle w:val="ListParagraph"/>
        <w:numPr>
          <w:ilvl w:val="0"/>
          <w:numId w:val="1"/>
        </w:numPr>
      </w:pPr>
      <w:r>
        <w:t xml:space="preserve">Any FORM with the class </w:t>
      </w:r>
      <w:proofErr w:type="spellStart"/>
      <w:r>
        <w:t>BDialog</w:t>
      </w:r>
      <w:proofErr w:type="spellEnd"/>
      <w:r>
        <w:t xml:space="preserve"> applied will have the default “submit” action prevented. This will allow the developer to hand any submit actions. You can still use the </w:t>
      </w:r>
      <w:proofErr w:type="spellStart"/>
      <w:r>
        <w:t>onsubmit</w:t>
      </w:r>
      <w:proofErr w:type="spellEnd"/>
      <w:r>
        <w:t xml:space="preserve"> event if you wish.</w:t>
      </w:r>
    </w:p>
    <w:p w:rsidR="00D1346A" w:rsidRDefault="00D1346A" w:rsidP="00D1346A">
      <w:pPr>
        <w:pStyle w:val="ListParagraph"/>
        <w:numPr>
          <w:ilvl w:val="0"/>
          <w:numId w:val="1"/>
        </w:numPr>
      </w:pPr>
      <w:r>
        <w:t xml:space="preserve">Any item with a “title” property will have that property converted to a </w:t>
      </w:r>
      <w:proofErr w:type="spellStart"/>
      <w:r>
        <w:t>JQuery</w:t>
      </w:r>
      <w:proofErr w:type="spellEnd"/>
      <w:r>
        <w:t xml:space="preserve"> tooltip in “tracking” mode (meaning that the tooltip moves with the mouse cursor).</w:t>
      </w:r>
    </w:p>
    <w:p w:rsidR="00D1346A" w:rsidRDefault="00D1346A" w:rsidP="00D1346A">
      <w:pPr>
        <w:pStyle w:val="ListParagraph"/>
        <w:numPr>
          <w:ilvl w:val="0"/>
          <w:numId w:val="1"/>
        </w:numPr>
      </w:pPr>
      <w:r>
        <w:t xml:space="preserve">All buttons (BUTTON, INPUT TYPE=’BUTTON”, INPUT TYPE=’SUBMIT’) will be rendered as a </w:t>
      </w:r>
      <w:proofErr w:type="spellStart"/>
      <w:r>
        <w:t>JQuery</w:t>
      </w:r>
      <w:proofErr w:type="spellEnd"/>
      <w:r>
        <w:t xml:space="preserve"> Button. Any button dynamically created in </w:t>
      </w:r>
      <w:proofErr w:type="spellStart"/>
      <w:r>
        <w:t>Javascript</w:t>
      </w:r>
      <w:proofErr w:type="spellEnd"/>
      <w:r>
        <w:t xml:space="preserve"> will also be rendered as a </w:t>
      </w:r>
      <w:proofErr w:type="spellStart"/>
      <w:r>
        <w:t>JQuery</w:t>
      </w:r>
      <w:proofErr w:type="spellEnd"/>
      <w:r>
        <w:t xml:space="preserve"> button.</w:t>
      </w:r>
    </w:p>
    <w:p w:rsidR="00D1346A" w:rsidRDefault="00351EC4" w:rsidP="00D1346A">
      <w:pPr>
        <w:pStyle w:val="ListParagraph"/>
        <w:numPr>
          <w:ilvl w:val="0"/>
          <w:numId w:val="1"/>
        </w:numPr>
      </w:pPr>
      <w:r>
        <w:t>Any INPUT TYPE=’TEXT’ or TEXTAREA element will have the spellcheck attribute turned off.</w:t>
      </w:r>
    </w:p>
    <w:p w:rsidR="00351EC4" w:rsidRDefault="00351EC4" w:rsidP="00D1346A">
      <w:pPr>
        <w:pStyle w:val="ListParagraph"/>
        <w:numPr>
          <w:ilvl w:val="0"/>
          <w:numId w:val="1"/>
        </w:numPr>
      </w:pPr>
      <w:r>
        <w:t xml:space="preserve">Finally, if there is a method named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)… it will be run. This is where you should place code that should be run at the time the page is ready to be interacted with.</w:t>
      </w:r>
    </w:p>
    <w:p w:rsidR="00351EC4" w:rsidRDefault="00351EC4" w:rsidP="00351EC4"/>
    <w:p w:rsidR="00351EC4" w:rsidRDefault="00351EC4">
      <w:pPr>
        <w:rPr>
          <w:rFonts w:asciiTheme="majorHAnsi" w:eastAsiaTheme="majorEastAsia" w:hAnsiTheme="majorHAnsi" w:cstheme="majorBidi"/>
          <w:color w:val="107DC5" w:themeColor="accent1" w:themeShade="BF"/>
          <w:sz w:val="26"/>
          <w:szCs w:val="26"/>
        </w:rPr>
      </w:pPr>
      <w:r>
        <w:br w:type="page"/>
      </w:r>
    </w:p>
    <w:p w:rsidR="00351EC4" w:rsidRDefault="00351EC4" w:rsidP="00351EC4">
      <w:pPr>
        <w:pStyle w:val="Heading2"/>
      </w:pPr>
      <w:r>
        <w:lastRenderedPageBreak/>
        <w:t>General Functions /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351EC4" w:rsidRPr="002D6C3F" w:rsidTr="00CA0863">
        <w:tc>
          <w:tcPr>
            <w:tcW w:w="2695" w:type="dxa"/>
            <w:shd w:val="clear" w:color="auto" w:fill="355071" w:themeFill="text2"/>
          </w:tcPr>
          <w:p w:rsidR="00351EC4" w:rsidRPr="002D6C3F" w:rsidRDefault="00351EC4" w:rsidP="00763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Function Name</w:t>
            </w:r>
          </w:p>
        </w:tc>
        <w:tc>
          <w:tcPr>
            <w:tcW w:w="6655" w:type="dxa"/>
            <w:shd w:val="clear" w:color="auto" w:fill="355071" w:themeFill="text2"/>
          </w:tcPr>
          <w:p w:rsidR="00351EC4" w:rsidRPr="002D6C3F" w:rsidRDefault="00351EC4" w:rsidP="00351EC4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Usage</w:t>
            </w:r>
          </w:p>
        </w:tc>
      </w:tr>
      <w:tr w:rsidR="00351EC4" w:rsidTr="00651076">
        <w:tc>
          <w:tcPr>
            <w:tcW w:w="2695" w:type="dxa"/>
          </w:tcPr>
          <w:p w:rsidR="00351EC4" w:rsidRDefault="00351EC4" w:rsidP="00763883">
            <w:proofErr w:type="spellStart"/>
            <w:proofErr w:type="gramStart"/>
            <w:r>
              <w:t>B.months</w:t>
            </w:r>
            <w:proofErr w:type="spellEnd"/>
            <w:proofErr w:type="gramEnd"/>
          </w:p>
        </w:tc>
        <w:tc>
          <w:tcPr>
            <w:tcW w:w="6655" w:type="dxa"/>
          </w:tcPr>
          <w:p w:rsidR="00351EC4" w:rsidRDefault="00351EC4" w:rsidP="00763883">
            <w:r>
              <w:t>An array of month names (‘January’, ‘February’…). It is used by date formatting functions described later, but may be used for other purposes by the developer.</w:t>
            </w:r>
          </w:p>
        </w:tc>
      </w:tr>
      <w:tr w:rsidR="00351EC4" w:rsidTr="00651076">
        <w:tc>
          <w:tcPr>
            <w:tcW w:w="2695" w:type="dxa"/>
          </w:tcPr>
          <w:p w:rsidR="00351EC4" w:rsidRDefault="00351EC4" w:rsidP="00763883">
            <w:proofErr w:type="spellStart"/>
            <w:proofErr w:type="gramStart"/>
            <w:r>
              <w:t>B.days</w:t>
            </w:r>
            <w:proofErr w:type="spellEnd"/>
            <w:proofErr w:type="gramEnd"/>
          </w:p>
        </w:tc>
        <w:tc>
          <w:tcPr>
            <w:tcW w:w="6655" w:type="dxa"/>
          </w:tcPr>
          <w:p w:rsidR="00351EC4" w:rsidRDefault="00351EC4" w:rsidP="00763883">
            <w:r>
              <w:t>An array of day names (‘Sunday’, ‘Monday’…). It is used by date formatting functions described later, but may be used for other purposes by the developer.</w:t>
            </w:r>
          </w:p>
        </w:tc>
      </w:tr>
      <w:tr w:rsidR="00351EC4" w:rsidTr="00651076">
        <w:tc>
          <w:tcPr>
            <w:tcW w:w="2695" w:type="dxa"/>
          </w:tcPr>
          <w:p w:rsidR="00351EC4" w:rsidRDefault="00351EC4" w:rsidP="00763883">
            <w:proofErr w:type="spellStart"/>
            <w:proofErr w:type="gramStart"/>
            <w:r>
              <w:t>B.getDateParts</w:t>
            </w:r>
            <w:proofErr w:type="spellEnd"/>
            <w:proofErr w:type="gramEnd"/>
            <w:r>
              <w:t>(date)</w:t>
            </w:r>
          </w:p>
        </w:tc>
        <w:tc>
          <w:tcPr>
            <w:tcW w:w="6655" w:type="dxa"/>
          </w:tcPr>
          <w:p w:rsidR="00FC1EFA" w:rsidRDefault="00351EC4" w:rsidP="00763883">
            <w:r>
              <w:t xml:space="preserve">When passed a valid date (or string that can be converted to a date using the </w:t>
            </w:r>
            <w:proofErr w:type="spellStart"/>
            <w:r>
              <w:t>Javascript</w:t>
            </w:r>
            <w:proofErr w:type="spellEnd"/>
            <w:r>
              <w:t xml:space="preserve"> new Date(date)), it returns a collection of values that can be used for formatting or other needs. The collection returned is:</w:t>
            </w:r>
            <w:r>
              <w:br/>
            </w:r>
            <w:r w:rsidRPr="00B82811">
              <w:rPr>
                <w:b/>
              </w:rPr>
              <w:t>M</w:t>
            </w:r>
            <w:r>
              <w:t>: a number representing the month (1, 2, 3</w:t>
            </w:r>
            <w:proofErr w:type="gramStart"/>
            <w:r>
              <w:t xml:space="preserve"> ..</w:t>
            </w:r>
            <w:proofErr w:type="gramEnd"/>
            <w:r>
              <w:t xml:space="preserve"> 12)</w:t>
            </w:r>
            <w:r>
              <w:br/>
            </w:r>
            <w:r w:rsidRPr="00B82811">
              <w:rPr>
                <w:b/>
              </w:rPr>
              <w:t>MM</w:t>
            </w:r>
            <w:r>
              <w:t xml:space="preserve">: a number for the month with leading zero to make 2 digits if necessary (01, 02,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FC1EFA" w:rsidRDefault="00FC1EFA" w:rsidP="00763883">
            <w:r w:rsidRPr="00B82811">
              <w:rPr>
                <w:b/>
              </w:rPr>
              <w:t>MMM</w:t>
            </w:r>
            <w:r>
              <w:t xml:space="preserve">: </w:t>
            </w:r>
            <w:proofErr w:type="gramStart"/>
            <w:r>
              <w:t>three character</w:t>
            </w:r>
            <w:proofErr w:type="gramEnd"/>
            <w:r>
              <w:t xml:space="preserve"> representation of month (‘Jan’, ‘Feb’…)</w:t>
            </w:r>
          </w:p>
          <w:p w:rsidR="00351EC4" w:rsidRDefault="00FC1EFA" w:rsidP="00763883">
            <w:r w:rsidRPr="00B82811">
              <w:rPr>
                <w:b/>
              </w:rPr>
              <w:t>MMMM</w:t>
            </w:r>
            <w:r>
              <w:t>: full name of month (‘January’, ‘February’…)</w:t>
            </w:r>
            <w:r w:rsidR="00351EC4">
              <w:br/>
            </w:r>
            <w:r w:rsidR="00351EC4" w:rsidRPr="00B82811">
              <w:rPr>
                <w:b/>
              </w:rPr>
              <w:t>D</w:t>
            </w:r>
            <w:r w:rsidR="00351EC4">
              <w:t>: a number representing the day of month (1, 2 … 31)</w:t>
            </w:r>
          </w:p>
          <w:p w:rsidR="00351EC4" w:rsidRDefault="00351EC4" w:rsidP="00763883">
            <w:r w:rsidRPr="00B82811">
              <w:rPr>
                <w:b/>
              </w:rPr>
              <w:t>DD</w:t>
            </w:r>
            <w:r>
              <w:t>: a number for the day of month with leading zero to make 2 digits if necessary (01, 02 … 31)</w:t>
            </w:r>
          </w:p>
          <w:p w:rsidR="00FC1EFA" w:rsidRDefault="00FC1EFA" w:rsidP="00763883">
            <w:r w:rsidRPr="00B82811">
              <w:rPr>
                <w:b/>
              </w:rPr>
              <w:t>DDD</w:t>
            </w:r>
            <w:r>
              <w:t xml:space="preserve">: </w:t>
            </w:r>
            <w:proofErr w:type="gramStart"/>
            <w:r>
              <w:t>three character</w:t>
            </w:r>
            <w:proofErr w:type="gramEnd"/>
            <w:r>
              <w:t xml:space="preserve"> representation of day of week (‘</w:t>
            </w:r>
            <w:proofErr w:type="spellStart"/>
            <w:r>
              <w:t>Sun’,’Mon</w:t>
            </w:r>
            <w:proofErr w:type="spellEnd"/>
            <w:r>
              <w:t>’…)</w:t>
            </w:r>
          </w:p>
          <w:p w:rsidR="00FC1EFA" w:rsidRDefault="00FC1EFA" w:rsidP="00763883">
            <w:r w:rsidRPr="00B82811">
              <w:rPr>
                <w:b/>
              </w:rPr>
              <w:t>DDDD</w:t>
            </w:r>
            <w:r>
              <w:t>: full name of day of week (‘</w:t>
            </w:r>
            <w:proofErr w:type="spellStart"/>
            <w:r>
              <w:t>Sunday’,’Monday</w:t>
            </w:r>
            <w:proofErr w:type="spellEnd"/>
            <w:r>
              <w:t>’…)</w:t>
            </w:r>
          </w:p>
          <w:p w:rsidR="00351EC4" w:rsidRDefault="00FC1EFA" w:rsidP="00763883">
            <w:r w:rsidRPr="00B82811">
              <w:rPr>
                <w:b/>
              </w:rPr>
              <w:t>YYYY</w:t>
            </w:r>
            <w:r>
              <w:t>: The year using 4 digits</w:t>
            </w:r>
          </w:p>
          <w:p w:rsidR="00FC1EFA" w:rsidRDefault="00FC1EFA" w:rsidP="00763883">
            <w:r w:rsidRPr="00B82811">
              <w:rPr>
                <w:b/>
              </w:rPr>
              <w:t>H</w:t>
            </w:r>
            <w:r>
              <w:t xml:space="preserve">: the hour of day starting – to be used along with the </w:t>
            </w:r>
            <w:proofErr w:type="spellStart"/>
            <w:r>
              <w:t>ap</w:t>
            </w:r>
            <w:proofErr w:type="spellEnd"/>
            <w:r>
              <w:t xml:space="preserve"> value (1</w:t>
            </w:r>
            <w:proofErr w:type="gramStart"/>
            <w:r>
              <w:t xml:space="preserve"> ..</w:t>
            </w:r>
            <w:proofErr w:type="gramEnd"/>
            <w:r>
              <w:t xml:space="preserve"> 12)</w:t>
            </w:r>
          </w:p>
          <w:p w:rsidR="00FC1EFA" w:rsidRDefault="00FC1EFA" w:rsidP="00763883">
            <w:r w:rsidRPr="00B82811">
              <w:rPr>
                <w:b/>
              </w:rPr>
              <w:t>HH</w:t>
            </w:r>
            <w:r>
              <w:t>: two digit hour of the day (01</w:t>
            </w:r>
            <w:proofErr w:type="gramStart"/>
            <w:r>
              <w:t xml:space="preserve"> ..</w:t>
            </w:r>
            <w:proofErr w:type="gramEnd"/>
            <w:r>
              <w:t xml:space="preserve"> 12)</w:t>
            </w:r>
          </w:p>
          <w:p w:rsidR="00FC1EFA" w:rsidRDefault="00FC1EFA" w:rsidP="00763883">
            <w:proofErr w:type="spellStart"/>
            <w:r w:rsidRPr="00B82811">
              <w:rPr>
                <w:b/>
              </w:rPr>
              <w:t>ap</w:t>
            </w:r>
            <w:proofErr w:type="spellEnd"/>
            <w:r>
              <w:t>: Lower case a or p designating AM or PM time for the H and HH values</w:t>
            </w:r>
          </w:p>
          <w:p w:rsidR="00FC1EFA" w:rsidRDefault="00FC1EFA" w:rsidP="00763883">
            <w:r w:rsidRPr="00B82811">
              <w:rPr>
                <w:b/>
              </w:rPr>
              <w:t>NN</w:t>
            </w:r>
            <w:r>
              <w:t xml:space="preserve">: </w:t>
            </w:r>
            <w:proofErr w:type="gramStart"/>
            <w:r>
              <w:t>two digit</w:t>
            </w:r>
            <w:proofErr w:type="gramEnd"/>
            <w:r>
              <w:t xml:space="preserve"> value for minutes</w:t>
            </w:r>
          </w:p>
          <w:p w:rsidR="00FC1EFA" w:rsidRDefault="00FC1EFA" w:rsidP="00763883">
            <w:r w:rsidRPr="00B82811">
              <w:rPr>
                <w:b/>
              </w:rPr>
              <w:t>SS</w:t>
            </w:r>
            <w:r>
              <w:t xml:space="preserve">: </w:t>
            </w:r>
            <w:proofErr w:type="gramStart"/>
            <w:r>
              <w:t>two digit</w:t>
            </w:r>
            <w:proofErr w:type="gramEnd"/>
            <w:r>
              <w:t xml:space="preserve"> value for the seconds</w:t>
            </w:r>
          </w:p>
          <w:p w:rsidR="00FC1EFA" w:rsidRDefault="00FC1EFA" w:rsidP="00763883">
            <w:proofErr w:type="spellStart"/>
            <w:r w:rsidRPr="00B82811">
              <w:rPr>
                <w:b/>
              </w:rPr>
              <w:t>sss</w:t>
            </w:r>
            <w:proofErr w:type="spellEnd"/>
            <w:r>
              <w:t>: (lower case) milliseconds as a number from 0 to 999</w:t>
            </w:r>
          </w:p>
          <w:p w:rsidR="00FC1EFA" w:rsidRDefault="00FC1EFA" w:rsidP="00763883"/>
          <w:p w:rsidR="00FC1EFA" w:rsidRDefault="00FC1EFA" w:rsidP="00763883">
            <w:r>
              <w:t xml:space="preserve">The entire collection is returned {M:0, MM:’00’, </w:t>
            </w:r>
            <w:proofErr w:type="spellStart"/>
            <w:r>
              <w:t>MMM:’Jan</w:t>
            </w:r>
            <w:proofErr w:type="spellEnd"/>
            <w:r>
              <w:t xml:space="preserve">’, </w:t>
            </w:r>
            <w:proofErr w:type="spellStart"/>
            <w:r>
              <w:t>MMMM:’January</w:t>
            </w:r>
            <w:proofErr w:type="spellEnd"/>
            <w:r>
              <w:t xml:space="preserve">’, D:0, DD:’00’, </w:t>
            </w:r>
            <w:proofErr w:type="spellStart"/>
            <w:r>
              <w:t>DDD:’Mon</w:t>
            </w:r>
            <w:proofErr w:type="spellEnd"/>
            <w:r>
              <w:t xml:space="preserve">’, </w:t>
            </w:r>
            <w:proofErr w:type="spellStart"/>
            <w:r>
              <w:t>DDDD:’Monday</w:t>
            </w:r>
            <w:proofErr w:type="spellEnd"/>
            <w:r>
              <w:t xml:space="preserve">’, YYYY:2017, H:8, HH:’08’, </w:t>
            </w:r>
            <w:proofErr w:type="spellStart"/>
            <w:r>
              <w:t>ap</w:t>
            </w:r>
            <w:proofErr w:type="spellEnd"/>
            <w:r>
              <w:t>:’p’, NN:18, SS:35, sss:273</w:t>
            </w:r>
            <w:r w:rsidR="00B82811">
              <w:t>}</w:t>
            </w:r>
          </w:p>
        </w:tc>
      </w:tr>
      <w:tr w:rsidR="00B82811" w:rsidTr="00651076">
        <w:tc>
          <w:tcPr>
            <w:tcW w:w="2695" w:type="dxa"/>
          </w:tcPr>
          <w:p w:rsidR="00B82811" w:rsidRDefault="00B82811" w:rsidP="00763883">
            <w:proofErr w:type="spellStart"/>
            <w:proofErr w:type="gramStart"/>
            <w:r>
              <w:t>B.format</w:t>
            </w:r>
            <w:proofErr w:type="spellEnd"/>
            <w:proofErr w:type="gramEnd"/>
          </w:p>
        </w:tc>
        <w:tc>
          <w:tcPr>
            <w:tcW w:w="6655" w:type="dxa"/>
          </w:tcPr>
          <w:p w:rsidR="00B82811" w:rsidRDefault="00B82811" w:rsidP="00763883">
            <w:r>
              <w:t xml:space="preserve">Collection of formatting methods defined below. When using these methods, call them as </w:t>
            </w:r>
            <w:proofErr w:type="spellStart"/>
            <w:proofErr w:type="gramStart"/>
            <w:r>
              <w:t>B.format</w:t>
            </w:r>
            <w:proofErr w:type="gramEnd"/>
            <w:r>
              <w:t>.METHOD</w:t>
            </w:r>
            <w:proofErr w:type="spellEnd"/>
            <w:r>
              <w:t xml:space="preserve">. For example, format a number to 3 decimal places, using </w:t>
            </w:r>
            <w:proofErr w:type="spellStart"/>
            <w:proofErr w:type="gramStart"/>
            <w:r>
              <w:t>B.format</w:t>
            </w:r>
            <w:proofErr w:type="gramEnd"/>
            <w:r>
              <w:t>.DECIMALPLACES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 xml:space="preserve">, 3). </w:t>
            </w:r>
          </w:p>
        </w:tc>
      </w:tr>
      <w:tr w:rsidR="00B82811" w:rsidTr="00651076">
        <w:tc>
          <w:tcPr>
            <w:tcW w:w="2695" w:type="dxa"/>
          </w:tcPr>
          <w:p w:rsidR="00B82811" w:rsidRDefault="00B82811" w:rsidP="00763883">
            <w:proofErr w:type="gramStart"/>
            <w:r>
              <w:t>.DECIMALPLACES</w:t>
            </w:r>
            <w:proofErr w:type="gramEnd"/>
            <w:r>
              <w:t>(</w:t>
            </w:r>
            <w:proofErr w:type="spellStart"/>
            <w:r>
              <w:t>num</w:t>
            </w:r>
            <w:proofErr w:type="spellEnd"/>
            <w:r>
              <w:t xml:space="preserve">, </w:t>
            </w:r>
            <w:proofErr w:type="spellStart"/>
            <w:r>
              <w:t>plcs</w:t>
            </w:r>
            <w:proofErr w:type="spellEnd"/>
            <w:r>
              <w:t>)</w:t>
            </w:r>
          </w:p>
        </w:tc>
        <w:tc>
          <w:tcPr>
            <w:tcW w:w="6655" w:type="dxa"/>
          </w:tcPr>
          <w:p w:rsidR="00B82811" w:rsidRDefault="00B82811" w:rsidP="00763883">
            <w:r>
              <w:t xml:space="preserve">Rounds any value to the number of places defined. If the </w:t>
            </w:r>
            <w:proofErr w:type="spellStart"/>
            <w:r>
              <w:t>num</w:t>
            </w:r>
            <w:proofErr w:type="spellEnd"/>
            <w:r>
              <w:t xml:space="preserve"> value is not numeric, it returns 0.000 (number of places). Examples:</w:t>
            </w:r>
            <w:r>
              <w:br/>
            </w:r>
            <w:proofErr w:type="spellStart"/>
            <w:proofErr w:type="gramStart"/>
            <w:r>
              <w:t>B.format</w:t>
            </w:r>
            <w:proofErr w:type="gramEnd"/>
            <w:r>
              <w:t>.DECIMALPLACES</w:t>
            </w:r>
            <w:proofErr w:type="spellEnd"/>
            <w:r>
              <w:t>(1,4) -&gt; 1.0000</w:t>
            </w:r>
            <w:r>
              <w:br/>
            </w:r>
            <w:proofErr w:type="spellStart"/>
            <w:r>
              <w:t>B.format.DECIMALPLACES</w:t>
            </w:r>
            <w:proofErr w:type="spellEnd"/>
            <w:r>
              <w:t>(10/3, 2) -&gt; 3.333</w:t>
            </w:r>
          </w:p>
          <w:p w:rsidR="008F2156" w:rsidRDefault="008F2156" w:rsidP="00763883"/>
          <w:p w:rsidR="008F2156" w:rsidRDefault="008F2156" w:rsidP="00763883">
            <w:r>
              <w:t>If the number passed in is &lt; 1, a leading zero is applied. Example:</w:t>
            </w:r>
          </w:p>
          <w:p w:rsidR="008F2156" w:rsidRDefault="008F2156" w:rsidP="00763883">
            <w:proofErr w:type="spellStart"/>
            <w:proofErr w:type="gramStart"/>
            <w:r>
              <w:t>B.format</w:t>
            </w:r>
            <w:proofErr w:type="gramEnd"/>
            <w:r>
              <w:t>.DECIMALPLACES</w:t>
            </w:r>
            <w:proofErr w:type="spellEnd"/>
            <w:r>
              <w:t>(.5, 3) -&gt; 0.500</w:t>
            </w:r>
          </w:p>
          <w:p w:rsidR="00B82811" w:rsidRDefault="00B82811" w:rsidP="00763883"/>
          <w:p w:rsidR="00B82811" w:rsidRDefault="00B82811" w:rsidP="00763883">
            <w:r>
              <w:t xml:space="preserve">This also </w:t>
            </w:r>
            <w:r w:rsidR="008F2156">
              <w:t>adds commas in appropriate locations. Example:</w:t>
            </w:r>
          </w:p>
          <w:p w:rsidR="008F2156" w:rsidRDefault="008F2156" w:rsidP="00763883">
            <w:proofErr w:type="spellStart"/>
            <w:proofErr w:type="gramStart"/>
            <w:r>
              <w:t>B.format</w:t>
            </w:r>
            <w:proofErr w:type="gramEnd"/>
            <w:r>
              <w:t>.DECIMALPLACES</w:t>
            </w:r>
            <w:proofErr w:type="spellEnd"/>
            <w:r>
              <w:t>(15231, 2) -&gt; 15,231.00</w:t>
            </w:r>
          </w:p>
        </w:tc>
      </w:tr>
      <w:tr w:rsidR="00B82811" w:rsidTr="00651076">
        <w:tc>
          <w:tcPr>
            <w:tcW w:w="2695" w:type="dxa"/>
          </w:tcPr>
          <w:p w:rsidR="00B82811" w:rsidRDefault="00B82811" w:rsidP="00763883">
            <w:proofErr w:type="gramStart"/>
            <w:r>
              <w:t>.ASLINK</w:t>
            </w:r>
            <w:proofErr w:type="gramEnd"/>
            <w:r>
              <w:t>(html)</w:t>
            </w:r>
          </w:p>
        </w:tc>
        <w:tc>
          <w:tcPr>
            <w:tcW w:w="6655" w:type="dxa"/>
          </w:tcPr>
          <w:p w:rsidR="00B82811" w:rsidRDefault="00B82811" w:rsidP="00763883">
            <w:r>
              <w:t xml:space="preserve">Returns the html passed in surrounded in a &lt;span class=’anchor&gt; tag. The anchor </w:t>
            </w:r>
            <w:proofErr w:type="spellStart"/>
            <w:r>
              <w:t>css</w:t>
            </w:r>
            <w:proofErr w:type="spellEnd"/>
            <w:r>
              <w:t xml:space="preserve"> class is defined in B&lt;</w:t>
            </w:r>
            <w:proofErr w:type="spellStart"/>
            <w:r>
              <w:t>ver</w:t>
            </w:r>
            <w:proofErr w:type="spellEnd"/>
            <w:r>
              <w:t>&gt;.</w:t>
            </w:r>
            <w:proofErr w:type="spellStart"/>
            <w:r>
              <w:t>css</w:t>
            </w:r>
            <w:proofErr w:type="spellEnd"/>
            <w:r>
              <w:t xml:space="preserve"> and displays as blue text that changes to green underlined when hovered. This can be used when the click behavior is defined at a higher level (such as in the </w:t>
            </w:r>
            <w:proofErr w:type="spellStart"/>
            <w:proofErr w:type="gramStart"/>
            <w:r>
              <w:t>B.Tree</w:t>
            </w:r>
            <w:proofErr w:type="spellEnd"/>
            <w:proofErr w:type="gramEnd"/>
            <w:r>
              <w:t xml:space="preserve"> object but you want items to work like anchors.</w:t>
            </w:r>
          </w:p>
        </w:tc>
      </w:tr>
      <w:tr w:rsidR="00B82811" w:rsidTr="00651076">
        <w:tc>
          <w:tcPr>
            <w:tcW w:w="2695" w:type="dxa"/>
          </w:tcPr>
          <w:p w:rsidR="00B82811" w:rsidRDefault="00B82811" w:rsidP="00763883">
            <w:proofErr w:type="gramStart"/>
            <w:r>
              <w:t>.DOLLARS</w:t>
            </w:r>
            <w:proofErr w:type="gramEnd"/>
            <w:r>
              <w:t>(</w:t>
            </w:r>
            <w:proofErr w:type="spellStart"/>
            <w:r>
              <w:t>num</w:t>
            </w:r>
            <w:proofErr w:type="spellEnd"/>
            <w:r>
              <w:t>)</w:t>
            </w:r>
          </w:p>
        </w:tc>
        <w:tc>
          <w:tcPr>
            <w:tcW w:w="6655" w:type="dxa"/>
          </w:tcPr>
          <w:p w:rsidR="00B82811" w:rsidRDefault="00B82811" w:rsidP="00763883">
            <w:r>
              <w:t xml:space="preserve">This </w:t>
            </w:r>
            <w:r w:rsidR="008F2156">
              <w:t xml:space="preserve">is really just a shortcut to calling </w:t>
            </w:r>
            <w:proofErr w:type="gramStart"/>
            <w:r w:rsidR="008F2156">
              <w:t>B.DECIMALPLACES</w:t>
            </w:r>
            <w:proofErr w:type="gramEnd"/>
            <w:r w:rsidR="008F2156">
              <w:t>(num,2) and putting a dollar sign at the beginning. Example:</w:t>
            </w:r>
          </w:p>
          <w:p w:rsidR="008F2156" w:rsidRDefault="008F2156" w:rsidP="00763883">
            <w:proofErr w:type="spellStart"/>
            <w:proofErr w:type="gramStart"/>
            <w:r>
              <w:lastRenderedPageBreak/>
              <w:t>B.format</w:t>
            </w:r>
            <w:proofErr w:type="gramEnd"/>
            <w:r>
              <w:t>.DOLLARS</w:t>
            </w:r>
            <w:proofErr w:type="spellEnd"/>
            <w:r>
              <w:t>(10) -&gt; $10.00</w:t>
            </w:r>
          </w:p>
        </w:tc>
      </w:tr>
      <w:tr w:rsidR="008F2156" w:rsidTr="00651076">
        <w:tc>
          <w:tcPr>
            <w:tcW w:w="2695" w:type="dxa"/>
          </w:tcPr>
          <w:p w:rsidR="008F2156" w:rsidRDefault="008F2156" w:rsidP="00763883">
            <w:proofErr w:type="gramStart"/>
            <w:r>
              <w:lastRenderedPageBreak/>
              <w:t>.COMMAS</w:t>
            </w:r>
            <w:proofErr w:type="gramEnd"/>
            <w:r>
              <w:t>(</w:t>
            </w:r>
            <w:proofErr w:type="spellStart"/>
            <w:r>
              <w:t>num</w:t>
            </w:r>
            <w:proofErr w:type="spellEnd"/>
            <w:r>
              <w:t>)</w:t>
            </w:r>
          </w:p>
        </w:tc>
        <w:tc>
          <w:tcPr>
            <w:tcW w:w="6655" w:type="dxa"/>
          </w:tcPr>
          <w:p w:rsidR="008F2156" w:rsidRDefault="008F2156" w:rsidP="00763883">
            <w:r>
              <w:t xml:space="preserve">This is really just a shortcut to calling </w:t>
            </w:r>
            <w:proofErr w:type="gramStart"/>
            <w:r>
              <w:t>B.DECIMALPLACES</w:t>
            </w:r>
            <w:proofErr w:type="gramEnd"/>
            <w:r>
              <w:t>(num,0)</w:t>
            </w:r>
          </w:p>
        </w:tc>
      </w:tr>
      <w:tr w:rsidR="008F2156" w:rsidTr="00651076">
        <w:tc>
          <w:tcPr>
            <w:tcW w:w="2695" w:type="dxa"/>
          </w:tcPr>
          <w:p w:rsidR="008F2156" w:rsidRDefault="008F2156" w:rsidP="00763883">
            <w:r>
              <w:t>.INT(</w:t>
            </w:r>
            <w:proofErr w:type="spellStart"/>
            <w:r>
              <w:t>num</w:t>
            </w:r>
            <w:proofErr w:type="spellEnd"/>
            <w:r>
              <w:t>)</w:t>
            </w:r>
          </w:p>
        </w:tc>
        <w:tc>
          <w:tcPr>
            <w:tcW w:w="6655" w:type="dxa"/>
          </w:tcPr>
          <w:p w:rsidR="008F2156" w:rsidRDefault="008F2156" w:rsidP="00763883">
            <w:r>
              <w:t xml:space="preserve">In general, this just uses </w:t>
            </w:r>
            <w:proofErr w:type="spellStart"/>
            <w:r>
              <w:t>parseInt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 xml:space="preserve">), but handles cases where </w:t>
            </w:r>
            <w:proofErr w:type="spellStart"/>
            <w:r>
              <w:t>num</w:t>
            </w:r>
            <w:proofErr w:type="spellEnd"/>
            <w:r>
              <w:t xml:space="preserve"> is not numeric by just returning the value as it was passed.</w:t>
            </w:r>
          </w:p>
        </w:tc>
      </w:tr>
      <w:tr w:rsidR="008F2156" w:rsidTr="00651076">
        <w:tc>
          <w:tcPr>
            <w:tcW w:w="2695" w:type="dxa"/>
          </w:tcPr>
          <w:p w:rsidR="008F2156" w:rsidRDefault="008F2156" w:rsidP="00763883">
            <w:proofErr w:type="gramStart"/>
            <w:r>
              <w:t>.LEFTPAD</w:t>
            </w:r>
            <w:proofErr w:type="gramEnd"/>
            <w:r>
              <w:t>(</w:t>
            </w:r>
            <w:proofErr w:type="spellStart"/>
            <w:r>
              <w:t>val,char,places</w:t>
            </w:r>
            <w:proofErr w:type="spellEnd"/>
            <w:r>
              <w:t>)</w:t>
            </w:r>
          </w:p>
        </w:tc>
        <w:tc>
          <w:tcPr>
            <w:tcW w:w="6655" w:type="dxa"/>
          </w:tcPr>
          <w:p w:rsidR="008F2156" w:rsidRDefault="008F2156" w:rsidP="00763883">
            <w:r>
              <w:t xml:space="preserve">Adds char to the left of </w:t>
            </w:r>
            <w:proofErr w:type="spellStart"/>
            <w:r>
              <w:t>val</w:t>
            </w:r>
            <w:proofErr w:type="spellEnd"/>
            <w:r>
              <w:t xml:space="preserve"> as many times till the string is at least places long. Examples:</w:t>
            </w:r>
          </w:p>
          <w:p w:rsidR="008F2156" w:rsidRDefault="008F2156" w:rsidP="00763883">
            <w:proofErr w:type="spellStart"/>
            <w:proofErr w:type="gramStart"/>
            <w:r>
              <w:t>B.format</w:t>
            </w:r>
            <w:proofErr w:type="gramEnd"/>
            <w:r>
              <w:t>.LEFTPAD</w:t>
            </w:r>
            <w:proofErr w:type="spellEnd"/>
            <w:r>
              <w:t>(25,’0’,5) -&gt; ‘00025’</w:t>
            </w:r>
          </w:p>
          <w:p w:rsidR="008F2156" w:rsidRDefault="008F2156" w:rsidP="00763883">
            <w:proofErr w:type="spellStart"/>
            <w:proofErr w:type="gramStart"/>
            <w:r>
              <w:t>B.format</w:t>
            </w:r>
            <w:proofErr w:type="gramEnd"/>
            <w:r>
              <w:t>.LEFTPAD</w:t>
            </w:r>
            <w:proofErr w:type="spellEnd"/>
            <w:r>
              <w:t>(‘DAN’,’-‘,10) -&gt; ‘-------DAN’</w:t>
            </w:r>
          </w:p>
          <w:p w:rsidR="008F2156" w:rsidRDefault="008F2156" w:rsidP="00763883">
            <w:proofErr w:type="spellStart"/>
            <w:proofErr w:type="gramStart"/>
            <w:r>
              <w:t>B.format</w:t>
            </w:r>
            <w:proofErr w:type="gramEnd"/>
            <w:r>
              <w:t>.LEFTPAD</w:t>
            </w:r>
            <w:proofErr w:type="spellEnd"/>
            <w:r>
              <w:t>(‘ROOSEVELT’,’*’,5) -&gt; ‘ROOSEVELT’</w:t>
            </w:r>
          </w:p>
        </w:tc>
      </w:tr>
      <w:tr w:rsidR="008F2156" w:rsidTr="00651076">
        <w:tc>
          <w:tcPr>
            <w:tcW w:w="2695" w:type="dxa"/>
          </w:tcPr>
          <w:p w:rsidR="008F2156" w:rsidRDefault="00AA6E9E" w:rsidP="00763883">
            <w:proofErr w:type="gramStart"/>
            <w:r>
              <w:t>.LEFTZEROPAD</w:t>
            </w:r>
            <w:proofErr w:type="gramEnd"/>
            <w:r>
              <w:t>(</w:t>
            </w:r>
            <w:proofErr w:type="spellStart"/>
            <w:r>
              <w:t>val,places</w:t>
            </w:r>
            <w:proofErr w:type="spellEnd"/>
            <w:r>
              <w:t>)</w:t>
            </w:r>
          </w:p>
        </w:tc>
        <w:tc>
          <w:tcPr>
            <w:tcW w:w="6655" w:type="dxa"/>
          </w:tcPr>
          <w:p w:rsidR="008F2156" w:rsidRDefault="00AA6E9E" w:rsidP="00763883">
            <w:r>
              <w:t xml:space="preserve">Shortcut to </w:t>
            </w:r>
            <w:proofErr w:type="gramStart"/>
            <w:r>
              <w:t>calling .LEFTPAD</w:t>
            </w:r>
            <w:proofErr w:type="gramEnd"/>
            <w:r>
              <w:t xml:space="preserve"> with ‘0’ as the character</w:t>
            </w:r>
          </w:p>
        </w:tc>
      </w:tr>
      <w:tr w:rsidR="00AA6E9E" w:rsidTr="00651076">
        <w:tc>
          <w:tcPr>
            <w:tcW w:w="2695" w:type="dxa"/>
          </w:tcPr>
          <w:p w:rsidR="00AA6E9E" w:rsidRDefault="00AA6E9E" w:rsidP="00763883">
            <w:proofErr w:type="gramStart"/>
            <w:r>
              <w:t>.TRIM</w:t>
            </w:r>
            <w:proofErr w:type="gramEnd"/>
            <w:r>
              <w:t>(txt)</w:t>
            </w:r>
          </w:p>
        </w:tc>
        <w:tc>
          <w:tcPr>
            <w:tcW w:w="6655" w:type="dxa"/>
          </w:tcPr>
          <w:p w:rsidR="00AA6E9E" w:rsidRDefault="00AA6E9E" w:rsidP="00763883">
            <w:r>
              <w:t>Performs a full trim (leading and trailing) on the string</w:t>
            </w:r>
          </w:p>
        </w:tc>
      </w:tr>
      <w:tr w:rsidR="00AA6E9E" w:rsidTr="00651076">
        <w:tc>
          <w:tcPr>
            <w:tcW w:w="2695" w:type="dxa"/>
          </w:tcPr>
          <w:p w:rsidR="00AA6E9E" w:rsidRDefault="00AA6E9E" w:rsidP="00763883">
            <w:proofErr w:type="gramStart"/>
            <w:r>
              <w:t>.UTRIM</w:t>
            </w:r>
            <w:proofErr w:type="gramEnd"/>
            <w:r>
              <w:t>(txt)</w:t>
            </w:r>
          </w:p>
        </w:tc>
        <w:tc>
          <w:tcPr>
            <w:tcW w:w="6655" w:type="dxa"/>
          </w:tcPr>
          <w:p w:rsidR="00AA6E9E" w:rsidRDefault="008A1B17" w:rsidP="00763883">
            <w:r>
              <w:t xml:space="preserve">Performs a </w:t>
            </w:r>
            <w:proofErr w:type="spellStart"/>
            <w:proofErr w:type="gramStart"/>
            <w:r>
              <w:t>B.format</w:t>
            </w:r>
            <w:proofErr w:type="gramEnd"/>
            <w:r>
              <w:t>.TRIM</w:t>
            </w:r>
            <w:proofErr w:type="spellEnd"/>
            <w:r>
              <w:t>() and then converts to upper case</w:t>
            </w:r>
          </w:p>
        </w:tc>
      </w:tr>
      <w:tr w:rsidR="008A1B17" w:rsidTr="00651076">
        <w:tc>
          <w:tcPr>
            <w:tcW w:w="2695" w:type="dxa"/>
          </w:tcPr>
          <w:p w:rsidR="008A1B17" w:rsidRDefault="008A1B17" w:rsidP="00763883">
            <w:proofErr w:type="gramStart"/>
            <w:r>
              <w:t>.UPTRIM</w:t>
            </w:r>
            <w:proofErr w:type="gramEnd"/>
            <w:r>
              <w:t>(txt)</w:t>
            </w:r>
          </w:p>
        </w:tc>
        <w:tc>
          <w:tcPr>
            <w:tcW w:w="6655" w:type="dxa"/>
          </w:tcPr>
          <w:p w:rsidR="008A1B17" w:rsidRDefault="008A1B17" w:rsidP="00763883">
            <w:r>
              <w:t>Same as UTRIM – because lots of people try to use UP instead of just U</w:t>
            </w:r>
          </w:p>
        </w:tc>
      </w:tr>
      <w:tr w:rsidR="008A1B17" w:rsidTr="00651076">
        <w:tc>
          <w:tcPr>
            <w:tcW w:w="2695" w:type="dxa"/>
          </w:tcPr>
          <w:p w:rsidR="008A1B17" w:rsidRDefault="008A1B17" w:rsidP="00763883">
            <w:bookmarkStart w:id="0" w:name="_GoBack"/>
            <w:bookmarkEnd w:id="0"/>
          </w:p>
        </w:tc>
        <w:tc>
          <w:tcPr>
            <w:tcW w:w="6655" w:type="dxa"/>
          </w:tcPr>
          <w:p w:rsidR="008A1B17" w:rsidRDefault="008A1B17" w:rsidP="00763883"/>
        </w:tc>
      </w:tr>
    </w:tbl>
    <w:p w:rsidR="00351EC4" w:rsidRPr="00351EC4" w:rsidRDefault="00351EC4" w:rsidP="00351EC4"/>
    <w:sectPr w:rsidR="00351EC4" w:rsidRPr="00351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578E"/>
    <w:multiLevelType w:val="hybridMultilevel"/>
    <w:tmpl w:val="B6347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18"/>
    <w:rsid w:val="001029BE"/>
    <w:rsid w:val="002D6C3F"/>
    <w:rsid w:val="002F4DBB"/>
    <w:rsid w:val="00351EC4"/>
    <w:rsid w:val="0051732D"/>
    <w:rsid w:val="00892318"/>
    <w:rsid w:val="008A1B17"/>
    <w:rsid w:val="008F2156"/>
    <w:rsid w:val="00AA6E9E"/>
    <w:rsid w:val="00B82811"/>
    <w:rsid w:val="00D1346A"/>
    <w:rsid w:val="00FA3FA4"/>
    <w:rsid w:val="00FC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7A35"/>
  <w15:chartTrackingRefBased/>
  <w15:docId w15:val="{952903A6-9FB4-4CD3-8B3B-DA39EE03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07DC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3F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6C3F"/>
    <w:rPr>
      <w:rFonts w:asciiTheme="majorHAnsi" w:eastAsiaTheme="majorEastAsia" w:hAnsiTheme="majorHAnsi" w:cstheme="majorBidi"/>
      <w:color w:val="107DC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6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Brussee</dc:creator>
  <cp:keywords/>
  <dc:description/>
  <cp:lastModifiedBy>Dan Brussee</cp:lastModifiedBy>
  <cp:revision>4</cp:revision>
  <dcterms:created xsi:type="dcterms:W3CDTF">2017-08-06T13:03:00Z</dcterms:created>
  <dcterms:modified xsi:type="dcterms:W3CDTF">2017-08-07T10:35:00Z</dcterms:modified>
</cp:coreProperties>
</file>