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Planning Report</w:t>
      </w:r>
    </w:p>
    <w:p>
      <w:r>
        <w:t>The marketing budget for the northern region increased by twelve percent.</w:t>
      </w:r>
    </w:p>
    <w:p>
      <w:r>
        <w:t xml:space="preserve">Revenue projections </w:t>
      </w:r>
      <w:r>
        <w:rPr>
          <w:b/>
        </w:rPr>
        <w:t>look strong</w:t>
      </w:r>
      <w:r>
        <w:t xml:space="preserve"> for the café expansion.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Headcount</w:t>
            </w:r>
          </w:p>
        </w:tc>
      </w:tr>
      <w:tr>
        <w:tc>
          <w:tcPr>
            <w:tcW w:type="dxa" w:w="4320"/>
          </w:tcPr>
          <w:p>
            <w:r>
              <w:t>Northwind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page marker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