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D2CF3" w14:textId="4DE5FA3F" w:rsidR="00E06359" w:rsidRPr="003619C6" w:rsidRDefault="00153E06">
      <w:pPr>
        <w:rPr>
          <w:sz w:val="32"/>
        </w:rPr>
      </w:pPr>
      <w:r w:rsidRPr="003619C6">
        <w:rPr>
          <w:sz w:val="32"/>
        </w:rPr>
        <w:t>Davis Busteed – LING 360 – HW#3</w:t>
      </w:r>
    </w:p>
    <w:p w14:paraId="0ABE256C" w14:textId="54040219" w:rsidR="00153E06" w:rsidRDefault="00153E06"/>
    <w:p w14:paraId="38D16A4D" w14:textId="5D202061" w:rsidR="003C58EB" w:rsidRPr="003C58EB" w:rsidRDefault="003C58EB">
      <w:pPr>
        <w:rPr>
          <w:b/>
          <w:sz w:val="28"/>
        </w:rPr>
      </w:pPr>
      <w:r>
        <w:rPr>
          <w:b/>
          <w:sz w:val="28"/>
        </w:rPr>
        <w:t>Text sources</w:t>
      </w:r>
      <w:r w:rsidRPr="003C58EB">
        <w:rPr>
          <w:b/>
          <w:sz w:val="28"/>
        </w:rPr>
        <w:t>:</w:t>
      </w:r>
    </w:p>
    <w:p w14:paraId="31725FF5" w14:textId="159241E1" w:rsidR="003619C6" w:rsidRDefault="003619C6" w:rsidP="003C58EB">
      <w:pPr>
        <w:spacing w:after="0"/>
        <w:ind w:firstLine="720"/>
      </w:pPr>
      <w:r>
        <w:t>Formal text:  Google’s Term</w:t>
      </w:r>
      <w:r w:rsidR="0047109D">
        <w:t>s</w:t>
      </w:r>
      <w:r>
        <w:t xml:space="preserve"> of Service. </w:t>
      </w:r>
    </w:p>
    <w:p w14:paraId="28FC683B" w14:textId="5F3DCA29" w:rsidR="00153E06" w:rsidRDefault="003619C6" w:rsidP="003C58EB">
      <w:pPr>
        <w:spacing w:after="0"/>
        <w:ind w:firstLine="720"/>
      </w:pPr>
      <w:r>
        <w:t>Informal text:  Legal advice discussion</w:t>
      </w:r>
      <w:r w:rsidR="003C58EB">
        <w:t>s</w:t>
      </w:r>
      <w:r>
        <w:t xml:space="preserve"> from Reddit.</w:t>
      </w:r>
    </w:p>
    <w:p w14:paraId="7312165D" w14:textId="40DBB71B" w:rsidR="003619C6" w:rsidRDefault="003619C6"/>
    <w:p w14:paraId="480C4AB2" w14:textId="22A6CBC0" w:rsidR="003619C6" w:rsidRPr="003C58EB" w:rsidRDefault="003619C6">
      <w:pPr>
        <w:rPr>
          <w:b/>
          <w:sz w:val="28"/>
        </w:rPr>
      </w:pPr>
      <w:r w:rsidRPr="003C58EB">
        <w:rPr>
          <w:b/>
          <w:sz w:val="28"/>
        </w:rPr>
        <w:t>The output of my script:</w:t>
      </w:r>
    </w:p>
    <w:p w14:paraId="26888CB8" w14:textId="77777777" w:rsidR="003619C6" w:rsidRPr="003619C6" w:rsidRDefault="003619C6" w:rsidP="003619C6">
      <w:pPr>
        <w:spacing w:after="0"/>
        <w:ind w:left="720"/>
        <w:rPr>
          <w:rFonts w:ascii="Consolas" w:hAnsi="Consolas"/>
          <w:sz w:val="21"/>
        </w:rPr>
      </w:pPr>
      <w:r w:rsidRPr="003619C6">
        <w:rPr>
          <w:rFonts w:ascii="Consolas" w:hAnsi="Consolas"/>
          <w:sz w:val="21"/>
        </w:rPr>
        <w:t>Normalized Counts per 100 Words</w:t>
      </w:r>
    </w:p>
    <w:p w14:paraId="5F8B28C3" w14:textId="77777777" w:rsidR="003619C6" w:rsidRPr="003619C6" w:rsidRDefault="003619C6" w:rsidP="003619C6">
      <w:pPr>
        <w:spacing w:after="0"/>
        <w:ind w:left="720"/>
        <w:rPr>
          <w:rFonts w:ascii="Consolas" w:hAnsi="Consolas"/>
          <w:sz w:val="12"/>
        </w:rPr>
      </w:pPr>
    </w:p>
    <w:p w14:paraId="78A7AA56" w14:textId="77777777" w:rsidR="003619C6" w:rsidRPr="003619C6" w:rsidRDefault="003619C6" w:rsidP="003619C6">
      <w:pPr>
        <w:spacing w:after="0"/>
        <w:ind w:left="720"/>
        <w:rPr>
          <w:rFonts w:ascii="Consolas" w:hAnsi="Consolas"/>
          <w:sz w:val="21"/>
        </w:rPr>
      </w:pPr>
      <w:r w:rsidRPr="003619C6">
        <w:rPr>
          <w:rFonts w:ascii="Consolas" w:hAnsi="Consolas"/>
          <w:sz w:val="21"/>
        </w:rPr>
        <w:t>FORMAL_SUBJ_PRONOUN     07.50</w:t>
      </w:r>
    </w:p>
    <w:p w14:paraId="533E9BDA" w14:textId="77777777" w:rsidR="003619C6" w:rsidRPr="003619C6" w:rsidRDefault="003619C6" w:rsidP="003619C6">
      <w:pPr>
        <w:spacing w:after="0"/>
        <w:ind w:left="720"/>
        <w:rPr>
          <w:rFonts w:ascii="Consolas" w:hAnsi="Consolas"/>
          <w:sz w:val="21"/>
        </w:rPr>
      </w:pPr>
      <w:r w:rsidRPr="003619C6">
        <w:rPr>
          <w:rFonts w:ascii="Consolas" w:hAnsi="Consolas"/>
          <w:sz w:val="21"/>
        </w:rPr>
        <w:t>FORMAL_CONTRACTIONS     00.77</w:t>
      </w:r>
    </w:p>
    <w:p w14:paraId="23EDE8B7" w14:textId="77777777" w:rsidR="003619C6" w:rsidRPr="003619C6" w:rsidRDefault="003619C6" w:rsidP="003619C6">
      <w:pPr>
        <w:spacing w:after="0"/>
        <w:ind w:left="720"/>
        <w:rPr>
          <w:rFonts w:ascii="Consolas" w:hAnsi="Consolas"/>
          <w:sz w:val="21"/>
        </w:rPr>
      </w:pPr>
      <w:r w:rsidRPr="003619C6">
        <w:rPr>
          <w:rFonts w:ascii="Consolas" w:hAnsi="Consolas"/>
          <w:sz w:val="21"/>
        </w:rPr>
        <w:t>FORMAL_MODAL_VERBS      02.88</w:t>
      </w:r>
    </w:p>
    <w:p w14:paraId="79058B3F" w14:textId="77777777" w:rsidR="003619C6" w:rsidRPr="003619C6" w:rsidRDefault="003619C6" w:rsidP="003619C6">
      <w:pPr>
        <w:spacing w:after="0"/>
        <w:ind w:left="720"/>
        <w:rPr>
          <w:rFonts w:ascii="Consolas" w:hAnsi="Consolas"/>
          <w:sz w:val="12"/>
        </w:rPr>
      </w:pPr>
    </w:p>
    <w:p w14:paraId="64BBD6C3" w14:textId="77777777" w:rsidR="003619C6" w:rsidRPr="003619C6" w:rsidRDefault="003619C6" w:rsidP="003619C6">
      <w:pPr>
        <w:spacing w:after="0"/>
        <w:ind w:left="720"/>
        <w:rPr>
          <w:rFonts w:ascii="Consolas" w:hAnsi="Consolas"/>
          <w:sz w:val="21"/>
        </w:rPr>
      </w:pPr>
      <w:r w:rsidRPr="003619C6">
        <w:rPr>
          <w:rFonts w:ascii="Consolas" w:hAnsi="Consolas"/>
          <w:sz w:val="21"/>
        </w:rPr>
        <w:t>INFORMAL_SUBJ_PRONOUN   10.88</w:t>
      </w:r>
    </w:p>
    <w:p w14:paraId="152ADFD1" w14:textId="412443CB" w:rsidR="003619C6" w:rsidRPr="003619C6" w:rsidRDefault="003619C6" w:rsidP="003619C6">
      <w:pPr>
        <w:spacing w:after="0"/>
        <w:ind w:left="720"/>
        <w:rPr>
          <w:rFonts w:ascii="Consolas" w:hAnsi="Consolas"/>
          <w:sz w:val="21"/>
        </w:rPr>
      </w:pPr>
      <w:r w:rsidRPr="003619C6">
        <w:rPr>
          <w:rFonts w:ascii="Consolas" w:hAnsi="Consolas"/>
          <w:sz w:val="21"/>
        </w:rPr>
        <w:t>INFORMAL_CONTRACTIONS   02.</w:t>
      </w:r>
      <w:r w:rsidR="00F93DC0">
        <w:rPr>
          <w:rFonts w:ascii="Consolas" w:hAnsi="Consolas"/>
          <w:sz w:val="21"/>
        </w:rPr>
        <w:t>44</w:t>
      </w:r>
      <w:bookmarkStart w:id="0" w:name="_GoBack"/>
      <w:bookmarkEnd w:id="0"/>
    </w:p>
    <w:p w14:paraId="03276352" w14:textId="110DA54A" w:rsidR="003C58EB" w:rsidRDefault="003619C6" w:rsidP="003C58EB">
      <w:pPr>
        <w:spacing w:after="0"/>
        <w:ind w:left="720"/>
        <w:rPr>
          <w:rFonts w:ascii="Consolas" w:hAnsi="Consolas"/>
          <w:sz w:val="21"/>
        </w:rPr>
      </w:pPr>
      <w:r w:rsidRPr="003619C6">
        <w:rPr>
          <w:rFonts w:ascii="Consolas" w:hAnsi="Consolas"/>
          <w:sz w:val="21"/>
        </w:rPr>
        <w:t>INFORMAL_MODAL_VERBS    00.75</w:t>
      </w:r>
    </w:p>
    <w:p w14:paraId="538AC566" w14:textId="77777777" w:rsidR="003C58EB" w:rsidRPr="003C58EB" w:rsidRDefault="003C58EB" w:rsidP="003C58EB">
      <w:pPr>
        <w:spacing w:after="0"/>
        <w:ind w:left="720"/>
        <w:rPr>
          <w:rFonts w:ascii="Consolas" w:hAnsi="Consolas"/>
          <w:sz w:val="21"/>
        </w:rPr>
      </w:pPr>
    </w:p>
    <w:p w14:paraId="6B4C5505" w14:textId="11018A68" w:rsidR="003C58EB" w:rsidRPr="003C58EB" w:rsidRDefault="003C58EB" w:rsidP="003C58EB">
      <w:pPr>
        <w:rPr>
          <w:b/>
          <w:sz w:val="28"/>
        </w:rPr>
      </w:pPr>
      <w:r>
        <w:rPr>
          <w:b/>
          <w:sz w:val="28"/>
        </w:rPr>
        <w:t>Interpretation:</w:t>
      </w:r>
    </w:p>
    <w:p w14:paraId="4F260693" w14:textId="0D238620" w:rsidR="00E15A18" w:rsidRDefault="003C58EB" w:rsidP="003619C6">
      <w:pPr>
        <w:spacing w:after="0"/>
        <w:rPr>
          <w:rFonts w:cs="Times New Roman"/>
        </w:rPr>
      </w:pPr>
      <w:r>
        <w:rPr>
          <w:rFonts w:cs="Times New Roman"/>
        </w:rPr>
        <w:t xml:space="preserve">As expected, there are some interesting differences in the number of subject pronouns, contractions, and modal verbs found </w:t>
      </w:r>
      <w:r w:rsidR="00E15A18">
        <w:rPr>
          <w:rFonts w:cs="Times New Roman"/>
        </w:rPr>
        <w:t>with</w:t>
      </w:r>
      <w:r>
        <w:rPr>
          <w:rFonts w:cs="Times New Roman"/>
        </w:rPr>
        <w:t xml:space="preserve">in formal and informal texts. </w:t>
      </w:r>
      <w:r w:rsidR="0047109D">
        <w:rPr>
          <w:rFonts w:cs="Times New Roman"/>
        </w:rPr>
        <w:t xml:space="preserve">There are more subject pronouns in informal text than in the formal one, mostly because my informal text source was a </w:t>
      </w:r>
      <w:r w:rsidR="00E15A18">
        <w:rPr>
          <w:rFonts w:cs="Times New Roman"/>
        </w:rPr>
        <w:t>written</w:t>
      </w:r>
      <w:r w:rsidR="0047109D">
        <w:rPr>
          <w:rFonts w:cs="Times New Roman"/>
        </w:rPr>
        <w:t xml:space="preserve"> like a story, where the writer used many </w:t>
      </w:r>
      <w:r w:rsidR="00E15A18">
        <w:rPr>
          <w:rFonts w:cs="Times New Roman"/>
        </w:rPr>
        <w:t>personal pronouns as the subject</w:t>
      </w:r>
      <w:r w:rsidR="0047109D">
        <w:rPr>
          <w:rFonts w:cs="Times New Roman"/>
        </w:rPr>
        <w:t xml:space="preserve">. Even though the formal text had fewer subject pronouns, there was still a large amount. I found that because it is a service agreement, there are many statements that being with “you.” </w:t>
      </w:r>
    </w:p>
    <w:p w14:paraId="564B055E" w14:textId="77777777" w:rsidR="00E15A18" w:rsidRPr="00E15A18" w:rsidRDefault="00E15A18" w:rsidP="003619C6">
      <w:pPr>
        <w:spacing w:after="0"/>
        <w:rPr>
          <w:rFonts w:cs="Times New Roman"/>
          <w:sz w:val="16"/>
        </w:rPr>
      </w:pPr>
    </w:p>
    <w:p w14:paraId="072DFD3D" w14:textId="1681F104" w:rsidR="003C58EB" w:rsidRDefault="0047109D" w:rsidP="003619C6">
      <w:pPr>
        <w:spacing w:after="0"/>
        <w:rPr>
          <w:rFonts w:cs="Times New Roman"/>
        </w:rPr>
      </w:pPr>
      <w:r>
        <w:rPr>
          <w:rFonts w:cs="Times New Roman"/>
        </w:rPr>
        <w:t>Not surprisingly, the formal text had less contractions compared to the informal one.</w:t>
      </w:r>
      <w:r w:rsidR="00E15A18">
        <w:rPr>
          <w:rFonts w:cs="Times New Roman"/>
        </w:rPr>
        <w:t xml:space="preserve"> Instead of words like “haven’t,” the formal text tended to have the contraction written out, or had the sentence reworded completely. The informal text had a much higher number of contractions, and even had one that was written without an apostrophe. </w:t>
      </w:r>
    </w:p>
    <w:p w14:paraId="7EEB2748" w14:textId="1E4EF104" w:rsidR="0047109D" w:rsidRPr="00E15A18" w:rsidRDefault="0047109D" w:rsidP="003619C6">
      <w:pPr>
        <w:spacing w:after="0"/>
        <w:rPr>
          <w:rFonts w:cs="Times New Roman"/>
          <w:sz w:val="16"/>
        </w:rPr>
      </w:pPr>
    </w:p>
    <w:p w14:paraId="5580E3AB" w14:textId="342437CE" w:rsidR="0047109D" w:rsidRDefault="0047109D" w:rsidP="003619C6">
      <w:pPr>
        <w:spacing w:after="0"/>
        <w:rPr>
          <w:rFonts w:cs="Times New Roman"/>
        </w:rPr>
      </w:pPr>
      <w:r>
        <w:rPr>
          <w:rFonts w:cs="Times New Roman"/>
        </w:rPr>
        <w:t xml:space="preserve">Opposite </w:t>
      </w:r>
      <w:r w:rsidR="00E15A18">
        <w:rPr>
          <w:rFonts w:cs="Times New Roman"/>
        </w:rPr>
        <w:t>to</w:t>
      </w:r>
      <w:r>
        <w:rPr>
          <w:rFonts w:cs="Times New Roman"/>
        </w:rPr>
        <w:t xml:space="preserve"> the number of contractions, the formal text had a lot of modal verbs than the informal text. Once again, I think this is because it is a service agreement, </w:t>
      </w:r>
      <w:r w:rsidR="00E15A18">
        <w:rPr>
          <w:rFonts w:cs="Times New Roman"/>
        </w:rPr>
        <w:t>it</w:t>
      </w:r>
      <w:r>
        <w:rPr>
          <w:rFonts w:cs="Times New Roman"/>
        </w:rPr>
        <w:t xml:space="preserve"> outlines what users are able to do, so they used a lot of words like “can” and “may.” The informal text had about 1 modal verb for every 100 words, which seems fitting for the context.</w:t>
      </w:r>
    </w:p>
    <w:p w14:paraId="42008F9F" w14:textId="5B42F173" w:rsidR="003C58EB" w:rsidRDefault="003C58EB" w:rsidP="003619C6">
      <w:pPr>
        <w:spacing w:after="0"/>
        <w:rPr>
          <w:rFonts w:cs="Times New Roman"/>
        </w:rPr>
      </w:pPr>
    </w:p>
    <w:p w14:paraId="11221912" w14:textId="24B52A28" w:rsidR="003619C6" w:rsidRPr="003C58EB" w:rsidRDefault="003C58EB" w:rsidP="003619C6">
      <w:pPr>
        <w:spacing w:after="0"/>
        <w:rPr>
          <w:rFonts w:cs="Times New Roman"/>
          <w:b/>
          <w:sz w:val="28"/>
        </w:rPr>
      </w:pPr>
      <w:r w:rsidRPr="003C58EB">
        <w:rPr>
          <w:rFonts w:cs="Times New Roman"/>
          <w:b/>
          <w:sz w:val="28"/>
        </w:rPr>
        <w:t>Accuracy measurements:</w:t>
      </w:r>
    </w:p>
    <w:tbl>
      <w:tblPr>
        <w:tblStyle w:val="TableGrid"/>
        <w:tblpPr w:leftFromText="180" w:rightFromText="180" w:vertAnchor="text" w:horzAnchor="page" w:tblpX="2008" w:tblpY="209"/>
        <w:tblW w:w="0" w:type="auto"/>
        <w:tblLook w:val="04A0" w:firstRow="1" w:lastRow="0" w:firstColumn="1" w:lastColumn="0" w:noHBand="0" w:noVBand="1"/>
      </w:tblPr>
      <w:tblGrid>
        <w:gridCol w:w="2952"/>
        <w:gridCol w:w="1183"/>
        <w:gridCol w:w="1080"/>
      </w:tblGrid>
      <w:tr w:rsidR="003C58EB" w14:paraId="5980247E" w14:textId="77777777" w:rsidTr="003C58EB">
        <w:trPr>
          <w:trHeight w:val="404"/>
        </w:trPr>
        <w:tc>
          <w:tcPr>
            <w:tcW w:w="2952" w:type="dxa"/>
          </w:tcPr>
          <w:p w14:paraId="57CAC409" w14:textId="77777777" w:rsidR="003C58EB" w:rsidRDefault="003C58EB" w:rsidP="003C58EB">
            <w:pPr>
              <w:rPr>
                <w:rFonts w:cs="Times New Roman"/>
              </w:rPr>
            </w:pPr>
          </w:p>
        </w:tc>
        <w:tc>
          <w:tcPr>
            <w:tcW w:w="1183" w:type="dxa"/>
          </w:tcPr>
          <w:p w14:paraId="18CF787F" w14:textId="77777777" w:rsidR="003C58EB" w:rsidRDefault="003C58EB" w:rsidP="003C58EB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Precision </w:t>
            </w:r>
          </w:p>
        </w:tc>
        <w:tc>
          <w:tcPr>
            <w:tcW w:w="1080" w:type="dxa"/>
          </w:tcPr>
          <w:p w14:paraId="6A4E50D6" w14:textId="77777777" w:rsidR="003C58EB" w:rsidRDefault="003C58EB" w:rsidP="003C58EB">
            <w:pPr>
              <w:rPr>
                <w:rFonts w:cs="Times New Roman"/>
              </w:rPr>
            </w:pPr>
            <w:r>
              <w:rPr>
                <w:rFonts w:cs="Times New Roman"/>
              </w:rPr>
              <w:t>Recall</w:t>
            </w:r>
          </w:p>
        </w:tc>
      </w:tr>
      <w:tr w:rsidR="003C58EB" w14:paraId="0834FDD1" w14:textId="77777777" w:rsidTr="003C58EB">
        <w:trPr>
          <w:trHeight w:val="404"/>
        </w:trPr>
        <w:tc>
          <w:tcPr>
            <w:tcW w:w="2952" w:type="dxa"/>
          </w:tcPr>
          <w:p w14:paraId="2404CE31" w14:textId="77777777" w:rsidR="003C58EB" w:rsidRDefault="003C58EB" w:rsidP="003C58EB">
            <w:pPr>
              <w:rPr>
                <w:rFonts w:cs="Times New Roman"/>
              </w:rPr>
            </w:pPr>
            <w:r>
              <w:rPr>
                <w:rFonts w:cs="Times New Roman"/>
              </w:rPr>
              <w:t>Formal Subject Pronouns</w:t>
            </w:r>
          </w:p>
        </w:tc>
        <w:tc>
          <w:tcPr>
            <w:tcW w:w="1183" w:type="dxa"/>
          </w:tcPr>
          <w:p w14:paraId="6766EE29" w14:textId="77777777" w:rsidR="003C58EB" w:rsidRDefault="003C58EB" w:rsidP="003C58EB">
            <w:pPr>
              <w:rPr>
                <w:rFonts w:cs="Times New Roman"/>
              </w:rPr>
            </w:pPr>
            <w:r>
              <w:rPr>
                <w:rFonts w:cs="Times New Roman"/>
              </w:rPr>
              <w:t>75.4%</w:t>
            </w:r>
          </w:p>
        </w:tc>
        <w:tc>
          <w:tcPr>
            <w:tcW w:w="1080" w:type="dxa"/>
          </w:tcPr>
          <w:p w14:paraId="72CB9C38" w14:textId="77777777" w:rsidR="003C58EB" w:rsidRDefault="003C58EB" w:rsidP="003C58EB">
            <w:pPr>
              <w:rPr>
                <w:rFonts w:cs="Times New Roman"/>
              </w:rPr>
            </w:pPr>
            <w:r>
              <w:rPr>
                <w:rFonts w:cs="Times New Roman"/>
              </w:rPr>
              <w:t>100%</w:t>
            </w:r>
          </w:p>
        </w:tc>
      </w:tr>
      <w:tr w:rsidR="003C58EB" w14:paraId="2F0922F3" w14:textId="77777777" w:rsidTr="003C58EB">
        <w:trPr>
          <w:trHeight w:val="420"/>
        </w:trPr>
        <w:tc>
          <w:tcPr>
            <w:tcW w:w="2952" w:type="dxa"/>
          </w:tcPr>
          <w:p w14:paraId="73F9FCEF" w14:textId="77777777" w:rsidR="003C58EB" w:rsidRDefault="003C58EB" w:rsidP="003C58EB">
            <w:pPr>
              <w:rPr>
                <w:rFonts w:cs="Times New Roman"/>
              </w:rPr>
            </w:pPr>
            <w:r>
              <w:rPr>
                <w:rFonts w:cs="Times New Roman"/>
              </w:rPr>
              <w:t>Formal Contractions</w:t>
            </w:r>
          </w:p>
        </w:tc>
        <w:tc>
          <w:tcPr>
            <w:tcW w:w="1183" w:type="dxa"/>
          </w:tcPr>
          <w:p w14:paraId="58695E00" w14:textId="77777777" w:rsidR="003C58EB" w:rsidRDefault="003C58EB" w:rsidP="003C58EB">
            <w:pPr>
              <w:rPr>
                <w:rFonts w:cs="Times New Roman"/>
              </w:rPr>
            </w:pPr>
            <w:r>
              <w:rPr>
                <w:rFonts w:cs="Times New Roman"/>
              </w:rPr>
              <w:t>100%</w:t>
            </w:r>
          </w:p>
        </w:tc>
        <w:tc>
          <w:tcPr>
            <w:tcW w:w="1080" w:type="dxa"/>
          </w:tcPr>
          <w:p w14:paraId="5D480588" w14:textId="77777777" w:rsidR="003C58EB" w:rsidRDefault="003C58EB" w:rsidP="003C58EB">
            <w:pPr>
              <w:rPr>
                <w:rFonts w:cs="Times New Roman"/>
              </w:rPr>
            </w:pPr>
            <w:r>
              <w:rPr>
                <w:rFonts w:cs="Times New Roman"/>
              </w:rPr>
              <w:t>100%</w:t>
            </w:r>
          </w:p>
        </w:tc>
      </w:tr>
      <w:tr w:rsidR="003C58EB" w14:paraId="12638FF1" w14:textId="77777777" w:rsidTr="003C58EB">
        <w:trPr>
          <w:trHeight w:val="404"/>
        </w:trPr>
        <w:tc>
          <w:tcPr>
            <w:tcW w:w="2952" w:type="dxa"/>
          </w:tcPr>
          <w:p w14:paraId="0C8E9760" w14:textId="77777777" w:rsidR="003C58EB" w:rsidRDefault="003C58EB" w:rsidP="003C58EB">
            <w:p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Formal Modal Verbs</w:t>
            </w:r>
          </w:p>
        </w:tc>
        <w:tc>
          <w:tcPr>
            <w:tcW w:w="1183" w:type="dxa"/>
          </w:tcPr>
          <w:p w14:paraId="55520235" w14:textId="77777777" w:rsidR="003C58EB" w:rsidRDefault="003C58EB" w:rsidP="003C58EB">
            <w:pPr>
              <w:rPr>
                <w:rFonts w:cs="Times New Roman"/>
              </w:rPr>
            </w:pPr>
            <w:r>
              <w:rPr>
                <w:rFonts w:cs="Times New Roman"/>
              </w:rPr>
              <w:t>100%</w:t>
            </w:r>
          </w:p>
        </w:tc>
        <w:tc>
          <w:tcPr>
            <w:tcW w:w="1080" w:type="dxa"/>
          </w:tcPr>
          <w:p w14:paraId="462B9E45" w14:textId="77777777" w:rsidR="003C58EB" w:rsidRDefault="003C58EB" w:rsidP="003C58EB">
            <w:pPr>
              <w:rPr>
                <w:rFonts w:cs="Times New Roman"/>
              </w:rPr>
            </w:pPr>
            <w:r>
              <w:rPr>
                <w:rFonts w:cs="Times New Roman"/>
              </w:rPr>
              <w:t>100%</w:t>
            </w:r>
          </w:p>
        </w:tc>
      </w:tr>
      <w:tr w:rsidR="003C58EB" w14:paraId="5DEB9CC9" w14:textId="77777777" w:rsidTr="003C58EB">
        <w:trPr>
          <w:trHeight w:val="404"/>
        </w:trPr>
        <w:tc>
          <w:tcPr>
            <w:tcW w:w="2952" w:type="dxa"/>
          </w:tcPr>
          <w:p w14:paraId="1095BFFC" w14:textId="77777777" w:rsidR="003C58EB" w:rsidRDefault="003C58EB" w:rsidP="003C58EB">
            <w:pPr>
              <w:rPr>
                <w:rFonts w:cs="Times New Roman"/>
              </w:rPr>
            </w:pPr>
            <w:r>
              <w:rPr>
                <w:rFonts w:cs="Times New Roman"/>
              </w:rPr>
              <w:t>Informal Subject Pronouns</w:t>
            </w:r>
          </w:p>
        </w:tc>
        <w:tc>
          <w:tcPr>
            <w:tcW w:w="1183" w:type="dxa"/>
          </w:tcPr>
          <w:p w14:paraId="5BF2D932" w14:textId="77777777" w:rsidR="003C58EB" w:rsidRDefault="003C58EB" w:rsidP="003C58EB">
            <w:pPr>
              <w:rPr>
                <w:rFonts w:cs="Times New Roman"/>
              </w:rPr>
            </w:pPr>
            <w:r>
              <w:rPr>
                <w:rFonts w:cs="Times New Roman"/>
              </w:rPr>
              <w:t>87.9%</w:t>
            </w:r>
          </w:p>
        </w:tc>
        <w:tc>
          <w:tcPr>
            <w:tcW w:w="1080" w:type="dxa"/>
          </w:tcPr>
          <w:p w14:paraId="0E834B47" w14:textId="77777777" w:rsidR="003C58EB" w:rsidRDefault="003C58EB" w:rsidP="003C58EB">
            <w:pPr>
              <w:rPr>
                <w:rFonts w:cs="Times New Roman"/>
              </w:rPr>
            </w:pPr>
            <w:r>
              <w:rPr>
                <w:rFonts w:cs="Times New Roman"/>
              </w:rPr>
              <w:t>98.1%</w:t>
            </w:r>
          </w:p>
        </w:tc>
      </w:tr>
      <w:tr w:rsidR="003C58EB" w14:paraId="3AE8F135" w14:textId="77777777" w:rsidTr="003C58EB">
        <w:trPr>
          <w:trHeight w:val="404"/>
        </w:trPr>
        <w:tc>
          <w:tcPr>
            <w:tcW w:w="2952" w:type="dxa"/>
          </w:tcPr>
          <w:p w14:paraId="32EABB7D" w14:textId="77777777" w:rsidR="003C58EB" w:rsidRDefault="003C58EB" w:rsidP="003C58EB">
            <w:pPr>
              <w:rPr>
                <w:rFonts w:cs="Times New Roman"/>
              </w:rPr>
            </w:pPr>
            <w:r>
              <w:rPr>
                <w:rFonts w:cs="Times New Roman"/>
              </w:rPr>
              <w:t>Informal Contractions</w:t>
            </w:r>
          </w:p>
        </w:tc>
        <w:tc>
          <w:tcPr>
            <w:tcW w:w="1183" w:type="dxa"/>
          </w:tcPr>
          <w:p w14:paraId="72277689" w14:textId="77777777" w:rsidR="003C58EB" w:rsidRDefault="003C58EB" w:rsidP="003C58EB">
            <w:pPr>
              <w:rPr>
                <w:rFonts w:cs="Times New Roman"/>
              </w:rPr>
            </w:pPr>
            <w:r>
              <w:rPr>
                <w:rFonts w:cs="Times New Roman"/>
              </w:rPr>
              <w:t>100%</w:t>
            </w:r>
          </w:p>
        </w:tc>
        <w:tc>
          <w:tcPr>
            <w:tcW w:w="1080" w:type="dxa"/>
          </w:tcPr>
          <w:p w14:paraId="6EFB5496" w14:textId="77777777" w:rsidR="003C58EB" w:rsidRDefault="003C58EB" w:rsidP="003C58EB">
            <w:pPr>
              <w:rPr>
                <w:rFonts w:cs="Times New Roman"/>
              </w:rPr>
            </w:pPr>
            <w:r>
              <w:rPr>
                <w:rFonts w:cs="Times New Roman"/>
              </w:rPr>
              <w:t>92.9%</w:t>
            </w:r>
          </w:p>
        </w:tc>
      </w:tr>
      <w:tr w:rsidR="003C58EB" w14:paraId="307ABDCE" w14:textId="77777777" w:rsidTr="003C58EB">
        <w:trPr>
          <w:trHeight w:val="404"/>
        </w:trPr>
        <w:tc>
          <w:tcPr>
            <w:tcW w:w="2952" w:type="dxa"/>
          </w:tcPr>
          <w:p w14:paraId="157A5BB1" w14:textId="77777777" w:rsidR="003C58EB" w:rsidRDefault="003C58EB" w:rsidP="003C58EB">
            <w:pPr>
              <w:rPr>
                <w:rFonts w:cs="Times New Roman"/>
              </w:rPr>
            </w:pPr>
            <w:r>
              <w:rPr>
                <w:rFonts w:cs="Times New Roman"/>
              </w:rPr>
              <w:t>Informal Modal Verbs</w:t>
            </w:r>
          </w:p>
        </w:tc>
        <w:tc>
          <w:tcPr>
            <w:tcW w:w="1183" w:type="dxa"/>
          </w:tcPr>
          <w:p w14:paraId="121C5C30" w14:textId="77777777" w:rsidR="003C58EB" w:rsidRDefault="003C58EB" w:rsidP="003C58EB">
            <w:pPr>
              <w:rPr>
                <w:rFonts w:cs="Times New Roman"/>
              </w:rPr>
            </w:pPr>
            <w:r>
              <w:rPr>
                <w:rFonts w:cs="Times New Roman"/>
              </w:rPr>
              <w:t>100%</w:t>
            </w:r>
          </w:p>
        </w:tc>
        <w:tc>
          <w:tcPr>
            <w:tcW w:w="1080" w:type="dxa"/>
          </w:tcPr>
          <w:p w14:paraId="65094A78" w14:textId="77777777" w:rsidR="003C58EB" w:rsidRDefault="003C58EB" w:rsidP="003C58EB">
            <w:pPr>
              <w:rPr>
                <w:rFonts w:cs="Times New Roman"/>
              </w:rPr>
            </w:pPr>
            <w:r>
              <w:rPr>
                <w:rFonts w:cs="Times New Roman"/>
              </w:rPr>
              <w:t>57.1%</w:t>
            </w:r>
          </w:p>
        </w:tc>
      </w:tr>
    </w:tbl>
    <w:p w14:paraId="1245D3EE" w14:textId="7973DA36" w:rsidR="003619C6" w:rsidRDefault="003619C6" w:rsidP="003619C6">
      <w:pPr>
        <w:rPr>
          <w:rFonts w:cs="Times New Roman"/>
        </w:rPr>
      </w:pPr>
    </w:p>
    <w:p w14:paraId="6C875176" w14:textId="77777777" w:rsidR="003C58EB" w:rsidRDefault="003C58EB" w:rsidP="003619C6">
      <w:pPr>
        <w:rPr>
          <w:rFonts w:cs="Times New Roman"/>
        </w:rPr>
      </w:pPr>
    </w:p>
    <w:p w14:paraId="69EC13FB" w14:textId="6CEE5D1C" w:rsidR="003619C6" w:rsidRDefault="003C58EB" w:rsidP="003619C6">
      <w:pPr>
        <w:rPr>
          <w:rFonts w:cs="Times New Roman"/>
        </w:rPr>
      </w:pPr>
      <w:r>
        <w:rPr>
          <w:rFonts w:cs="Times New Roman"/>
        </w:rPr>
        <w:tab/>
      </w:r>
    </w:p>
    <w:p w14:paraId="1F018D15" w14:textId="198E1B40" w:rsidR="00BB6774" w:rsidRDefault="00BB6774" w:rsidP="003619C6">
      <w:pPr>
        <w:rPr>
          <w:rFonts w:cs="Times New Roman"/>
        </w:rPr>
      </w:pPr>
    </w:p>
    <w:p w14:paraId="7BB817B3" w14:textId="77777777" w:rsidR="00BB6774" w:rsidRDefault="00BB6774" w:rsidP="003619C6">
      <w:pPr>
        <w:rPr>
          <w:rFonts w:cs="Times New Roman"/>
        </w:rPr>
      </w:pPr>
    </w:p>
    <w:p w14:paraId="12F6776C" w14:textId="77777777" w:rsidR="003619C6" w:rsidRPr="003619C6" w:rsidRDefault="003619C6" w:rsidP="003619C6">
      <w:pPr>
        <w:rPr>
          <w:rFonts w:cs="Times New Roman"/>
        </w:rPr>
      </w:pPr>
    </w:p>
    <w:sectPr w:rsidR="003619C6" w:rsidRPr="003619C6" w:rsidSect="003E5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844"/>
    <w:rsid w:val="000730A1"/>
    <w:rsid w:val="00142053"/>
    <w:rsid w:val="00153E06"/>
    <w:rsid w:val="003619C6"/>
    <w:rsid w:val="003C58EB"/>
    <w:rsid w:val="003E54C3"/>
    <w:rsid w:val="0047109D"/>
    <w:rsid w:val="00A27844"/>
    <w:rsid w:val="00BB6774"/>
    <w:rsid w:val="00E06359"/>
    <w:rsid w:val="00E15A18"/>
    <w:rsid w:val="00E26533"/>
    <w:rsid w:val="00F9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11EEB"/>
  <w15:chartTrackingRefBased/>
  <w15:docId w15:val="{37F65107-3E8D-43D1-B39F-BA6A55070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6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Busteed</dc:creator>
  <cp:keywords/>
  <dc:description/>
  <cp:lastModifiedBy>Davis Busteed</cp:lastModifiedBy>
  <cp:revision>4</cp:revision>
  <dcterms:created xsi:type="dcterms:W3CDTF">2019-02-08T20:08:00Z</dcterms:created>
  <dcterms:modified xsi:type="dcterms:W3CDTF">2019-02-08T22:31:00Z</dcterms:modified>
</cp:coreProperties>
</file>