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336" w:lineRule="auto"/>
        <w:jc w:val="center"/>
      </w:pPr>
      <w:r>
        <w:rPr>
          <w:rFonts w:ascii="맑은 고딕" w:hAnsi="맑은 고딕" w:eastAsia="맑은 고딕"/>
          <w:b/>
          <w:color w:val="102A43"/>
          <w:sz w:val="56"/>
        </w:rPr>
        <w:t>Cost Compass</w:t>
      </w:r>
    </w:p>
    <w:p>
      <w:pPr>
        <w:spacing w:after="480" w:line="336" w:lineRule="auto"/>
        <w:jc w:val="center"/>
      </w:pPr>
      <w:r>
        <w:rPr>
          <w:rFonts w:ascii="맑은 고딕" w:hAnsi="맑은 고딕" w:eastAsia="맑은 고딕"/>
          <w:b/>
          <w:sz w:val="32"/>
        </w:rPr>
        <w:t>본부/프로젝트 원가 분석 대시보드 기획서</w:t>
      </w:r>
    </w:p>
    <w:p>
      <w:pPr>
        <w:spacing w:after="1600" w:line="336" w:lineRule="auto"/>
        <w:jc w:val="center"/>
      </w:pPr>
      <w:r>
        <w:rPr>
          <w:rFonts w:ascii="맑은 고딕" w:hAnsi="맑은 고딕" w:eastAsia="맑은 고딕"/>
          <w:b w:val="0"/>
          <w:color w:val="445566"/>
          <w:sz w:val="24"/>
        </w:rPr>
        <w:t>노아에이티에스 2025년 상반기 연구소 인력 채용 포트폴리오 (주제 2)</w:t>
      </w:r>
    </w:p>
    <w:p>
      <w:pPr>
        <w:spacing w:after="40" w:line="336" w:lineRule="auto"/>
        <w:jc w:val="center"/>
      </w:pPr>
      <w:r>
        <w:rPr>
          <w:rFonts w:ascii="맑은 고딕" w:hAnsi="맑은 고딕" w:eastAsia="맑은 고딕"/>
          <w:b w:val="0"/>
          <w:sz w:val="22"/>
        </w:rPr>
        <w:t>작성자: 홍유진 (GitHub: dbwls99706)</w:t>
      </w:r>
    </w:p>
    <w:p>
      <w:pPr>
        <w:spacing w:after="40" w:line="336" w:lineRule="auto"/>
        <w:jc w:val="center"/>
      </w:pPr>
      <w:r>
        <w:rPr>
          <w:rFonts w:ascii="맑은 고딕" w:hAnsi="맑은 고딕" w:eastAsia="맑은 고딕"/>
          <w:b w:val="0"/>
          <w:sz w:val="22"/>
        </w:rPr>
        <w:t>작성일: 2026-04-20</w:t>
      </w:r>
    </w:p>
    <w:p>
      <w:pPr>
        <w:spacing w:after="40" w:line="336" w:lineRule="auto"/>
        <w:jc w:val="center"/>
      </w:pPr>
      <w:r>
        <w:rPr>
          <w:rFonts w:ascii="맑은 고딕" w:hAnsi="맑은 고딕" w:eastAsia="맑은 고딕"/>
          <w:b w:val="0"/>
          <w:sz w:val="22"/>
        </w:rPr>
        <w:t>라이브 데모: https://cost-compass.vercel.app</w:t>
      </w:r>
    </w:p>
    <w:p>
      <w:pPr>
        <w:spacing w:after="40" w:line="336" w:lineRule="auto"/>
        <w:jc w:val="center"/>
      </w:pPr>
      <w:r>
        <w:rPr>
          <w:rFonts w:ascii="맑은 고딕" w:hAnsi="맑은 고딕" w:eastAsia="맑은 고딕"/>
          <w:b w:val="0"/>
          <w:sz w:val="22"/>
        </w:rPr>
        <w:t>저장소: https://github.com/dbwls99706/cost-compass</w:t>
      </w:r>
    </w:p>
    <w:p>
      <w:pPr>
        <w:spacing w:after="120" w:line="336" w:lineRule="auto"/>
        <w:jc w:val="center"/>
      </w:pPr>
      <w:r>
        <w:rPr>
          <w:rFonts w:ascii="맑은 고딕" w:hAnsi="맑은 고딕" w:eastAsia="맑은 고딕"/>
          <w:b w:val="0"/>
          <w:sz w:val="22"/>
        </w:rPr>
        <w:t>자매 프로젝트 (주제 1): https://github.com/dbwls99706/interface-hub</w:t>
      </w:r>
    </w:p>
    <w:p>
      <w:r>
        <w:br w:type="page"/>
      </w:r>
    </w:p>
    <w:p>
      <w:pPr>
        <w:spacing w:before="280" w:after="120"/>
      </w:pPr>
      <w:r>
        <w:rPr>
          <w:rFonts w:ascii="맑은 고딕" w:hAnsi="맑은 고딕" w:eastAsia="맑은 고딕"/>
          <w:b/>
          <w:color w:val="1F2D3D"/>
          <w:sz w:val="44"/>
        </w:rPr>
        <w:t>목차</w:t>
      </w:r>
    </w:p>
    <w:p>
      <w:pPr>
        <w:spacing w:after="80" w:line="336" w:lineRule="auto"/>
      </w:pPr>
      <w:r>
        <w:rPr>
          <w:rFonts w:ascii="맑은 고딕" w:hAnsi="맑은 고딕" w:eastAsia="맑은 고딕"/>
          <w:b w:val="0"/>
          <w:sz w:val="24"/>
        </w:rPr>
        <w:t>1. 프로젝트 개요</w:t>
      </w:r>
    </w:p>
    <w:p>
      <w:pPr>
        <w:spacing w:after="80" w:line="336" w:lineRule="auto"/>
      </w:pPr>
      <w:r>
        <w:rPr>
          <w:rFonts w:ascii="맑은 고딕" w:hAnsi="맑은 고딕" w:eastAsia="맑은 고딕"/>
          <w:b w:val="0"/>
          <w:sz w:val="24"/>
        </w:rPr>
        <w:t>2. 문제 정의</w:t>
      </w:r>
    </w:p>
    <w:p>
      <w:pPr>
        <w:spacing w:after="80" w:line="336" w:lineRule="auto"/>
      </w:pPr>
      <w:r>
        <w:rPr>
          <w:rFonts w:ascii="맑은 고딕" w:hAnsi="맑은 고딕" w:eastAsia="맑은 고딕"/>
          <w:b w:val="0"/>
          <w:sz w:val="24"/>
        </w:rPr>
        <w:t>3. 타깃 사용자</w:t>
      </w:r>
    </w:p>
    <w:p>
      <w:pPr>
        <w:spacing w:after="80" w:line="336" w:lineRule="auto"/>
      </w:pPr>
      <w:r>
        <w:rPr>
          <w:rFonts w:ascii="맑은 고딕" w:hAnsi="맑은 고딕" w:eastAsia="맑은 고딕"/>
          <w:b w:val="0"/>
          <w:sz w:val="24"/>
        </w:rPr>
        <w:t>4. MVP 범위와 경계</w:t>
      </w:r>
    </w:p>
    <w:p>
      <w:pPr>
        <w:spacing w:after="80" w:line="336" w:lineRule="auto"/>
      </w:pPr>
      <w:r>
        <w:rPr>
          <w:rFonts w:ascii="맑은 고딕" w:hAnsi="맑은 고딕" w:eastAsia="맑은 고딕"/>
          <w:b w:val="0"/>
          <w:sz w:val="24"/>
        </w:rPr>
        <w:t>5. 핵심 기능 정의</w:t>
      </w:r>
    </w:p>
    <w:p>
      <w:pPr>
        <w:spacing w:after="80" w:line="336" w:lineRule="auto"/>
      </w:pPr>
      <w:r>
        <w:rPr>
          <w:rFonts w:ascii="맑은 고딕" w:hAnsi="맑은 고딕" w:eastAsia="맑은 고딕"/>
          <w:b w:val="0"/>
          <w:sz w:val="24"/>
        </w:rPr>
        <w:t>6. 성공 지표</w:t>
      </w:r>
    </w:p>
    <w:p>
      <w:pPr>
        <w:spacing w:after="80" w:line="336" w:lineRule="auto"/>
      </w:pPr>
      <w:r>
        <w:rPr>
          <w:rFonts w:ascii="맑은 고딕" w:hAnsi="맑은 고딕" w:eastAsia="맑은 고딕"/>
          <w:b w:val="0"/>
          <w:sz w:val="24"/>
        </w:rPr>
        <w:t>7. 확장 로드맵</w:t>
      </w:r>
    </w:p>
    <w:p>
      <w:pPr>
        <w:spacing w:after="80" w:line="336" w:lineRule="auto"/>
      </w:pPr>
      <w:r>
        <w:rPr>
          <w:rFonts w:ascii="맑은 고딕" w:hAnsi="맑은 고딕" w:eastAsia="맑은 고딕"/>
          <w:b w:val="0"/>
          <w:sz w:val="24"/>
        </w:rPr>
        <w:t>8. 부록</w:t>
      </w:r>
    </w:p>
    <w:p>
      <w:r>
        <w:br w:type="page"/>
      </w:r>
    </w:p>
    <w:p>
      <w:pPr>
        <w:spacing w:before="280" w:after="120"/>
      </w:pPr>
      <w:r>
        <w:rPr>
          <w:rFonts w:ascii="맑은 고딕" w:hAnsi="맑은 고딕" w:eastAsia="맑은 고딕"/>
          <w:b/>
          <w:color w:val="1F2D3D"/>
          <w:sz w:val="32"/>
        </w:rPr>
        <w:t>1. 프로젝트 개요</w:t>
      </w:r>
    </w:p>
    <w:p>
      <w:pPr>
        <w:spacing w:after="120" w:line="336" w:lineRule="auto"/>
      </w:pPr>
      <w:r>
        <w:rPr>
          <w:rFonts w:ascii="맑은 고딕" w:hAnsi="맑은 고딕" w:eastAsia="맑은 고딕"/>
          <w:b w:val="0"/>
          <w:sz w:val="22"/>
        </w:rPr>
        <w:t>Cost Compass는 금융사의 5개 본부와 22개 프로젝트에 걸쳐 분산된 원가 데이터를 단일 화면에서 집계, 비교, 드릴다운하는 관리회계 대시보드다. 본부장, 관리회계 담당자, 프로젝트 PM이 공통으로 사용할 수 있는 조회 전용 도구로 설계했다. 자매 프로젝트인 Interface Hub가 운영자의 '쓰는' 도구였다면, Cost Compass는 관리자의 '읽는' 도구다.</w:t>
      </w:r>
    </w:p>
    <w:p>
      <w:pPr>
        <w:spacing w:before="160" w:after="120"/>
      </w:pPr>
      <w:r>
        <w:rPr>
          <w:rFonts w:ascii="맑은 고딕" w:hAnsi="맑은 고딕" w:eastAsia="맑은 고딕"/>
          <w:b/>
          <w:color w:val="1F2D3D"/>
          <w:sz w:val="26"/>
        </w:rPr>
        <w:t>1.1 프로젝트 메타</w:t>
      </w:r>
    </w:p>
    <w:tbl>
      <w:tblPr>
        <w:tblStyle w:val="LightGrid-Accent1"/>
        <w:tblW w:type="auto" w:w="0"/>
        <w:tblLayout w:type="fixed"/>
        <w:tblLook w:firstColumn="1" w:firstRow="1" w:lastColumn="0" w:lastRow="0" w:noHBand="0" w:noVBand="1" w:val="04A0"/>
      </w:tblPr>
      <w:tblGrid>
        <w:gridCol w:w="4703"/>
        <w:gridCol w:w="4703"/>
      </w:tblGrid>
      <w:tr>
        <w:tc>
          <w:tcPr>
            <w:tcW w:type="dxa" w:w="2154"/>
            <w:vAlign w:val="center"/>
          </w:tcPr>
          <w:p>
            <w:pPr>
              <w:jc w:val="center"/>
            </w:pPr>
            <w:r/>
            <w:r>
              <w:rPr>
                <w:rFonts w:ascii="맑은 고딕" w:hAnsi="맑은 고딕" w:eastAsia="맑은 고딕"/>
                <w:b/>
                <w:sz w:val="21"/>
              </w:rPr>
              <w:t>항목</w:t>
            </w:r>
          </w:p>
        </w:tc>
        <w:tc>
          <w:tcPr>
            <w:tcW w:type="dxa" w:w="6803"/>
            <w:vAlign w:val="center"/>
          </w:tcPr>
          <w:p>
            <w:pPr>
              <w:jc w:val="center"/>
            </w:pPr>
            <w:r/>
            <w:r>
              <w:rPr>
                <w:rFonts w:ascii="맑은 고딕" w:hAnsi="맑은 고딕" w:eastAsia="맑은 고딕"/>
                <w:b/>
                <w:sz w:val="21"/>
              </w:rPr>
              <w:t>내용</w:t>
            </w:r>
          </w:p>
        </w:tc>
      </w:tr>
      <w:tr>
        <w:tc>
          <w:tcPr>
            <w:tcW w:type="dxa" w:w="2154"/>
            <w:vAlign w:val="center"/>
          </w:tcPr>
          <w:p>
            <w:r/>
            <w:r>
              <w:rPr>
                <w:rFonts w:ascii="맑은 고딕" w:hAnsi="맑은 고딕" w:eastAsia="맑은 고딕"/>
                <w:b w:val="0"/>
                <w:sz w:val="21"/>
              </w:rPr>
              <w:t>프로젝트명</w:t>
            </w:r>
          </w:p>
        </w:tc>
        <w:tc>
          <w:tcPr>
            <w:tcW w:type="dxa" w:w="6803"/>
            <w:vAlign w:val="center"/>
          </w:tcPr>
          <w:p>
            <w:r/>
            <w:r>
              <w:rPr>
                <w:rFonts w:ascii="맑은 고딕" w:hAnsi="맑은 고딕" w:eastAsia="맑은 고딕"/>
                <w:b w:val="0"/>
                <w:sz w:val="21"/>
              </w:rPr>
              <w:t>Cost Compass</w:t>
            </w:r>
          </w:p>
        </w:tc>
      </w:tr>
      <w:tr>
        <w:tc>
          <w:tcPr>
            <w:tcW w:type="dxa" w:w="2154"/>
            <w:vAlign w:val="center"/>
          </w:tcPr>
          <w:p>
            <w:r/>
            <w:r>
              <w:rPr>
                <w:rFonts w:ascii="맑은 고딕" w:hAnsi="맑은 고딕" w:eastAsia="맑은 고딕"/>
                <w:b w:val="0"/>
                <w:sz w:val="21"/>
              </w:rPr>
              <w:t>라이브 데모</w:t>
            </w:r>
          </w:p>
        </w:tc>
        <w:tc>
          <w:tcPr>
            <w:tcW w:type="dxa" w:w="6803"/>
            <w:vAlign w:val="center"/>
          </w:tcPr>
          <w:p>
            <w:r/>
            <w:r>
              <w:rPr>
                <w:rFonts w:ascii="맑은 고딕" w:hAnsi="맑은 고딕" w:eastAsia="맑은 고딕"/>
                <w:b w:val="0"/>
                <w:sz w:val="21"/>
              </w:rPr>
              <w:t>https://cost-compass.vercel.app</w:t>
            </w:r>
          </w:p>
        </w:tc>
      </w:tr>
      <w:tr>
        <w:tc>
          <w:tcPr>
            <w:tcW w:type="dxa" w:w="2154"/>
            <w:vAlign w:val="center"/>
          </w:tcPr>
          <w:p>
            <w:r/>
            <w:r>
              <w:rPr>
                <w:rFonts w:ascii="맑은 고딕" w:hAnsi="맑은 고딕" w:eastAsia="맑은 고딕"/>
                <w:b w:val="0"/>
                <w:sz w:val="21"/>
              </w:rPr>
              <w:t>저장소</w:t>
            </w:r>
          </w:p>
        </w:tc>
        <w:tc>
          <w:tcPr>
            <w:tcW w:type="dxa" w:w="6803"/>
            <w:vAlign w:val="center"/>
          </w:tcPr>
          <w:p>
            <w:r/>
            <w:r>
              <w:rPr>
                <w:rFonts w:ascii="맑은 고딕" w:hAnsi="맑은 고딕" w:eastAsia="맑은 고딕"/>
                <w:b w:val="0"/>
                <w:sz w:val="21"/>
              </w:rPr>
              <w:t>https://github.com/dbwls99706/cost-compass</w:t>
            </w:r>
          </w:p>
        </w:tc>
      </w:tr>
      <w:tr>
        <w:tc>
          <w:tcPr>
            <w:tcW w:type="dxa" w:w="2154"/>
            <w:vAlign w:val="center"/>
          </w:tcPr>
          <w:p>
            <w:r/>
            <w:r>
              <w:rPr>
                <w:rFonts w:ascii="맑은 고딕" w:hAnsi="맑은 고딕" w:eastAsia="맑은 고딕"/>
                <w:b w:val="0"/>
                <w:sz w:val="21"/>
              </w:rPr>
              <w:t>자매 프로젝트</w:t>
            </w:r>
          </w:p>
        </w:tc>
        <w:tc>
          <w:tcPr>
            <w:tcW w:type="dxa" w:w="6803"/>
            <w:vAlign w:val="center"/>
          </w:tcPr>
          <w:p>
            <w:r/>
            <w:r>
              <w:rPr>
                <w:rFonts w:ascii="맑은 고딕" w:hAnsi="맑은 고딕" w:eastAsia="맑은 고딕"/>
                <w:b w:val="0"/>
                <w:sz w:val="21"/>
              </w:rPr>
              <w:t>Interface Hub (주제 1, https://github.com/dbwls99706/interface-hub)</w:t>
            </w:r>
          </w:p>
        </w:tc>
      </w:tr>
      <w:tr>
        <w:tc>
          <w:tcPr>
            <w:tcW w:type="dxa" w:w="2154"/>
            <w:vAlign w:val="center"/>
          </w:tcPr>
          <w:p>
            <w:r/>
            <w:r>
              <w:rPr>
                <w:rFonts w:ascii="맑은 고딕" w:hAnsi="맑은 고딕" w:eastAsia="맑은 고딕"/>
                <w:b w:val="0"/>
                <w:sz w:val="21"/>
              </w:rPr>
              <w:t>개발 기간</w:t>
            </w:r>
          </w:p>
        </w:tc>
        <w:tc>
          <w:tcPr>
            <w:tcW w:type="dxa" w:w="6803"/>
            <w:vAlign w:val="center"/>
          </w:tcPr>
          <w:p>
            <w:r/>
            <w:r>
              <w:rPr>
                <w:rFonts w:ascii="맑은 고딕" w:hAnsi="맑은 고딕" w:eastAsia="맑은 고딕"/>
                <w:b w:val="0"/>
                <w:sz w:val="21"/>
              </w:rPr>
              <w:t>반나절 (Claude Code 기반 바이브코딩)</w:t>
            </w:r>
          </w:p>
        </w:tc>
      </w:tr>
      <w:tr>
        <w:tc>
          <w:tcPr>
            <w:tcW w:type="dxa" w:w="2154"/>
            <w:vAlign w:val="center"/>
          </w:tcPr>
          <w:p>
            <w:r/>
            <w:r>
              <w:rPr>
                <w:rFonts w:ascii="맑은 고딕" w:hAnsi="맑은 고딕" w:eastAsia="맑은 고딕"/>
                <w:b w:val="0"/>
                <w:sz w:val="21"/>
              </w:rPr>
              <w:t>기술 스택 요약</w:t>
            </w:r>
          </w:p>
        </w:tc>
        <w:tc>
          <w:tcPr>
            <w:tcW w:type="dxa" w:w="6803"/>
            <w:vAlign w:val="center"/>
          </w:tcPr>
          <w:p>
            <w:r/>
            <w:r>
              <w:rPr>
                <w:rFonts w:ascii="맑은 고딕" w:hAnsi="맑은 고딕" w:eastAsia="맑은 고딕"/>
                <w:b w:val="0"/>
                <w:sz w:val="21"/>
              </w:rPr>
              <w:t>Next.js 16, Prisma 7, Turso libSQL, Tailwind, Recharts, Vercel</w:t>
            </w:r>
          </w:p>
        </w:tc>
      </w:tr>
      <w:tr>
        <w:tc>
          <w:tcPr>
            <w:tcW w:type="dxa" w:w="2154"/>
            <w:vAlign w:val="center"/>
          </w:tcPr>
          <w:p>
            <w:r/>
            <w:r>
              <w:rPr>
                <w:rFonts w:ascii="맑은 고딕" w:hAnsi="맑은 고딕" w:eastAsia="맑은 고딕"/>
                <w:b w:val="0"/>
                <w:sz w:val="21"/>
              </w:rPr>
              <w:t>데이터 규모</w:t>
            </w:r>
          </w:p>
        </w:tc>
        <w:tc>
          <w:tcPr>
            <w:tcW w:type="dxa" w:w="6803"/>
            <w:vAlign w:val="center"/>
          </w:tcPr>
          <w:p>
            <w:r/>
            <w:r>
              <w:rPr>
                <w:rFonts w:ascii="맑은 고딕" w:hAnsi="맑은 고딕" w:eastAsia="맑은 고딕"/>
                <w:b w:val="0"/>
                <w:sz w:val="21"/>
              </w:rPr>
              <w:t>5본부, 22프로젝트, 326개 원가 항목 (시드)</w:t>
            </w:r>
          </w:p>
        </w:tc>
      </w:tr>
    </w:tbl>
    <w:p>
      <w:pPr>
        <w:spacing w:after="80"/>
      </w:pPr>
    </w:p>
    <w:p>
      <w:pPr>
        <w:spacing w:before="280" w:after="120"/>
      </w:pPr>
      <w:r>
        <w:rPr>
          <w:rFonts w:ascii="맑은 고딕" w:hAnsi="맑은 고딕" w:eastAsia="맑은 고딕"/>
          <w:b/>
          <w:color w:val="1F2D3D"/>
          <w:sz w:val="32"/>
        </w:rPr>
        <w:t>2. 문제 정의</w:t>
      </w:r>
    </w:p>
    <w:p>
      <w:pPr>
        <w:spacing w:before="160" w:after="120"/>
      </w:pPr>
      <w:r>
        <w:rPr>
          <w:rFonts w:ascii="맑은 고딕" w:hAnsi="맑은 고딕" w:eastAsia="맑은 고딕"/>
          <w:b/>
          <w:color w:val="1F2D3D"/>
          <w:sz w:val="26"/>
        </w:rPr>
        <w:t>2.1 배경</w:t>
      </w:r>
    </w:p>
    <w:p>
      <w:pPr>
        <w:spacing w:after="120" w:line="336" w:lineRule="auto"/>
      </w:pPr>
      <w:r>
        <w:rPr>
          <w:rFonts w:ascii="맑은 고딕" w:hAnsi="맑은 고딕" w:eastAsia="맑은 고딕"/>
          <w:b w:val="0"/>
          <w:sz w:val="22"/>
        </w:rPr>
        <w:t>은행 등 금융사는 5개 안팎의 본부 조직이 동시에 20여 개의 프로젝트를 수행한다. 각 프로젝트는 인건비, 외주비, 운영비, 공통배부 등 여러 카테고리의 원가를 월 단위로 집행하고, 본부 간 내부대체(inter-unit transfer)도 수시로 발생한다. 원가 데이터가 본부 시스템마다 분산되면 관리자 관점의 통합 시야를 확보하기 어렵다.</w:t>
      </w:r>
    </w:p>
    <w:p>
      <w:pPr>
        <w:spacing w:before="160" w:after="120"/>
      </w:pPr>
      <w:r>
        <w:rPr>
          <w:rFonts w:ascii="맑은 고딕" w:hAnsi="맑은 고딕" w:eastAsia="맑은 고딕"/>
          <w:b/>
          <w:color w:val="1F2D3D"/>
          <w:sz w:val="26"/>
        </w:rPr>
        <w:t>2.2 현재의 문제점</w:t>
      </w:r>
    </w:p>
    <w:p>
      <w:pPr>
        <w:pStyle w:val="ListBullet"/>
        <w:spacing w:after="40" w:line="324" w:lineRule="auto"/>
      </w:pPr>
      <w:r>
        <w:rPr>
          <w:rFonts w:ascii="맑은 고딕" w:hAnsi="맑은 고딕" w:eastAsia="맑은 고딕"/>
          <w:b w:val="0"/>
          <w:sz w:val="22"/>
        </w:rPr>
        <w:t>본부 시스템마다 원가 관리 도구가 흩어져 있어 전사 총액과 본부별 비중을 한눈에 보기 어렵다.</w:t>
      </w:r>
    </w:p>
    <w:p>
      <w:pPr>
        <w:pStyle w:val="ListBullet"/>
        <w:spacing w:after="40" w:line="324" w:lineRule="auto"/>
      </w:pPr>
      <w:r>
        <w:rPr>
          <w:rFonts w:ascii="맑은 고딕" w:hAnsi="맑은 고딕" w:eastAsia="맑은 고딕"/>
          <w:b w:val="0"/>
          <w:sz w:val="22"/>
        </w:rPr>
        <w:t>내부대체가 섞이면 실제 부담 본부와 출처 본부가 얽혀 원가 책임 구조가 흐려진다.</w:t>
      </w:r>
    </w:p>
    <w:p>
      <w:pPr>
        <w:pStyle w:val="ListBullet"/>
        <w:spacing w:after="40" w:line="324" w:lineRule="auto"/>
      </w:pPr>
      <w:r>
        <w:rPr>
          <w:rFonts w:ascii="맑은 고딕" w:hAnsi="맑은 고딕" w:eastAsia="맑은 고딕"/>
          <w:b w:val="0"/>
          <w:sz w:val="22"/>
        </w:rPr>
        <w:t>표준원가와 실제원가의 Variance를 월/카테고리 축으로 드릴다운하려면 엑셀을 매번 재가공해야 한다.</w:t>
      </w:r>
    </w:p>
    <w:p>
      <w:pPr>
        <w:pStyle w:val="ListBullet"/>
        <w:spacing w:after="40" w:line="324" w:lineRule="auto"/>
      </w:pPr>
      <w:r>
        <w:rPr>
          <w:rFonts w:ascii="맑은 고딕" w:hAnsi="맑은 고딕" w:eastAsia="맑은 고딕"/>
          <w:b w:val="0"/>
          <w:sz w:val="22"/>
        </w:rPr>
        <w:t>관리자 관점의 전사 KPI(총 실제 원가, 진행 프로젝트, 내부대체 비중 등)가 한 화면에 없다.</w:t>
      </w:r>
    </w:p>
    <w:p>
      <w:pPr>
        <w:spacing w:before="160" w:after="120"/>
      </w:pPr>
      <w:r>
        <w:rPr>
          <w:rFonts w:ascii="맑은 고딕" w:hAnsi="맑은 고딕" w:eastAsia="맑은 고딕"/>
          <w:b/>
          <w:color w:val="1F2D3D"/>
          <w:sz w:val="26"/>
        </w:rPr>
        <w:t>2.3 해결 방향</w:t>
      </w:r>
    </w:p>
    <w:p>
      <w:pPr>
        <w:pStyle w:val="ListBullet"/>
        <w:spacing w:after="40" w:line="324" w:lineRule="auto"/>
      </w:pPr>
      <w:r>
        <w:rPr>
          <w:rFonts w:ascii="맑은 고딕" w:hAnsi="맑은 고딕" w:eastAsia="맑은 고딕"/>
          <w:b w:val="0"/>
          <w:sz w:val="22"/>
        </w:rPr>
        <w:t>본부, 프로젝트, 원가 항목을 단일 데이터 모델로 정규화한다 (Division, Project, CostItem 3개 엔티티).</w:t>
      </w:r>
    </w:p>
    <w:p>
      <w:pPr>
        <w:pStyle w:val="ListBullet"/>
        <w:spacing w:after="40" w:line="324" w:lineRule="auto"/>
      </w:pPr>
      <w:r>
        <w:rPr>
          <w:rFonts w:ascii="맑은 고딕" w:hAnsi="맑은 고딕" w:eastAsia="맑은 고딕"/>
          <w:b w:val="0"/>
          <w:sz w:val="22"/>
        </w:rPr>
        <w:t>본부, 프로젝트, 카테고리, 월의 4개 축으로 드릴다운이 가능한 조회 전용 대시보드를 제공한다.</w:t>
      </w:r>
    </w:p>
    <w:p>
      <w:pPr>
        <w:pStyle w:val="ListBullet"/>
        <w:spacing w:after="40" w:line="324" w:lineRule="auto"/>
      </w:pPr>
      <w:r>
        <w:rPr>
          <w:rFonts w:ascii="맑은 고딕" w:hAnsi="맑은 고딕" w:eastAsia="맑은 고딕"/>
          <w:b w:val="0"/>
          <w:sz w:val="22"/>
        </w:rPr>
        <w:t>URL 쿼리스트링에 필터 상태를 저장해 링크 하나로 동일한 뷰를 공유할 수 있게 한다.</w:t>
      </w:r>
    </w:p>
    <w:p>
      <w:pPr>
        <w:pStyle w:val="ListBullet"/>
        <w:spacing w:after="40" w:line="324" w:lineRule="auto"/>
      </w:pPr>
      <w:r>
        <w:rPr>
          <w:rFonts w:ascii="맑은 고딕" w:hAnsi="맑은 고딕" w:eastAsia="맑은 고딕"/>
          <w:b w:val="0"/>
          <w:sz w:val="22"/>
        </w:rPr>
        <w:t>차트의 막대 클릭은 그대로 해당 본부/프로젝트 상세로 이동해 분석 흐름을 단절 없이 잇는다.</w:t>
      </w:r>
    </w:p>
    <w:p>
      <w:pPr>
        <w:spacing w:before="280" w:after="120"/>
      </w:pPr>
      <w:r>
        <w:rPr>
          <w:rFonts w:ascii="맑은 고딕" w:hAnsi="맑은 고딕" w:eastAsia="맑은 고딕"/>
          <w:b/>
          <w:color w:val="1F2D3D"/>
          <w:sz w:val="32"/>
        </w:rPr>
        <w:t>3. 타깃 사용자</w:t>
      </w:r>
    </w:p>
    <w:p>
      <w:pPr>
        <w:spacing w:after="120" w:line="336" w:lineRule="auto"/>
      </w:pPr>
      <w:r>
        <w:rPr>
          <w:rFonts w:ascii="맑은 고딕" w:hAnsi="맑은 고딕" w:eastAsia="맑은 고딕"/>
          <w:b w:val="0"/>
          <w:sz w:val="22"/>
        </w:rPr>
        <w:t>Cost Compass는 관리 계층과 실무 계층의 사용자를 동시에 고려해 설계했다. 역할에 따라 보고 싶은 집계의 결이 다르지만 같은 데이터 모델 위에서 필터와 드릴다운으로 해결한다.</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984"/>
            <w:vAlign w:val="center"/>
          </w:tcPr>
          <w:p>
            <w:pPr>
              <w:jc w:val="center"/>
            </w:pPr>
            <w:r/>
            <w:r>
              <w:rPr>
                <w:rFonts w:ascii="맑은 고딕" w:hAnsi="맑은 고딕" w:eastAsia="맑은 고딕"/>
                <w:b/>
                <w:sz w:val="21"/>
              </w:rPr>
              <w:t>역할</w:t>
            </w:r>
          </w:p>
        </w:tc>
        <w:tc>
          <w:tcPr>
            <w:tcW w:type="dxa" w:w="3402"/>
            <w:vAlign w:val="center"/>
          </w:tcPr>
          <w:p>
            <w:pPr>
              <w:jc w:val="center"/>
            </w:pPr>
            <w:r/>
            <w:r>
              <w:rPr>
                <w:rFonts w:ascii="맑은 고딕" w:hAnsi="맑은 고딕" w:eastAsia="맑은 고딕"/>
                <w:b/>
                <w:sz w:val="21"/>
              </w:rPr>
              <w:t>주요 페인포인트</w:t>
            </w:r>
          </w:p>
        </w:tc>
        <w:tc>
          <w:tcPr>
            <w:tcW w:type="dxa" w:w="3402"/>
            <w:vAlign w:val="center"/>
          </w:tcPr>
          <w:p>
            <w:pPr>
              <w:jc w:val="center"/>
            </w:pPr>
            <w:r/>
            <w:r>
              <w:rPr>
                <w:rFonts w:ascii="맑은 고딕" w:hAnsi="맑은 고딕" w:eastAsia="맑은 고딕"/>
                <w:b/>
                <w:sz w:val="21"/>
              </w:rPr>
              <w:t>Cost Compass가 제공하는 가치</w:t>
            </w:r>
          </w:p>
        </w:tc>
      </w:tr>
      <w:tr>
        <w:tc>
          <w:tcPr>
            <w:tcW w:type="dxa" w:w="1984"/>
            <w:vAlign w:val="center"/>
          </w:tcPr>
          <w:p>
            <w:r/>
            <w:r>
              <w:rPr>
                <w:rFonts w:ascii="맑은 고딕" w:hAnsi="맑은 고딕" w:eastAsia="맑은 고딕"/>
                <w:b w:val="0"/>
                <w:sz w:val="21"/>
              </w:rPr>
              <w:t>본부장 (1차)</w:t>
            </w:r>
          </w:p>
        </w:tc>
        <w:tc>
          <w:tcPr>
            <w:tcW w:type="dxa" w:w="3402"/>
            <w:vAlign w:val="center"/>
          </w:tcPr>
          <w:p>
            <w:r/>
            <w:r>
              <w:rPr>
                <w:rFonts w:ascii="맑은 고딕" w:hAnsi="맑은 고딕" w:eastAsia="맑은 고딕"/>
                <w:b w:val="0"/>
                <w:sz w:val="21"/>
              </w:rPr>
              <w:t>자기 본부의 실제 원가와 표준 대비 Variance가 어디서 발생하는지 월말이 돼야 알 수 있다.</w:t>
            </w:r>
          </w:p>
        </w:tc>
        <w:tc>
          <w:tcPr>
            <w:tcW w:type="dxa" w:w="3402"/>
            <w:vAlign w:val="center"/>
          </w:tcPr>
          <w:p>
            <w:r/>
            <w:r>
              <w:rPr>
                <w:rFonts w:ascii="맑은 고딕" w:hAnsi="맑은 고딕" w:eastAsia="맑은 고딕"/>
                <w:b w:val="0"/>
                <w:sz w:val="21"/>
              </w:rPr>
              <w:t>본부 상세 화면에서 KPI, 월별 추이, 카테고리 비중, 소속 프로젝트 전 건을 한 페이지에서 확인한다.</w:t>
            </w:r>
          </w:p>
        </w:tc>
      </w:tr>
      <w:tr>
        <w:tc>
          <w:tcPr>
            <w:tcW w:type="dxa" w:w="1984"/>
            <w:vAlign w:val="center"/>
          </w:tcPr>
          <w:p>
            <w:r/>
            <w:r>
              <w:rPr>
                <w:rFonts w:ascii="맑은 고딕" w:hAnsi="맑은 고딕" w:eastAsia="맑은 고딕"/>
                <w:b w:val="0"/>
                <w:sz w:val="21"/>
              </w:rPr>
              <w:t>관리회계 담당자 (2차)</w:t>
            </w:r>
          </w:p>
        </w:tc>
        <w:tc>
          <w:tcPr>
            <w:tcW w:type="dxa" w:w="3402"/>
            <w:vAlign w:val="center"/>
          </w:tcPr>
          <w:p>
            <w:r/>
            <w:r>
              <w:rPr>
                <w:rFonts w:ascii="맑은 고딕" w:hAnsi="맑은 고딕" w:eastAsia="맑은 고딕"/>
                <w:b w:val="0"/>
                <w:sz w:val="21"/>
              </w:rPr>
              <w:t>전사 원가 집계와 프로젝트별 Variance 분석을 매달 엑셀로 재가공한다.</w:t>
            </w:r>
          </w:p>
        </w:tc>
        <w:tc>
          <w:tcPr>
            <w:tcW w:type="dxa" w:w="3402"/>
            <w:vAlign w:val="center"/>
          </w:tcPr>
          <w:p>
            <w:r/>
            <w:r>
              <w:rPr>
                <w:rFonts w:ascii="맑은 고딕" w:hAnsi="맑은 고딕" w:eastAsia="맑은 고딕"/>
                <w:b w:val="0"/>
                <w:sz w:val="21"/>
              </w:rPr>
              <w:t>대시보드에서 본부, 프로젝트, 카테고리 축으로 즉시 드릴다운하고 CSV로 내보낸다.</w:t>
            </w:r>
          </w:p>
        </w:tc>
      </w:tr>
      <w:tr>
        <w:tc>
          <w:tcPr>
            <w:tcW w:type="dxa" w:w="1984"/>
            <w:vAlign w:val="center"/>
          </w:tcPr>
          <w:p>
            <w:r/>
            <w:r>
              <w:rPr>
                <w:rFonts w:ascii="맑은 고딕" w:hAnsi="맑은 고딕" w:eastAsia="맑은 고딕"/>
                <w:b w:val="0"/>
                <w:sz w:val="21"/>
              </w:rPr>
              <w:t>프로젝트 PM (3차)</w:t>
            </w:r>
          </w:p>
        </w:tc>
        <w:tc>
          <w:tcPr>
            <w:tcW w:type="dxa" w:w="3402"/>
            <w:vAlign w:val="center"/>
          </w:tcPr>
          <w:p>
            <w:r/>
            <w:r>
              <w:rPr>
                <w:rFonts w:ascii="맑은 고딕" w:hAnsi="맑은 고딕" w:eastAsia="맑은 고딕"/>
                <w:b w:val="0"/>
                <w:sz w:val="21"/>
              </w:rPr>
              <w:t>자기 프로젝트의 원가 집행 현황을 본부 시스템에서 별도로 받아야 한다.</w:t>
            </w:r>
          </w:p>
        </w:tc>
        <w:tc>
          <w:tcPr>
            <w:tcW w:type="dxa" w:w="3402"/>
            <w:vAlign w:val="center"/>
          </w:tcPr>
          <w:p>
            <w:r/>
            <w:r>
              <w:rPr>
                <w:rFonts w:ascii="맑은 고딕" w:hAnsi="맑은 고딕" w:eastAsia="맑은 고딕"/>
                <w:b w:val="0"/>
                <w:sz w:val="21"/>
              </w:rPr>
              <w:t>프로젝트 상세에서 월별 집행, 카테고리 비중, 내부대체 출처까지 즉시 확인한다.</w:t>
            </w:r>
          </w:p>
        </w:tc>
      </w:tr>
    </w:tbl>
    <w:p>
      <w:pPr>
        <w:spacing w:after="80"/>
      </w:pPr>
    </w:p>
    <w:p>
      <w:pPr>
        <w:spacing w:before="280" w:after="120"/>
      </w:pPr>
      <w:r>
        <w:rPr>
          <w:rFonts w:ascii="맑은 고딕" w:hAnsi="맑은 고딕" w:eastAsia="맑은 고딕"/>
          <w:b/>
          <w:color w:val="1F2D3D"/>
          <w:sz w:val="32"/>
        </w:rPr>
        <w:t>4. MVP 범위와 경계</w:t>
      </w:r>
    </w:p>
    <w:p>
      <w:pPr>
        <w:spacing w:after="120" w:line="336" w:lineRule="auto"/>
      </w:pPr>
      <w:r>
        <w:rPr>
          <w:rFonts w:ascii="맑은 고딕" w:hAnsi="맑은 고딕" w:eastAsia="맑은 고딕"/>
          <w:b w:val="0"/>
          <w:sz w:val="22"/>
        </w:rPr>
        <w:t>반나절이라는 개발 기간 안에 '읽는' 도구로서의 핵심 가치를 입증하기 위해 범위를 명확히 잘랐다. 조회와 드릴다운, 필터 공유에 집중하고 데이터 생성/수정은 범위에서 제외했다.</w:t>
      </w:r>
    </w:p>
    <w:p>
      <w:pPr>
        <w:spacing w:before="160" w:after="120"/>
      </w:pPr>
      <w:r>
        <w:rPr>
          <w:rFonts w:ascii="맑은 고딕" w:hAnsi="맑은 고딕" w:eastAsia="맑은 고딕"/>
          <w:b/>
          <w:color w:val="1F2D3D"/>
          <w:sz w:val="26"/>
        </w:rPr>
        <w:t>4.1 MoSCoW 분석</w:t>
      </w:r>
    </w:p>
    <w:tbl>
      <w:tblPr>
        <w:tblStyle w:val="LightGrid-Accent1"/>
        <w:tblW w:type="auto" w:w="0"/>
        <w:tblLayout w:type="fixed"/>
        <w:tblLook w:firstColumn="1" w:firstRow="1" w:lastColumn="0" w:lastRow="0" w:noHBand="0" w:noVBand="1" w:val="04A0"/>
      </w:tblPr>
      <w:tblGrid>
        <w:gridCol w:w="4703"/>
        <w:gridCol w:w="4703"/>
      </w:tblGrid>
      <w:tr>
        <w:tc>
          <w:tcPr>
            <w:tcW w:type="dxa" w:w="1814"/>
            <w:vAlign w:val="center"/>
          </w:tcPr>
          <w:p>
            <w:pPr>
              <w:jc w:val="center"/>
            </w:pPr>
            <w:r/>
            <w:r>
              <w:rPr>
                <w:rFonts w:ascii="맑은 고딕" w:hAnsi="맑은 고딕" w:eastAsia="맑은 고딕"/>
                <w:b/>
                <w:sz w:val="21"/>
              </w:rPr>
              <w:t>우선순위</w:t>
            </w:r>
          </w:p>
        </w:tc>
        <w:tc>
          <w:tcPr>
            <w:tcW w:type="dxa" w:w="7143"/>
            <w:vAlign w:val="center"/>
          </w:tcPr>
          <w:p>
            <w:pPr>
              <w:jc w:val="center"/>
            </w:pPr>
            <w:r/>
            <w:r>
              <w:rPr>
                <w:rFonts w:ascii="맑은 고딕" w:hAnsi="맑은 고딕" w:eastAsia="맑은 고딕"/>
                <w:b/>
                <w:sz w:val="21"/>
              </w:rPr>
              <w:t>범위</w:t>
            </w:r>
          </w:p>
        </w:tc>
      </w:tr>
      <w:tr>
        <w:tc>
          <w:tcPr>
            <w:tcW w:type="dxa" w:w="1814"/>
            <w:vAlign w:val="center"/>
          </w:tcPr>
          <w:p>
            <w:r/>
            <w:r>
              <w:rPr>
                <w:rFonts w:ascii="맑은 고딕" w:hAnsi="맑은 고딕" w:eastAsia="맑은 고딕"/>
                <w:b w:val="0"/>
                <w:sz w:val="21"/>
              </w:rPr>
              <w:t>Must</w:t>
            </w:r>
          </w:p>
        </w:tc>
        <w:tc>
          <w:tcPr>
            <w:tcW w:type="dxa" w:w="7143"/>
            <w:vAlign w:val="center"/>
          </w:tcPr>
          <w:p>
            <w:r/>
            <w:r>
              <w:rPr>
                <w:rFonts w:ascii="맑은 고딕" w:hAnsi="맑은 고딕" w:eastAsia="맑은 고딕"/>
                <w:b w:val="0"/>
                <w:sz w:val="21"/>
              </w:rPr>
              <w:t>대시보드 KPI 4종, 차트 5종, 프로젝트 목록/상세, 본부 드릴다운, CSV 내보내기</w:t>
            </w:r>
          </w:p>
        </w:tc>
      </w:tr>
      <w:tr>
        <w:tc>
          <w:tcPr>
            <w:tcW w:type="dxa" w:w="1814"/>
            <w:vAlign w:val="center"/>
          </w:tcPr>
          <w:p>
            <w:r/>
            <w:r>
              <w:rPr>
                <w:rFonts w:ascii="맑은 고딕" w:hAnsi="맑은 고딕" w:eastAsia="맑은 고딕"/>
                <w:b w:val="0"/>
                <w:sz w:val="21"/>
              </w:rPr>
              <w:t>Should</w:t>
            </w:r>
          </w:p>
        </w:tc>
        <w:tc>
          <w:tcPr>
            <w:tcW w:type="dxa" w:w="7143"/>
            <w:vAlign w:val="center"/>
          </w:tcPr>
          <w:p>
            <w:r/>
            <w:r>
              <w:rPr>
                <w:rFonts w:ascii="맑은 고딕" w:hAnsi="맑은 고딕" w:eastAsia="맑은 고딕"/>
                <w:b w:val="0"/>
                <w:sz w:val="21"/>
              </w:rPr>
              <w:t>URL 기반 필터 공유, Variance 30% 초과 강조, 차트 클릭 드릴다운</w:t>
            </w:r>
          </w:p>
        </w:tc>
      </w:tr>
      <w:tr>
        <w:tc>
          <w:tcPr>
            <w:tcW w:type="dxa" w:w="1814"/>
            <w:vAlign w:val="center"/>
          </w:tcPr>
          <w:p>
            <w:r/>
            <w:r>
              <w:rPr>
                <w:rFonts w:ascii="맑은 고딕" w:hAnsi="맑은 고딕" w:eastAsia="맑은 고딕"/>
                <w:b w:val="0"/>
                <w:sz w:val="21"/>
              </w:rPr>
              <w:t>Could</w:t>
            </w:r>
          </w:p>
        </w:tc>
        <w:tc>
          <w:tcPr>
            <w:tcW w:type="dxa" w:w="7143"/>
            <w:vAlign w:val="center"/>
          </w:tcPr>
          <w:p>
            <w:r/>
            <w:r>
              <w:rPr>
                <w:rFonts w:ascii="맑은 고딕" w:hAnsi="맑은 고딕" w:eastAsia="맑은 고딕"/>
                <w:b w:val="0"/>
                <w:sz w:val="21"/>
              </w:rPr>
              <w:t>표준원가 배분 규칙 엔진(ABC), 월 마감 확정 워크플로</w:t>
            </w:r>
          </w:p>
        </w:tc>
      </w:tr>
      <w:tr>
        <w:tc>
          <w:tcPr>
            <w:tcW w:type="dxa" w:w="1814"/>
            <w:vAlign w:val="center"/>
          </w:tcPr>
          <w:p>
            <w:r/>
            <w:r>
              <w:rPr>
                <w:rFonts w:ascii="맑은 고딕" w:hAnsi="맑은 고딕" w:eastAsia="맑은 고딕"/>
                <w:b w:val="0"/>
                <w:sz w:val="21"/>
              </w:rPr>
              <w:t>Won't</w:t>
            </w:r>
          </w:p>
        </w:tc>
        <w:tc>
          <w:tcPr>
            <w:tcW w:type="dxa" w:w="7143"/>
            <w:vAlign w:val="center"/>
          </w:tcPr>
          <w:p>
            <w:r/>
            <w:r>
              <w:rPr>
                <w:rFonts w:ascii="맑은 고딕" w:hAnsi="맑은 고딕" w:eastAsia="맑은 고딕"/>
                <w:b w:val="0"/>
                <w:sz w:val="21"/>
              </w:rPr>
              <w:t>원가 직접 입력 폼, 권한/인증(RLS), 실ERP 연동, Excel 정식 템플릿</w:t>
            </w:r>
          </w:p>
        </w:tc>
      </w:tr>
    </w:tbl>
    <w:p>
      <w:pPr>
        <w:spacing w:after="80"/>
      </w:pPr>
    </w:p>
    <w:p>
      <w:pPr>
        <w:spacing w:before="160" w:after="120"/>
      </w:pPr>
      <w:r>
        <w:rPr>
          <w:rFonts w:ascii="맑은 고딕" w:hAnsi="맑은 고딕" w:eastAsia="맑은 고딕"/>
          <w:b/>
          <w:color w:val="1F2D3D"/>
          <w:sz w:val="26"/>
        </w:rPr>
        <w:t>4.2 왜 조회 전용인가</w:t>
      </w:r>
    </w:p>
    <w:p>
      <w:pPr>
        <w:pStyle w:val="ListBullet"/>
        <w:spacing w:after="40" w:line="324" w:lineRule="auto"/>
      </w:pPr>
      <w:r>
        <w:rPr>
          <w:rFonts w:ascii="맑은 고딕" w:hAnsi="맑은 고딕" w:eastAsia="맑은 고딕"/>
          <w:b w:val="0"/>
          <w:sz w:val="22"/>
        </w:rPr>
        <w:t>자매 프로젝트 Interface Hub는 CRUD와 실행을 포함한 '쓰는' 도구였다. Cost Compass는 대비되는 '읽는' 도구로 포지셔닝한다.</w:t>
      </w:r>
    </w:p>
    <w:p>
      <w:pPr>
        <w:pStyle w:val="ListBullet"/>
        <w:spacing w:after="40" w:line="324" w:lineRule="auto"/>
      </w:pPr>
      <w:r>
        <w:rPr>
          <w:rFonts w:ascii="맑은 고딕" w:hAnsi="맑은 고딕" w:eastAsia="맑은 고딕"/>
          <w:b w:val="0"/>
          <w:sz w:val="22"/>
        </w:rPr>
        <w:t>원가 입력 워크플로는 ERP 영역에 속한다. 대시보드는 통합 조회에 집중하고, 입력은 확장 로드맵에 남긴다.</w:t>
      </w:r>
    </w:p>
    <w:p>
      <w:pPr>
        <w:pStyle w:val="ListBullet"/>
        <w:spacing w:after="40" w:line="324" w:lineRule="auto"/>
      </w:pPr>
      <w:r>
        <w:rPr>
          <w:rFonts w:ascii="맑은 고딕" w:hAnsi="맑은 고딕" w:eastAsia="맑은 고딕"/>
          <w:b w:val="0"/>
          <w:sz w:val="22"/>
        </w:rPr>
        <w:t>시드 데이터 326건으로 차트와 집계 로직의 의미 있는 분포를 실증한다 (총 실제 원가 약 282.9억원).</w:t>
      </w:r>
    </w:p>
    <w:p>
      <w:pPr>
        <w:spacing w:before="280" w:after="120"/>
      </w:pPr>
      <w:r>
        <w:rPr>
          <w:rFonts w:ascii="맑은 고딕" w:hAnsi="맑은 고딕" w:eastAsia="맑은 고딕"/>
          <w:b/>
          <w:color w:val="1F2D3D"/>
          <w:sz w:val="32"/>
        </w:rPr>
        <w:t>5. 핵심 기능 정의</w:t>
      </w:r>
    </w:p>
    <w:p>
      <w:pPr>
        <w:spacing w:after="120" w:line="336" w:lineRule="auto"/>
      </w:pPr>
      <w:r>
        <w:rPr>
          <w:rFonts w:ascii="맑은 고딕" w:hAnsi="맑은 고딕" w:eastAsia="맑은 고딕"/>
          <w:b w:val="0"/>
          <w:sz w:val="22"/>
        </w:rPr>
        <w:t>MVP가 제공하는 기능은 크게 5가지 화면으로 구성된다. 각 화면은 시나리오에 맞춘 데이터 집계와 인터랙션을 함께 갖춘다.</w:t>
      </w:r>
    </w:p>
    <w:p>
      <w:pPr>
        <w:spacing w:before="160" w:after="120"/>
      </w:pPr>
      <w:r>
        <w:rPr>
          <w:rFonts w:ascii="맑은 고딕" w:hAnsi="맑은 고딕" w:eastAsia="맑은 고딕"/>
          <w:b/>
          <w:color w:val="1F2D3D"/>
          <w:sz w:val="26"/>
        </w:rPr>
        <w:t>5.1 전사 대시보드</w:t>
      </w:r>
    </w:p>
    <w:p>
      <w:pPr>
        <w:spacing w:after="120" w:line="336" w:lineRule="auto"/>
      </w:pPr>
      <w:r>
        <w:rPr>
          <w:rFonts w:ascii="맑은 고딕" w:hAnsi="맑은 고딕" w:eastAsia="맑은 고딕"/>
          <w:b w:val="0"/>
          <w:sz w:val="22"/>
        </w:rPr>
        <w:t>전체 실제 원가, 진행 프로젝트 수, Variance 비율, 내부대체 비중의 KPI 4종을 상단에 노출한다. 월별 추이 LineChart, 카테고리 비중 PieChart, 본부별 카테고리 Stacked BarChart, 프로젝트 Top 10 Horizontal BarChart, 최근 집행 원가 10건 테이블까지 한 페이지에 배치한다. 상단 FilterBar의 기간/본부/상태 필터는 URL 쿼리스트링에 반영되어 링크로 그대로 공유된다.</w:t>
      </w:r>
    </w:p>
    <w:p>
      <w:pPr>
        <w:spacing w:after="40"/>
        <w:jc w:val="center"/>
      </w:pPr>
      <w:r>
        <w:drawing>
          <wp:inline xmlns:a="http://schemas.openxmlformats.org/drawingml/2006/main" xmlns:pic="http://schemas.openxmlformats.org/drawingml/2006/picture">
            <wp:extent cx="5580000" cy="369759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580000" cy="3697590"/>
                    </a:xfrm>
                    <a:prstGeom prst="rect"/>
                  </pic:spPr>
                </pic:pic>
              </a:graphicData>
            </a:graphic>
          </wp:inline>
        </w:drawing>
      </w:r>
    </w:p>
    <w:p>
      <w:pPr>
        <w:spacing w:after="200"/>
        <w:jc w:val="center"/>
      </w:pPr>
      <w:r>
        <w:rPr>
          <w:rFonts w:ascii="맑은 고딕" w:hAnsi="맑은 고딕" w:eastAsia="맑은 고딕"/>
          <w:b w:val="0"/>
          <w:i/>
          <w:color w:val="556577"/>
          <w:sz w:val="19"/>
        </w:rPr>
        <w:t>전사 KPI, 월별 추이, 카테고리 비중, 본부별 스택, 프로젝트 Top 10을 한 화면에 집계한다.</w:t>
      </w:r>
    </w:p>
    <w:p>
      <w:pPr>
        <w:spacing w:before="160" w:after="120"/>
      </w:pPr>
      <w:r>
        <w:rPr>
          <w:rFonts w:ascii="맑은 고딕" w:hAnsi="맑은 고딕" w:eastAsia="맑은 고딕"/>
          <w:b/>
          <w:color w:val="1F2D3D"/>
          <w:sz w:val="26"/>
        </w:rPr>
        <w:t>5.2 프로젝트 목록</w:t>
      </w:r>
    </w:p>
    <w:p>
      <w:pPr>
        <w:spacing w:after="120" w:line="336" w:lineRule="auto"/>
      </w:pPr>
      <w:r>
        <w:rPr>
          <w:rFonts w:ascii="맑은 고딕" w:hAnsi="맑은 고딕" w:eastAsia="맑은 고딕"/>
          <w:b w:val="0"/>
          <w:sz w:val="22"/>
        </w:rPr>
        <w:t>22개 프로젝트를 표 형식으로 나열하고 본부, 상태로 필터링한다. Variance가 30%를 초과한 행은 배경색으로 강조해 한 번의 시선으로 위험 프로젝트를 식별한다. 행 클릭은 그대로 프로젝트 상세로 이동한다.</w:t>
      </w:r>
    </w:p>
    <w:p>
      <w:pPr>
        <w:spacing w:after="40"/>
        <w:jc w:val="center"/>
      </w:pPr>
      <w:r>
        <w:drawing>
          <wp:inline xmlns:a="http://schemas.openxmlformats.org/drawingml/2006/main" xmlns:pic="http://schemas.openxmlformats.org/drawingml/2006/picture">
            <wp:extent cx="5580000" cy="4345438"/>
            <wp:docPr id="2" name="Picture 2"/>
            <wp:cNvGraphicFramePr>
              <a:graphicFrameLocks noChangeAspect="1"/>
            </wp:cNvGraphicFramePr>
            <a:graphic>
              <a:graphicData uri="http://schemas.openxmlformats.org/drawingml/2006/picture">
                <pic:pic>
                  <pic:nvPicPr>
                    <pic:cNvPr id="0" name="02-project-list.png"/>
                    <pic:cNvPicPr/>
                  </pic:nvPicPr>
                  <pic:blipFill>
                    <a:blip r:embed="rId10"/>
                    <a:stretch>
                      <a:fillRect/>
                    </a:stretch>
                  </pic:blipFill>
                  <pic:spPr>
                    <a:xfrm>
                      <a:off x="0" y="0"/>
                      <a:ext cx="5580000" cy="4345438"/>
                    </a:xfrm>
                    <a:prstGeom prst="rect"/>
                  </pic:spPr>
                </pic:pic>
              </a:graphicData>
            </a:graphic>
          </wp:inline>
        </w:drawing>
      </w:r>
    </w:p>
    <w:p>
      <w:pPr>
        <w:spacing w:after="200"/>
        <w:jc w:val="center"/>
      </w:pPr>
      <w:r>
        <w:rPr>
          <w:rFonts w:ascii="맑은 고딕" w:hAnsi="맑은 고딕" w:eastAsia="맑은 고딕"/>
          <w:b w:val="0"/>
          <w:i/>
          <w:color w:val="556577"/>
          <w:sz w:val="19"/>
        </w:rPr>
        <w:t>본부와 상태로 필터링하고 Variance 30% 초과 프로젝트는 행 배경으로 강조한다.</w:t>
      </w:r>
    </w:p>
    <w:p>
      <w:pPr>
        <w:spacing w:before="160" w:after="120"/>
      </w:pPr>
      <w:r>
        <w:rPr>
          <w:rFonts w:ascii="맑은 고딕" w:hAnsi="맑은 고딕" w:eastAsia="맑은 고딕"/>
          <w:b/>
          <w:color w:val="1F2D3D"/>
          <w:sz w:val="26"/>
        </w:rPr>
        <w:t>5.3 프로젝트 상세</w:t>
      </w:r>
    </w:p>
    <w:p>
      <w:pPr>
        <w:spacing w:after="120" w:line="336" w:lineRule="auto"/>
      </w:pPr>
      <w:r>
        <w:rPr>
          <w:rFonts w:ascii="맑은 고딕" w:hAnsi="맑은 고딕" w:eastAsia="맑은 고딕"/>
          <w:b w:val="0"/>
          <w:sz w:val="22"/>
        </w:rPr>
        <w:t>표준원가, 실제원가, Variance KPI 3종 위에 카테고리 비중 PieChart와 월별 추이 LineChart를 배치하고, 하단에 원가 항목 상세 테이블을 둔다. 항목마다 기간, 카테고리, 부담 본부, 내부대체 출처 본부를 모두 노출해 금액이 어디서 발생했고 어떻게 이동했는지 추적할 수 있다. 우상단 'CSV 내보내기' 버튼은 UTF-8 BOM 포함 CSV를 생성해 엑셀에서 한글이 깨지지 않도록 한다.</w:t>
      </w:r>
    </w:p>
    <w:p>
      <w:pPr>
        <w:spacing w:after="40"/>
        <w:jc w:val="center"/>
      </w:pPr>
      <w:r>
        <w:drawing>
          <wp:inline xmlns:a="http://schemas.openxmlformats.org/drawingml/2006/main" xmlns:pic="http://schemas.openxmlformats.org/drawingml/2006/picture">
            <wp:extent cx="5580000" cy="4502800"/>
            <wp:docPr id="3" name="Picture 3"/>
            <wp:cNvGraphicFramePr>
              <a:graphicFrameLocks noChangeAspect="1"/>
            </wp:cNvGraphicFramePr>
            <a:graphic>
              <a:graphicData uri="http://schemas.openxmlformats.org/drawingml/2006/picture">
                <pic:pic>
                  <pic:nvPicPr>
                    <pic:cNvPr id="0" name="03-project-detail.png"/>
                    <pic:cNvPicPr/>
                  </pic:nvPicPr>
                  <pic:blipFill>
                    <a:blip r:embed="rId11"/>
                    <a:stretch>
                      <a:fillRect/>
                    </a:stretch>
                  </pic:blipFill>
                  <pic:spPr>
                    <a:xfrm>
                      <a:off x="0" y="0"/>
                      <a:ext cx="5580000" cy="4502800"/>
                    </a:xfrm>
                    <a:prstGeom prst="rect"/>
                  </pic:spPr>
                </pic:pic>
              </a:graphicData>
            </a:graphic>
          </wp:inline>
        </w:drawing>
      </w:r>
    </w:p>
    <w:p>
      <w:pPr>
        <w:spacing w:after="200"/>
        <w:jc w:val="center"/>
      </w:pPr>
      <w:r>
        <w:rPr>
          <w:rFonts w:ascii="맑은 고딕" w:hAnsi="맑은 고딕" w:eastAsia="맑은 고딕"/>
          <w:b w:val="0"/>
          <w:i/>
          <w:color w:val="556577"/>
          <w:sz w:val="19"/>
        </w:rPr>
        <w:t>표준원가, 실제원가, Variance KPI와 카테고리 비중, 월별 추이, 원가 항목 상세를 드릴다운한다. 우상단에서 UTF-8 BOM CSV로 내보낸다.</w:t>
      </w:r>
    </w:p>
    <w:p>
      <w:pPr>
        <w:spacing w:before="160" w:after="120"/>
      </w:pPr>
      <w:r>
        <w:rPr>
          <w:rFonts w:ascii="맑은 고딕" w:hAnsi="맑은 고딕" w:eastAsia="맑은 고딕"/>
          <w:b/>
          <w:color w:val="1F2D3D"/>
          <w:sz w:val="26"/>
        </w:rPr>
        <w:t>5.4 본부 목록</w:t>
      </w:r>
    </w:p>
    <w:p>
      <w:pPr>
        <w:spacing w:after="120" w:line="336" w:lineRule="auto"/>
      </w:pPr>
      <w:r>
        <w:rPr>
          <w:rFonts w:ascii="맑은 고딕" w:hAnsi="맑은 고딕" w:eastAsia="맑은 고딕"/>
          <w:b w:val="0"/>
          <w:sz w:val="22"/>
        </w:rPr>
        <w:t>5개 본부를 카드 그리드로 나열하고 실제 원가 내림차순으로 정렬한다. 각 카드는 인원수, 프로젝트 수와 진행 프로젝트 수, 실제 원가, 표준 대비 Variance를 동시에 보여준다. 카드 전체가 링크라 본부 상세로 자연스럽게 이어진다. 대시보드의 본부별 Stacked Bar를 클릭해도 동일한 상세 화면으로 이동한다.</w:t>
      </w:r>
    </w:p>
    <w:p>
      <w:pPr>
        <w:spacing w:after="40"/>
        <w:jc w:val="center"/>
      </w:pPr>
      <w:r>
        <w:drawing>
          <wp:inline xmlns:a="http://schemas.openxmlformats.org/drawingml/2006/main" xmlns:pic="http://schemas.openxmlformats.org/drawingml/2006/picture">
            <wp:extent cx="5580000" cy="2885475"/>
            <wp:docPr id="4" name="Picture 4"/>
            <wp:cNvGraphicFramePr>
              <a:graphicFrameLocks noChangeAspect="1"/>
            </wp:cNvGraphicFramePr>
            <a:graphic>
              <a:graphicData uri="http://schemas.openxmlformats.org/drawingml/2006/picture">
                <pic:pic>
                  <pic:nvPicPr>
                    <pic:cNvPr id="0" name="04-divisions.png"/>
                    <pic:cNvPicPr/>
                  </pic:nvPicPr>
                  <pic:blipFill>
                    <a:blip r:embed="rId12"/>
                    <a:stretch>
                      <a:fillRect/>
                    </a:stretch>
                  </pic:blipFill>
                  <pic:spPr>
                    <a:xfrm>
                      <a:off x="0" y="0"/>
                      <a:ext cx="5580000" cy="2885475"/>
                    </a:xfrm>
                    <a:prstGeom prst="rect"/>
                  </pic:spPr>
                </pic:pic>
              </a:graphicData>
            </a:graphic>
          </wp:inline>
        </w:drawing>
      </w:r>
    </w:p>
    <w:p>
      <w:pPr>
        <w:spacing w:after="200"/>
        <w:jc w:val="center"/>
      </w:pPr>
      <w:r>
        <w:rPr>
          <w:rFonts w:ascii="맑은 고딕" w:hAnsi="맑은 고딕" w:eastAsia="맑은 고딕"/>
          <w:b w:val="0"/>
          <w:i/>
          <w:color w:val="556577"/>
          <w:sz w:val="19"/>
        </w:rPr>
        <w:t>5개 본부를 실제 원가 내림차순으로 정렬해 비교한다.</w:t>
      </w:r>
    </w:p>
    <w:p>
      <w:pPr>
        <w:spacing w:before="160" w:after="120"/>
      </w:pPr>
      <w:r>
        <w:rPr>
          <w:rFonts w:ascii="맑은 고딕" w:hAnsi="맑은 고딕" w:eastAsia="맑은 고딕"/>
          <w:b/>
          <w:color w:val="1F2D3D"/>
          <w:sz w:val="26"/>
        </w:rPr>
        <w:t>5.5 본부 상세</w:t>
      </w:r>
    </w:p>
    <w:p>
      <w:pPr>
        <w:spacing w:after="120" w:line="336" w:lineRule="auto"/>
      </w:pPr>
      <w:r>
        <w:rPr>
          <w:rFonts w:ascii="맑은 고딕" w:hAnsi="맑은 고딕" w:eastAsia="맑은 고딕"/>
          <w:b w:val="0"/>
          <w:sz w:val="22"/>
        </w:rPr>
        <w:t>본부 단위 KPI 4종(실제 원가, 표준 원가, 진행/전체 프로젝트 수, 내부대체 비중) 위에 월별 추이와 카테고리 비중 차트를 배치하고, 그 아래 소속 프로젝트 전 건을 실제 원가 내림차순으로 나열한다. 대시보드의 전체 시야에서 본부 시야로, 다시 프로젝트 시야로 단절 없이 드릴다운할 수 있다.</w:t>
      </w:r>
    </w:p>
    <w:p>
      <w:pPr>
        <w:spacing w:after="40"/>
        <w:jc w:val="center"/>
      </w:pPr>
      <w:r>
        <w:drawing>
          <wp:inline xmlns:a="http://schemas.openxmlformats.org/drawingml/2006/main" xmlns:pic="http://schemas.openxmlformats.org/drawingml/2006/picture">
            <wp:extent cx="5580000" cy="4574740"/>
            <wp:docPr id="5" name="Picture 5"/>
            <wp:cNvGraphicFramePr>
              <a:graphicFrameLocks noChangeAspect="1"/>
            </wp:cNvGraphicFramePr>
            <a:graphic>
              <a:graphicData uri="http://schemas.openxmlformats.org/drawingml/2006/picture">
                <pic:pic>
                  <pic:nvPicPr>
                    <pic:cNvPr id="0" name="05-division-detail.png"/>
                    <pic:cNvPicPr/>
                  </pic:nvPicPr>
                  <pic:blipFill>
                    <a:blip r:embed="rId13"/>
                    <a:stretch>
                      <a:fillRect/>
                    </a:stretch>
                  </pic:blipFill>
                  <pic:spPr>
                    <a:xfrm>
                      <a:off x="0" y="0"/>
                      <a:ext cx="5580000" cy="4574740"/>
                    </a:xfrm>
                    <a:prstGeom prst="rect"/>
                  </pic:spPr>
                </pic:pic>
              </a:graphicData>
            </a:graphic>
          </wp:inline>
        </w:drawing>
      </w:r>
    </w:p>
    <w:p>
      <w:pPr>
        <w:spacing w:after="200"/>
        <w:jc w:val="center"/>
      </w:pPr>
      <w:r>
        <w:rPr>
          <w:rFonts w:ascii="맑은 고딕" w:hAnsi="맑은 고딕" w:eastAsia="맑은 고딕"/>
          <w:b w:val="0"/>
          <w:i/>
          <w:color w:val="556577"/>
          <w:sz w:val="19"/>
        </w:rPr>
        <w:t>본부 단위 KPI와 월별 추이, 카테고리 비중, 소속 프로젝트 목록까지 한 번에 확인한다.</w:t>
      </w:r>
    </w:p>
    <w:p>
      <w:pPr>
        <w:spacing w:before="280" w:after="120"/>
      </w:pPr>
      <w:r>
        <w:rPr>
          <w:rFonts w:ascii="맑은 고딕" w:hAnsi="맑은 고딕" w:eastAsia="맑은 고딕"/>
          <w:b/>
          <w:color w:val="1F2D3D"/>
          <w:sz w:val="32"/>
        </w:rPr>
        <w:t>6. 성공 지표</w:t>
      </w:r>
    </w:p>
    <w:p>
      <w:pPr>
        <w:spacing w:before="160" w:after="120"/>
      </w:pPr>
      <w:r>
        <w:rPr>
          <w:rFonts w:ascii="맑은 고딕" w:hAnsi="맑은 고딕" w:eastAsia="맑은 고딕"/>
          <w:b/>
          <w:color w:val="1F2D3D"/>
          <w:sz w:val="26"/>
        </w:rPr>
        <w:t>6.1 MVP 검증 기준</w:t>
      </w:r>
    </w:p>
    <w:p>
      <w:pPr>
        <w:pStyle w:val="ListBullet"/>
        <w:spacing w:after="40" w:line="324" w:lineRule="auto"/>
      </w:pPr>
      <w:r>
        <w:rPr>
          <w:rFonts w:ascii="맑은 고딕" w:hAnsi="맑은 고딕" w:eastAsia="맑은 고딕"/>
          <w:b w:val="0"/>
          <w:sz w:val="22"/>
        </w:rPr>
        <w:t>시드 326건이 대시보드 KPI에 정확히 집계되고 전체 실제 원가 합계가 약 282.9억원으로 일치한다.</w:t>
      </w:r>
    </w:p>
    <w:p>
      <w:pPr>
        <w:pStyle w:val="ListBullet"/>
        <w:spacing w:after="40" w:line="324" w:lineRule="auto"/>
      </w:pPr>
      <w:r>
        <w:rPr>
          <w:rFonts w:ascii="맑은 고딕" w:hAnsi="맑은 고딕" w:eastAsia="맑은 고딕"/>
          <w:b w:val="0"/>
          <w:sz w:val="22"/>
        </w:rPr>
        <w:t>본부별 Stacked BarChart의 막대 클릭이 해당 본부 상세로 이동하고, 프로젝트 Top 10의 막대 클릭이 프로젝트 상세로 이동한다.</w:t>
      </w:r>
    </w:p>
    <w:p>
      <w:pPr>
        <w:pStyle w:val="ListBullet"/>
        <w:spacing w:after="40" w:line="324" w:lineRule="auto"/>
      </w:pPr>
      <w:r>
        <w:rPr>
          <w:rFonts w:ascii="맑은 고딕" w:hAnsi="맑은 고딕" w:eastAsia="맑은 고딕"/>
          <w:b w:val="0"/>
          <w:sz w:val="22"/>
        </w:rPr>
        <w:t>CSV 내보내기 파일이 엑셀에서 한글 깨짐 없이 열리고 BOM 포함 UTF-8로 저장된다.</w:t>
      </w:r>
    </w:p>
    <w:p>
      <w:pPr>
        <w:pStyle w:val="ListBullet"/>
        <w:spacing w:after="40" w:line="324" w:lineRule="auto"/>
      </w:pPr>
      <w:r>
        <w:rPr>
          <w:rFonts w:ascii="맑은 고딕" w:hAnsi="맑은 고딕" w:eastAsia="맑은 고딕"/>
          <w:b w:val="0"/>
          <w:sz w:val="22"/>
        </w:rPr>
        <w:t>로컬 SQLite와 Turso libSQL을 환경변수만으로 전환할 수 있고, 코드 수정이 없다.</w:t>
      </w:r>
    </w:p>
    <w:p>
      <w:pPr>
        <w:pStyle w:val="ListBullet"/>
        <w:spacing w:after="40" w:line="324" w:lineRule="auto"/>
      </w:pPr>
      <w:r>
        <w:rPr>
          <w:rFonts w:ascii="맑은 고딕" w:hAnsi="맑은 고딕" w:eastAsia="맑은 고딕"/>
          <w:b w:val="0"/>
          <w:sz w:val="22"/>
        </w:rPr>
        <w:t>TypeScript strict 기준 npx tsc --noEmit 0건과 npm run build 성공을 통과한다.</w:t>
      </w:r>
    </w:p>
    <w:p>
      <w:pPr>
        <w:spacing w:before="160" w:after="120"/>
      </w:pPr>
      <w:r>
        <w:rPr>
          <w:rFonts w:ascii="맑은 고딕" w:hAnsi="맑은 고딕" w:eastAsia="맑은 고딕"/>
          <w:b/>
          <w:color w:val="1F2D3D"/>
          <w:sz w:val="26"/>
        </w:rPr>
        <w:t>6.2 운영 KPI (제품이 운영에 투입된 가정)</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041"/>
            <w:vAlign w:val="center"/>
          </w:tcPr>
          <w:p>
            <w:pPr>
              <w:jc w:val="center"/>
            </w:pPr>
            <w:r/>
            <w:r>
              <w:rPr>
                <w:rFonts w:ascii="맑은 고딕" w:hAnsi="맑은 고딕" w:eastAsia="맑은 고딕"/>
                <w:b/>
                <w:sz w:val="21"/>
              </w:rPr>
              <w:t>KPI</w:t>
            </w:r>
          </w:p>
        </w:tc>
        <w:tc>
          <w:tcPr>
            <w:tcW w:type="dxa" w:w="3288"/>
            <w:vAlign w:val="center"/>
          </w:tcPr>
          <w:p>
            <w:pPr>
              <w:jc w:val="center"/>
            </w:pPr>
            <w:r/>
            <w:r>
              <w:rPr>
                <w:rFonts w:ascii="맑은 고딕" w:hAnsi="맑은 고딕" w:eastAsia="맑은 고딕"/>
                <w:b/>
                <w:sz w:val="21"/>
              </w:rPr>
              <w:t>정의</w:t>
            </w:r>
          </w:p>
        </w:tc>
        <w:tc>
          <w:tcPr>
            <w:tcW w:type="dxa" w:w="3628"/>
            <w:vAlign w:val="center"/>
          </w:tcPr>
          <w:p>
            <w:pPr>
              <w:jc w:val="center"/>
            </w:pPr>
            <w:r/>
            <w:r>
              <w:rPr>
                <w:rFonts w:ascii="맑은 고딕" w:hAnsi="맑은 고딕" w:eastAsia="맑은 고딕"/>
                <w:b/>
                <w:sz w:val="21"/>
              </w:rPr>
              <w:t>기대 효과</w:t>
            </w:r>
          </w:p>
        </w:tc>
      </w:tr>
      <w:tr>
        <w:tc>
          <w:tcPr>
            <w:tcW w:type="dxa" w:w="2041"/>
            <w:vAlign w:val="center"/>
          </w:tcPr>
          <w:p>
            <w:r/>
            <w:r>
              <w:rPr>
                <w:rFonts w:ascii="맑은 고딕" w:hAnsi="맑은 고딕" w:eastAsia="맑은 고딕"/>
                <w:b w:val="0"/>
                <w:sz w:val="21"/>
              </w:rPr>
              <w:t>월별 예산 대비 실적 편차</w:t>
            </w:r>
          </w:p>
        </w:tc>
        <w:tc>
          <w:tcPr>
            <w:tcW w:type="dxa" w:w="3288"/>
            <w:vAlign w:val="center"/>
          </w:tcPr>
          <w:p>
            <w:r/>
            <w:r>
              <w:rPr>
                <w:rFonts w:ascii="맑은 고딕" w:hAnsi="맑은 고딕" w:eastAsia="맑은 고딕"/>
                <w:b w:val="0"/>
                <w:sz w:val="21"/>
              </w:rPr>
              <w:t>본부/프로젝트별 실제와 표준의 Variance 추이</w:t>
            </w:r>
          </w:p>
        </w:tc>
        <w:tc>
          <w:tcPr>
            <w:tcW w:type="dxa" w:w="3628"/>
            <w:vAlign w:val="center"/>
          </w:tcPr>
          <w:p>
            <w:r/>
            <w:r>
              <w:rPr>
                <w:rFonts w:ascii="맑은 고딕" w:hAnsi="맑은 고딕" w:eastAsia="맑은 고딕"/>
                <w:b w:val="0"/>
                <w:sz w:val="21"/>
              </w:rPr>
              <w:t>예산 수립 정밀도 개선</w:t>
            </w:r>
          </w:p>
        </w:tc>
      </w:tr>
      <w:tr>
        <w:tc>
          <w:tcPr>
            <w:tcW w:type="dxa" w:w="2041"/>
            <w:vAlign w:val="center"/>
          </w:tcPr>
          <w:p>
            <w:r/>
            <w:r>
              <w:rPr>
                <w:rFonts w:ascii="맑은 고딕" w:hAnsi="맑은 고딕" w:eastAsia="맑은 고딕"/>
                <w:b w:val="0"/>
                <w:sz w:val="21"/>
              </w:rPr>
              <w:t>Variance 30% 초과 프로젝트 수</w:t>
            </w:r>
          </w:p>
        </w:tc>
        <w:tc>
          <w:tcPr>
            <w:tcW w:type="dxa" w:w="3288"/>
            <w:vAlign w:val="center"/>
          </w:tcPr>
          <w:p>
            <w:r/>
            <w:r>
              <w:rPr>
                <w:rFonts w:ascii="맑은 고딕" w:hAnsi="맑은 고딕" w:eastAsia="맑은 고딕"/>
                <w:b w:val="0"/>
                <w:sz w:val="21"/>
              </w:rPr>
              <w:t>표준 대비 실제가 30% 이상 차이 난 프로젝트 건수</w:t>
            </w:r>
          </w:p>
        </w:tc>
        <w:tc>
          <w:tcPr>
            <w:tcW w:type="dxa" w:w="3628"/>
            <w:vAlign w:val="center"/>
          </w:tcPr>
          <w:p>
            <w:r/>
            <w:r>
              <w:rPr>
                <w:rFonts w:ascii="맑은 고딕" w:hAnsi="맑은 고딕" w:eastAsia="맑은 고딕"/>
                <w:b w:val="0"/>
                <w:sz w:val="21"/>
              </w:rPr>
              <w:t>위험 프로젝트 조기 식별</w:t>
            </w:r>
          </w:p>
        </w:tc>
      </w:tr>
      <w:tr>
        <w:tc>
          <w:tcPr>
            <w:tcW w:type="dxa" w:w="2041"/>
            <w:vAlign w:val="center"/>
          </w:tcPr>
          <w:p>
            <w:r/>
            <w:r>
              <w:rPr>
                <w:rFonts w:ascii="맑은 고딕" w:hAnsi="맑은 고딕" w:eastAsia="맑은 고딕"/>
                <w:b w:val="0"/>
                <w:sz w:val="21"/>
              </w:rPr>
              <w:t>내부대체 비중</w:t>
            </w:r>
          </w:p>
        </w:tc>
        <w:tc>
          <w:tcPr>
            <w:tcW w:type="dxa" w:w="3288"/>
            <w:vAlign w:val="center"/>
          </w:tcPr>
          <w:p>
            <w:r/>
            <w:r>
              <w:rPr>
                <w:rFonts w:ascii="맑은 고딕" w:hAnsi="맑은 고딕" w:eastAsia="맑은 고딕"/>
                <w:b w:val="0"/>
                <w:sz w:val="21"/>
              </w:rPr>
              <w:t>전체 실제 원가 대비 내부대체 금액 비율</w:t>
            </w:r>
          </w:p>
        </w:tc>
        <w:tc>
          <w:tcPr>
            <w:tcW w:type="dxa" w:w="3628"/>
            <w:vAlign w:val="center"/>
          </w:tcPr>
          <w:p>
            <w:r/>
            <w:r>
              <w:rPr>
                <w:rFonts w:ascii="맑은 고딕" w:hAnsi="맑은 고딕" w:eastAsia="맑은 고딕"/>
                <w:b w:val="0"/>
                <w:sz w:val="21"/>
              </w:rPr>
              <w:t>본부 간 원가 이동 투명성 확보</w:t>
            </w:r>
          </w:p>
        </w:tc>
      </w:tr>
      <w:tr>
        <w:tc>
          <w:tcPr>
            <w:tcW w:type="dxa" w:w="2041"/>
            <w:vAlign w:val="center"/>
          </w:tcPr>
          <w:p>
            <w:r/>
            <w:r>
              <w:rPr>
                <w:rFonts w:ascii="맑은 고딕" w:hAnsi="맑은 고딕" w:eastAsia="맑은 고딕"/>
                <w:b w:val="0"/>
                <w:sz w:val="21"/>
              </w:rPr>
              <w:t>카테고리별 원가 구조</w:t>
            </w:r>
          </w:p>
        </w:tc>
        <w:tc>
          <w:tcPr>
            <w:tcW w:type="dxa" w:w="3288"/>
            <w:vAlign w:val="center"/>
          </w:tcPr>
          <w:p>
            <w:r/>
            <w:r>
              <w:rPr>
                <w:rFonts w:ascii="맑은 고딕" w:hAnsi="맑은 고딕" w:eastAsia="맑은 고딕"/>
                <w:b w:val="0"/>
                <w:sz w:val="21"/>
              </w:rPr>
              <w:t>인건비/외주비/운영비/공통배부의 비중 변화</w:t>
            </w:r>
          </w:p>
        </w:tc>
        <w:tc>
          <w:tcPr>
            <w:tcW w:type="dxa" w:w="3628"/>
            <w:vAlign w:val="center"/>
          </w:tcPr>
          <w:p>
            <w:r/>
            <w:r>
              <w:rPr>
                <w:rFonts w:ascii="맑은 고딕" w:hAnsi="맑은 고딕" w:eastAsia="맑은 고딕"/>
                <w:b w:val="0"/>
                <w:sz w:val="21"/>
              </w:rPr>
              <w:t>원가 체계 재설계 근거 확보</w:t>
            </w:r>
          </w:p>
        </w:tc>
      </w:tr>
    </w:tbl>
    <w:p>
      <w:pPr>
        <w:spacing w:after="80"/>
      </w:pPr>
    </w:p>
    <w:p>
      <w:pPr>
        <w:spacing w:before="280" w:after="120"/>
      </w:pPr>
      <w:r>
        <w:rPr>
          <w:rFonts w:ascii="맑은 고딕" w:hAnsi="맑은 고딕" w:eastAsia="맑은 고딕"/>
          <w:b/>
          <w:color w:val="1F2D3D"/>
          <w:sz w:val="32"/>
        </w:rPr>
        <w:t>7. 확장 로드맵</w:t>
      </w:r>
    </w:p>
    <w:p>
      <w:pPr>
        <w:spacing w:after="120" w:line="336" w:lineRule="auto"/>
      </w:pPr>
      <w:r>
        <w:rPr>
          <w:rFonts w:ascii="맑은 고딕" w:hAnsi="맑은 고딕" w:eastAsia="맑은 고딕"/>
          <w:b w:val="0"/>
          <w:sz w:val="22"/>
        </w:rPr>
        <w:t>MVP는 반나절 기준 산출물이며 실제 관리회계 도구로 확장할 경로를 다음과 같이 설계한다. 각 Phase는 이전 Phase의 데이터 모델을 그대로 활용한다.</w:t>
      </w:r>
    </w:p>
    <w:tbl>
      <w:tblPr>
        <w:tblStyle w:val="LightGrid-Accent1"/>
        <w:tblW w:type="auto" w:w="0"/>
        <w:tblLayout w:type="fixed"/>
        <w:tblLook w:firstColumn="1" w:firstRow="1" w:lastColumn="0" w:lastRow="0" w:noHBand="0" w:noVBand="1" w:val="04A0"/>
      </w:tblPr>
      <w:tblGrid>
        <w:gridCol w:w="2351"/>
        <w:gridCol w:w="2351"/>
        <w:gridCol w:w="2351"/>
        <w:gridCol w:w="2351"/>
      </w:tblGrid>
      <w:tr>
        <w:tc>
          <w:tcPr>
            <w:tcW w:type="dxa" w:w="1701"/>
            <w:vAlign w:val="center"/>
          </w:tcPr>
          <w:p>
            <w:pPr>
              <w:jc w:val="center"/>
            </w:pPr>
            <w:r/>
            <w:r>
              <w:rPr>
                <w:rFonts w:ascii="맑은 고딕" w:hAnsi="맑은 고딕" w:eastAsia="맑은 고딕"/>
                <w:b/>
                <w:sz w:val="21"/>
              </w:rPr>
              <w:t>Phase</w:t>
            </w:r>
          </w:p>
        </w:tc>
        <w:tc>
          <w:tcPr>
            <w:tcW w:type="dxa" w:w="3685"/>
            <w:vAlign w:val="center"/>
          </w:tcPr>
          <w:p>
            <w:pPr>
              <w:jc w:val="center"/>
            </w:pPr>
            <w:r/>
            <w:r>
              <w:rPr>
                <w:rFonts w:ascii="맑은 고딕" w:hAnsi="맑은 고딕" w:eastAsia="맑은 고딕"/>
                <w:b/>
                <w:sz w:val="21"/>
              </w:rPr>
              <w:t>범위</w:t>
            </w:r>
          </w:p>
        </w:tc>
        <w:tc>
          <w:tcPr>
            <w:tcW w:type="dxa" w:w="1474"/>
            <w:vAlign w:val="center"/>
          </w:tcPr>
          <w:p>
            <w:pPr>
              <w:jc w:val="center"/>
            </w:pPr>
            <w:r/>
            <w:r>
              <w:rPr>
                <w:rFonts w:ascii="맑은 고딕" w:hAnsi="맑은 고딕" w:eastAsia="맑은 고딕"/>
                <w:b/>
                <w:sz w:val="21"/>
              </w:rPr>
              <w:t>예상 공수</w:t>
            </w:r>
          </w:p>
        </w:tc>
        <w:tc>
          <w:tcPr>
            <w:tcW w:type="dxa" w:w="2041"/>
            <w:vAlign w:val="center"/>
          </w:tcPr>
          <w:p>
            <w:pPr>
              <w:jc w:val="center"/>
            </w:pPr>
            <w:r/>
            <w:r>
              <w:rPr>
                <w:rFonts w:ascii="맑은 고딕" w:hAnsi="맑은 고딕" w:eastAsia="맑은 고딕"/>
                <w:b/>
                <w:sz w:val="21"/>
              </w:rPr>
              <w:t>선행 의존</w:t>
            </w:r>
          </w:p>
        </w:tc>
      </w:tr>
      <w:tr>
        <w:tc>
          <w:tcPr>
            <w:tcW w:type="dxa" w:w="1701"/>
            <w:vAlign w:val="center"/>
          </w:tcPr>
          <w:p>
            <w:r/>
            <w:r>
              <w:rPr>
                <w:rFonts w:ascii="맑은 고딕" w:hAnsi="맑은 고딕" w:eastAsia="맑은 고딕"/>
                <w:b w:val="0"/>
                <w:sz w:val="21"/>
              </w:rPr>
              <w:t>Phase 2 (M+1)</w:t>
            </w:r>
          </w:p>
        </w:tc>
        <w:tc>
          <w:tcPr>
            <w:tcW w:type="dxa" w:w="3685"/>
            <w:vAlign w:val="center"/>
          </w:tcPr>
          <w:p>
            <w:r/>
            <w:r>
              <w:rPr>
                <w:rFonts w:ascii="맑은 고딕" w:hAnsi="맑은 고딕" w:eastAsia="맑은 고딕"/>
                <w:b w:val="0"/>
                <w:sz w:val="21"/>
              </w:rPr>
              <w:t>원가 직접 입력 폼과 월 마감/확정 워크플로</w:t>
            </w:r>
          </w:p>
        </w:tc>
        <w:tc>
          <w:tcPr>
            <w:tcW w:type="dxa" w:w="1474"/>
            <w:vAlign w:val="center"/>
          </w:tcPr>
          <w:p>
            <w:r/>
            <w:r>
              <w:rPr>
                <w:rFonts w:ascii="맑은 고딕" w:hAnsi="맑은 고딕" w:eastAsia="맑은 고딕"/>
                <w:b w:val="0"/>
                <w:sz w:val="21"/>
              </w:rPr>
              <w:t>약 2주</w:t>
            </w:r>
          </w:p>
        </w:tc>
        <w:tc>
          <w:tcPr>
            <w:tcW w:type="dxa" w:w="2041"/>
            <w:vAlign w:val="center"/>
          </w:tcPr>
          <w:p>
            <w:r/>
            <w:r>
              <w:rPr>
                <w:rFonts w:ascii="맑은 고딕" w:hAnsi="맑은 고딕" w:eastAsia="맑은 고딕"/>
                <w:b w:val="0"/>
                <w:sz w:val="21"/>
              </w:rPr>
              <w:t>없음</w:t>
            </w:r>
          </w:p>
        </w:tc>
      </w:tr>
      <w:tr>
        <w:tc>
          <w:tcPr>
            <w:tcW w:type="dxa" w:w="1701"/>
            <w:vAlign w:val="center"/>
          </w:tcPr>
          <w:p>
            <w:r/>
            <w:r>
              <w:rPr>
                <w:rFonts w:ascii="맑은 고딕" w:hAnsi="맑은 고딕" w:eastAsia="맑은 고딕"/>
                <w:b w:val="0"/>
                <w:sz w:val="21"/>
              </w:rPr>
              <w:t>Phase 3 (M+2)</w:t>
            </w:r>
          </w:p>
        </w:tc>
        <w:tc>
          <w:tcPr>
            <w:tcW w:type="dxa" w:w="3685"/>
            <w:vAlign w:val="center"/>
          </w:tcPr>
          <w:p>
            <w:r/>
            <w:r>
              <w:rPr>
                <w:rFonts w:ascii="맑은 고딕" w:hAnsi="맑은 고딕" w:eastAsia="맑은 고딕"/>
                <w:b w:val="0"/>
                <w:sz w:val="21"/>
              </w:rPr>
              <w:t>표준원가 배분 규칙 엔진 (ABC 기반)</w:t>
            </w:r>
          </w:p>
        </w:tc>
        <w:tc>
          <w:tcPr>
            <w:tcW w:type="dxa" w:w="1474"/>
            <w:vAlign w:val="center"/>
          </w:tcPr>
          <w:p>
            <w:r/>
            <w:r>
              <w:rPr>
                <w:rFonts w:ascii="맑은 고딕" w:hAnsi="맑은 고딕" w:eastAsia="맑은 고딕"/>
                <w:b w:val="0"/>
                <w:sz w:val="21"/>
              </w:rPr>
              <w:t>약 2주</w:t>
            </w:r>
          </w:p>
        </w:tc>
        <w:tc>
          <w:tcPr>
            <w:tcW w:type="dxa" w:w="2041"/>
            <w:vAlign w:val="center"/>
          </w:tcPr>
          <w:p>
            <w:r/>
            <w:r>
              <w:rPr>
                <w:rFonts w:ascii="맑은 고딕" w:hAnsi="맑은 고딕" w:eastAsia="맑은 고딕"/>
                <w:b w:val="0"/>
                <w:sz w:val="21"/>
              </w:rPr>
              <w:t>Phase 2</w:t>
            </w:r>
          </w:p>
        </w:tc>
      </w:tr>
      <w:tr>
        <w:tc>
          <w:tcPr>
            <w:tcW w:type="dxa" w:w="1701"/>
            <w:vAlign w:val="center"/>
          </w:tcPr>
          <w:p>
            <w:r/>
            <w:r>
              <w:rPr>
                <w:rFonts w:ascii="맑은 고딕" w:hAnsi="맑은 고딕" w:eastAsia="맑은 고딕"/>
                <w:b w:val="0"/>
                <w:sz w:val="21"/>
              </w:rPr>
              <w:t>Phase 4 (M+3)</w:t>
            </w:r>
          </w:p>
        </w:tc>
        <w:tc>
          <w:tcPr>
            <w:tcW w:type="dxa" w:w="3685"/>
            <w:vAlign w:val="center"/>
          </w:tcPr>
          <w:p>
            <w:r/>
            <w:r>
              <w:rPr>
                <w:rFonts w:ascii="맑은 고딕" w:hAnsi="맑은 고딕" w:eastAsia="맑은 고딕"/>
                <w:b w:val="0"/>
                <w:sz w:val="21"/>
              </w:rPr>
              <w:t>본부 단위 권한 (Row Level Security)</w:t>
            </w:r>
          </w:p>
        </w:tc>
        <w:tc>
          <w:tcPr>
            <w:tcW w:type="dxa" w:w="1474"/>
            <w:vAlign w:val="center"/>
          </w:tcPr>
          <w:p>
            <w:r/>
            <w:r>
              <w:rPr>
                <w:rFonts w:ascii="맑은 고딕" w:hAnsi="맑은 고딕" w:eastAsia="맑은 고딕"/>
                <w:b w:val="0"/>
                <w:sz w:val="21"/>
              </w:rPr>
              <w:t>약 1주</w:t>
            </w:r>
          </w:p>
        </w:tc>
        <w:tc>
          <w:tcPr>
            <w:tcW w:type="dxa" w:w="2041"/>
            <w:vAlign w:val="center"/>
          </w:tcPr>
          <w:p>
            <w:r/>
            <w:r>
              <w:rPr>
                <w:rFonts w:ascii="맑은 고딕" w:hAnsi="맑은 고딕" w:eastAsia="맑은 고딕"/>
                <w:b w:val="0"/>
                <w:sz w:val="21"/>
              </w:rPr>
              <w:t>Phase 2</w:t>
            </w:r>
          </w:p>
        </w:tc>
      </w:tr>
      <w:tr>
        <w:tc>
          <w:tcPr>
            <w:tcW w:type="dxa" w:w="1701"/>
            <w:vAlign w:val="center"/>
          </w:tcPr>
          <w:p>
            <w:r/>
            <w:r>
              <w:rPr>
                <w:rFonts w:ascii="맑은 고딕" w:hAnsi="맑은 고딕" w:eastAsia="맑은 고딕"/>
                <w:b w:val="0"/>
                <w:sz w:val="21"/>
              </w:rPr>
              <w:t>Phase 5 (M+4)</w:t>
            </w:r>
          </w:p>
        </w:tc>
        <w:tc>
          <w:tcPr>
            <w:tcW w:type="dxa" w:w="3685"/>
            <w:vAlign w:val="center"/>
          </w:tcPr>
          <w:p>
            <w:r/>
            <w:r>
              <w:rPr>
                <w:rFonts w:ascii="맑은 고딕" w:hAnsi="맑은 고딕" w:eastAsia="맑은 고딕"/>
                <w:b w:val="0"/>
                <w:sz w:val="21"/>
              </w:rPr>
              <w:t>Excel 정식 템플릿 내보내기 (xlsx, 셀 서식 포함)</w:t>
            </w:r>
          </w:p>
        </w:tc>
        <w:tc>
          <w:tcPr>
            <w:tcW w:type="dxa" w:w="1474"/>
            <w:vAlign w:val="center"/>
          </w:tcPr>
          <w:p>
            <w:r/>
            <w:r>
              <w:rPr>
                <w:rFonts w:ascii="맑은 고딕" w:hAnsi="맑은 고딕" w:eastAsia="맑은 고딕"/>
                <w:b w:val="0"/>
                <w:sz w:val="21"/>
              </w:rPr>
              <w:t>약 3일</w:t>
            </w:r>
          </w:p>
        </w:tc>
        <w:tc>
          <w:tcPr>
            <w:tcW w:type="dxa" w:w="2041"/>
            <w:vAlign w:val="center"/>
          </w:tcPr>
          <w:p>
            <w:r/>
            <w:r>
              <w:rPr>
                <w:rFonts w:ascii="맑은 고딕" w:hAnsi="맑은 고딕" w:eastAsia="맑은 고딕"/>
                <w:b w:val="0"/>
                <w:sz w:val="21"/>
              </w:rPr>
              <w:t>Phase 2</w:t>
            </w:r>
          </w:p>
        </w:tc>
      </w:tr>
      <w:tr>
        <w:tc>
          <w:tcPr>
            <w:tcW w:type="dxa" w:w="1701"/>
            <w:vAlign w:val="center"/>
          </w:tcPr>
          <w:p>
            <w:r/>
            <w:r>
              <w:rPr>
                <w:rFonts w:ascii="맑은 고딕" w:hAnsi="맑은 고딕" w:eastAsia="맑은 고딕"/>
                <w:b w:val="0"/>
                <w:sz w:val="21"/>
              </w:rPr>
              <w:t>Phase 6 (M+5)</w:t>
            </w:r>
          </w:p>
        </w:tc>
        <w:tc>
          <w:tcPr>
            <w:tcW w:type="dxa" w:w="3685"/>
            <w:vAlign w:val="center"/>
          </w:tcPr>
          <w:p>
            <w:r/>
            <w:r>
              <w:rPr>
                <w:rFonts w:ascii="맑은 고딕" w:hAnsi="맑은 고딕" w:eastAsia="맑은 고딕"/>
                <w:b w:val="0"/>
                <w:sz w:val="21"/>
              </w:rPr>
              <w:t>외부 ERP 연동 (정산 잔액 동기화)</w:t>
            </w:r>
          </w:p>
        </w:tc>
        <w:tc>
          <w:tcPr>
            <w:tcW w:type="dxa" w:w="1474"/>
            <w:vAlign w:val="center"/>
          </w:tcPr>
          <w:p>
            <w:r/>
            <w:r>
              <w:rPr>
                <w:rFonts w:ascii="맑은 고딕" w:hAnsi="맑은 고딕" w:eastAsia="맑은 고딕"/>
                <w:b w:val="0"/>
                <w:sz w:val="21"/>
              </w:rPr>
              <w:t>약 2주</w:t>
            </w:r>
          </w:p>
        </w:tc>
        <w:tc>
          <w:tcPr>
            <w:tcW w:type="dxa" w:w="2041"/>
            <w:vAlign w:val="center"/>
          </w:tcPr>
          <w:p>
            <w:r/>
            <w:r>
              <w:rPr>
                <w:rFonts w:ascii="맑은 고딕" w:hAnsi="맑은 고딕" w:eastAsia="맑은 고딕"/>
                <w:b w:val="0"/>
                <w:sz w:val="21"/>
              </w:rPr>
              <w:t>Phase 3</w:t>
            </w:r>
          </w:p>
        </w:tc>
      </w:tr>
    </w:tbl>
    <w:p>
      <w:pPr>
        <w:spacing w:after="80"/>
      </w:pPr>
    </w:p>
    <w:p>
      <w:pPr>
        <w:spacing w:before="280" w:after="120"/>
      </w:pPr>
      <w:r>
        <w:rPr>
          <w:rFonts w:ascii="맑은 고딕" w:hAnsi="맑은 고딕" w:eastAsia="맑은 고딕"/>
          <w:b/>
          <w:color w:val="1F2D3D"/>
          <w:sz w:val="32"/>
        </w:rPr>
        <w:t>8. 부록</w:t>
      </w:r>
    </w:p>
    <w:p>
      <w:pPr>
        <w:spacing w:before="160" w:after="120"/>
      </w:pPr>
      <w:r>
        <w:rPr>
          <w:rFonts w:ascii="맑은 고딕" w:hAnsi="맑은 고딕" w:eastAsia="맑은 고딕"/>
          <w:b/>
          <w:color w:val="1F2D3D"/>
          <w:sz w:val="26"/>
        </w:rPr>
        <w:t>8.1 용어집</w:t>
      </w:r>
    </w:p>
    <w:tbl>
      <w:tblPr>
        <w:tblStyle w:val="LightGrid-Accent1"/>
        <w:tblW w:type="auto" w:w="0"/>
        <w:tblLayout w:type="fixed"/>
        <w:tblLook w:firstColumn="1" w:firstRow="1" w:lastColumn="0" w:lastRow="0" w:noHBand="0" w:noVBand="1" w:val="04A0"/>
      </w:tblPr>
      <w:tblGrid>
        <w:gridCol w:w="4703"/>
        <w:gridCol w:w="4703"/>
      </w:tblGrid>
      <w:tr>
        <w:tc>
          <w:tcPr>
            <w:tcW w:type="dxa" w:w="1814"/>
            <w:vAlign w:val="center"/>
          </w:tcPr>
          <w:p>
            <w:pPr>
              <w:jc w:val="center"/>
            </w:pPr>
            <w:r/>
            <w:r>
              <w:rPr>
                <w:rFonts w:ascii="맑은 고딕" w:hAnsi="맑은 고딕" w:eastAsia="맑은 고딕"/>
                <w:b/>
                <w:sz w:val="21"/>
              </w:rPr>
              <w:t>용어</w:t>
            </w:r>
          </w:p>
        </w:tc>
        <w:tc>
          <w:tcPr>
            <w:tcW w:type="dxa" w:w="7143"/>
            <w:vAlign w:val="center"/>
          </w:tcPr>
          <w:p>
            <w:pPr>
              <w:jc w:val="center"/>
            </w:pPr>
            <w:r/>
            <w:r>
              <w:rPr>
                <w:rFonts w:ascii="맑은 고딕" w:hAnsi="맑은 고딕" w:eastAsia="맑은 고딕"/>
                <w:b/>
                <w:sz w:val="21"/>
              </w:rPr>
              <w:t>설명</w:t>
            </w:r>
          </w:p>
        </w:tc>
      </w:tr>
      <w:tr>
        <w:tc>
          <w:tcPr>
            <w:tcW w:type="dxa" w:w="1814"/>
            <w:vAlign w:val="center"/>
          </w:tcPr>
          <w:p>
            <w:r/>
            <w:r>
              <w:rPr>
                <w:rFonts w:ascii="맑은 고딕" w:hAnsi="맑은 고딕" w:eastAsia="맑은 고딕"/>
                <w:b w:val="0"/>
                <w:sz w:val="21"/>
              </w:rPr>
              <w:t>표준원가</w:t>
            </w:r>
          </w:p>
        </w:tc>
        <w:tc>
          <w:tcPr>
            <w:tcW w:type="dxa" w:w="7143"/>
            <w:vAlign w:val="center"/>
          </w:tcPr>
          <w:p>
            <w:r/>
            <w:r>
              <w:rPr>
                <w:rFonts w:ascii="맑은 고딕" w:hAnsi="맑은 고딕" w:eastAsia="맑은 고딕"/>
                <w:b w:val="0"/>
                <w:sz w:val="21"/>
              </w:rPr>
              <w:t>사전에 수립한 계획 단가와 수량을 기준으로 산출한 원가.</w:t>
            </w:r>
          </w:p>
        </w:tc>
      </w:tr>
      <w:tr>
        <w:tc>
          <w:tcPr>
            <w:tcW w:type="dxa" w:w="1814"/>
            <w:vAlign w:val="center"/>
          </w:tcPr>
          <w:p>
            <w:r/>
            <w:r>
              <w:rPr>
                <w:rFonts w:ascii="맑은 고딕" w:hAnsi="맑은 고딕" w:eastAsia="맑은 고딕"/>
                <w:b w:val="0"/>
                <w:sz w:val="21"/>
              </w:rPr>
              <w:t>실제원가</w:t>
            </w:r>
          </w:p>
        </w:tc>
        <w:tc>
          <w:tcPr>
            <w:tcW w:type="dxa" w:w="7143"/>
            <w:vAlign w:val="center"/>
          </w:tcPr>
          <w:p>
            <w:r/>
            <w:r>
              <w:rPr>
                <w:rFonts w:ascii="맑은 고딕" w:hAnsi="맑은 고딕" w:eastAsia="맑은 고딕"/>
                <w:b w:val="0"/>
                <w:sz w:val="21"/>
              </w:rPr>
              <w:t>실제로 집행된 비용. 표준원가와의 차이를 Variance로 부른다.</w:t>
            </w:r>
          </w:p>
        </w:tc>
      </w:tr>
      <w:tr>
        <w:tc>
          <w:tcPr>
            <w:tcW w:type="dxa" w:w="1814"/>
            <w:vAlign w:val="center"/>
          </w:tcPr>
          <w:p>
            <w:r/>
            <w:r>
              <w:rPr>
                <w:rFonts w:ascii="맑은 고딕" w:hAnsi="맑은 고딕" w:eastAsia="맑은 고딕"/>
                <w:b w:val="0"/>
                <w:sz w:val="21"/>
              </w:rPr>
              <w:t>Variance</w:t>
            </w:r>
          </w:p>
        </w:tc>
        <w:tc>
          <w:tcPr>
            <w:tcW w:type="dxa" w:w="7143"/>
            <w:vAlign w:val="center"/>
          </w:tcPr>
          <w:p>
            <w:r/>
            <w:r>
              <w:rPr>
                <w:rFonts w:ascii="맑은 고딕" w:hAnsi="맑은 고딕" w:eastAsia="맑은 고딕"/>
                <w:b w:val="0"/>
                <w:sz w:val="21"/>
              </w:rPr>
              <w:t>실제와 표준의 차이. (실제 - 표준) 금액과 표준 대비 비율 두 축으로 본다.</w:t>
            </w:r>
          </w:p>
        </w:tc>
      </w:tr>
      <w:tr>
        <w:tc>
          <w:tcPr>
            <w:tcW w:type="dxa" w:w="1814"/>
            <w:vAlign w:val="center"/>
          </w:tcPr>
          <w:p>
            <w:r/>
            <w:r>
              <w:rPr>
                <w:rFonts w:ascii="맑은 고딕" w:hAnsi="맑은 고딕" w:eastAsia="맑은 고딕"/>
                <w:b w:val="0"/>
                <w:sz w:val="21"/>
              </w:rPr>
              <w:t>내부대체</w:t>
            </w:r>
          </w:p>
        </w:tc>
        <w:tc>
          <w:tcPr>
            <w:tcW w:type="dxa" w:w="7143"/>
            <w:vAlign w:val="center"/>
          </w:tcPr>
          <w:p>
            <w:r/>
            <w:r>
              <w:rPr>
                <w:rFonts w:ascii="맑은 고딕" w:hAnsi="맑은 고딕" w:eastAsia="맑은 고딕"/>
                <w:b w:val="0"/>
                <w:sz w:val="21"/>
              </w:rPr>
              <w:t>한 본부가 부담한 비용을 다른 본부 원천에서 이전받는 회계 처리. sourceDivisionId로 출처 본부를 기록한다.</w:t>
            </w:r>
          </w:p>
        </w:tc>
      </w:tr>
      <w:tr>
        <w:tc>
          <w:tcPr>
            <w:tcW w:type="dxa" w:w="1814"/>
            <w:vAlign w:val="center"/>
          </w:tcPr>
          <w:p>
            <w:r/>
            <w:r>
              <w:rPr>
                <w:rFonts w:ascii="맑은 고딕" w:hAnsi="맑은 고딕" w:eastAsia="맑은 고딕"/>
                <w:b w:val="0"/>
                <w:sz w:val="21"/>
              </w:rPr>
              <w:t>ABC</w:t>
            </w:r>
          </w:p>
        </w:tc>
        <w:tc>
          <w:tcPr>
            <w:tcW w:type="dxa" w:w="7143"/>
            <w:vAlign w:val="center"/>
          </w:tcPr>
          <w:p>
            <w:r/>
            <w:r>
              <w:rPr>
                <w:rFonts w:ascii="맑은 고딕" w:hAnsi="맑은 고딕" w:eastAsia="맑은 고딕"/>
                <w:b w:val="0"/>
                <w:sz w:val="21"/>
              </w:rPr>
              <w:t>Activity-Based Costing. 활동 단위의 원가 동인을 기준으로 간접비를 배부하는 방식.</w:t>
            </w:r>
          </w:p>
        </w:tc>
      </w:tr>
      <w:tr>
        <w:tc>
          <w:tcPr>
            <w:tcW w:type="dxa" w:w="1814"/>
            <w:vAlign w:val="center"/>
          </w:tcPr>
          <w:p>
            <w:r/>
            <w:r>
              <w:rPr>
                <w:rFonts w:ascii="맑은 고딕" w:hAnsi="맑은 고딕" w:eastAsia="맑은 고딕"/>
                <w:b w:val="0"/>
                <w:sz w:val="21"/>
              </w:rPr>
              <w:t>RLS</w:t>
            </w:r>
          </w:p>
        </w:tc>
        <w:tc>
          <w:tcPr>
            <w:tcW w:type="dxa" w:w="7143"/>
            <w:vAlign w:val="center"/>
          </w:tcPr>
          <w:p>
            <w:r/>
            <w:r>
              <w:rPr>
                <w:rFonts w:ascii="맑은 고딕" w:hAnsi="맑은 고딕" w:eastAsia="맑은 고딕"/>
                <w:b w:val="0"/>
                <w:sz w:val="21"/>
              </w:rPr>
              <w:t>Row Level Security. 행 단위 접근 제어. 본부별로 데이터 가시성을 분리한다.</w:t>
            </w:r>
          </w:p>
        </w:tc>
      </w:tr>
    </w:tbl>
    <w:p>
      <w:pPr>
        <w:spacing w:after="80"/>
      </w:pPr>
    </w:p>
    <w:p>
      <w:pPr>
        <w:spacing w:before="160" w:after="120"/>
      </w:pPr>
      <w:r>
        <w:rPr>
          <w:rFonts w:ascii="맑은 고딕" w:hAnsi="맑은 고딕" w:eastAsia="맑은 고딕"/>
          <w:b/>
          <w:color w:val="1F2D3D"/>
          <w:sz w:val="26"/>
        </w:rPr>
        <w:t>8.2 자매 프로젝트 Interface Hub와의 비교</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814"/>
            <w:vAlign w:val="center"/>
          </w:tcPr>
          <w:p>
            <w:pPr>
              <w:jc w:val="center"/>
            </w:pPr>
            <w:r/>
            <w:r>
              <w:rPr>
                <w:rFonts w:ascii="맑은 고딕" w:hAnsi="맑은 고딕" w:eastAsia="맑은 고딕"/>
                <w:b/>
                <w:sz w:val="21"/>
              </w:rPr>
              <w:t>항목</w:t>
            </w:r>
          </w:p>
        </w:tc>
        <w:tc>
          <w:tcPr>
            <w:tcW w:type="dxa" w:w="3515"/>
            <w:vAlign w:val="center"/>
          </w:tcPr>
          <w:p>
            <w:pPr>
              <w:jc w:val="center"/>
            </w:pPr>
            <w:r/>
            <w:r>
              <w:rPr>
                <w:rFonts w:ascii="맑은 고딕" w:hAnsi="맑은 고딕" w:eastAsia="맑은 고딕"/>
                <w:b/>
                <w:sz w:val="21"/>
              </w:rPr>
              <w:t>Interface Hub</w:t>
            </w:r>
          </w:p>
        </w:tc>
        <w:tc>
          <w:tcPr>
            <w:tcW w:type="dxa" w:w="3628"/>
            <w:vAlign w:val="center"/>
          </w:tcPr>
          <w:p>
            <w:pPr>
              <w:jc w:val="center"/>
            </w:pPr>
            <w:r/>
            <w:r>
              <w:rPr>
                <w:rFonts w:ascii="맑은 고딕" w:hAnsi="맑은 고딕" w:eastAsia="맑은 고딕"/>
                <w:b/>
                <w:sz w:val="21"/>
              </w:rPr>
              <w:t>Cost Compass</w:t>
            </w:r>
          </w:p>
        </w:tc>
      </w:tr>
      <w:tr>
        <w:tc>
          <w:tcPr>
            <w:tcW w:type="dxa" w:w="1814"/>
            <w:vAlign w:val="center"/>
          </w:tcPr>
          <w:p>
            <w:r/>
            <w:r>
              <w:rPr>
                <w:rFonts w:ascii="맑은 고딕" w:hAnsi="맑은 고딕" w:eastAsia="맑은 고딕"/>
                <w:b w:val="0"/>
                <w:sz w:val="21"/>
              </w:rPr>
              <w:t>성격</w:t>
            </w:r>
          </w:p>
        </w:tc>
        <w:tc>
          <w:tcPr>
            <w:tcW w:type="dxa" w:w="3515"/>
            <w:vAlign w:val="center"/>
          </w:tcPr>
          <w:p>
            <w:r/>
            <w:r>
              <w:rPr>
                <w:rFonts w:ascii="맑은 고딕" w:hAnsi="맑은 고딕" w:eastAsia="맑은 고딕"/>
                <w:b w:val="0"/>
                <w:sz w:val="21"/>
              </w:rPr>
              <w:t>운영자 도구 (CRUD + 실행)</w:t>
            </w:r>
          </w:p>
        </w:tc>
        <w:tc>
          <w:tcPr>
            <w:tcW w:type="dxa" w:w="3628"/>
            <w:vAlign w:val="center"/>
          </w:tcPr>
          <w:p>
            <w:r/>
            <w:r>
              <w:rPr>
                <w:rFonts w:ascii="맑은 고딕" w:hAnsi="맑은 고딕" w:eastAsia="맑은 고딕"/>
                <w:b w:val="0"/>
                <w:sz w:val="21"/>
              </w:rPr>
              <w:t>분석 도구 (조회 + 드릴다운)</w:t>
            </w:r>
          </w:p>
        </w:tc>
      </w:tr>
      <w:tr>
        <w:tc>
          <w:tcPr>
            <w:tcW w:type="dxa" w:w="1814"/>
            <w:vAlign w:val="center"/>
          </w:tcPr>
          <w:p>
            <w:r/>
            <w:r>
              <w:rPr>
                <w:rFonts w:ascii="맑은 고딕" w:hAnsi="맑은 고딕" w:eastAsia="맑은 고딕"/>
                <w:b w:val="0"/>
                <w:sz w:val="21"/>
              </w:rPr>
              <w:t>주제</w:t>
            </w:r>
          </w:p>
        </w:tc>
        <w:tc>
          <w:tcPr>
            <w:tcW w:type="dxa" w:w="3515"/>
            <w:vAlign w:val="center"/>
          </w:tcPr>
          <w:p>
            <w:r/>
            <w:r>
              <w:rPr>
                <w:rFonts w:ascii="맑은 고딕" w:hAnsi="맑은 고딕" w:eastAsia="맑은 고딕"/>
                <w:b w:val="0"/>
                <w:sz w:val="21"/>
              </w:rPr>
              <w:t>인터페이스 통합 관리</w:t>
            </w:r>
          </w:p>
        </w:tc>
        <w:tc>
          <w:tcPr>
            <w:tcW w:type="dxa" w:w="3628"/>
            <w:vAlign w:val="center"/>
          </w:tcPr>
          <w:p>
            <w:r/>
            <w:r>
              <w:rPr>
                <w:rFonts w:ascii="맑은 고딕" w:hAnsi="맑은 고딕" w:eastAsia="맑은 고딕"/>
                <w:b w:val="0"/>
                <w:sz w:val="21"/>
              </w:rPr>
              <w:t>원가/관리회계</w:t>
            </w:r>
          </w:p>
        </w:tc>
      </w:tr>
      <w:tr>
        <w:tc>
          <w:tcPr>
            <w:tcW w:type="dxa" w:w="1814"/>
            <w:vAlign w:val="center"/>
          </w:tcPr>
          <w:p>
            <w:r/>
            <w:r>
              <w:rPr>
                <w:rFonts w:ascii="맑은 고딕" w:hAnsi="맑은 고딕" w:eastAsia="맑은 고딕"/>
                <w:b w:val="0"/>
                <w:sz w:val="21"/>
              </w:rPr>
              <w:t>핵심 패턴</w:t>
            </w:r>
          </w:p>
        </w:tc>
        <w:tc>
          <w:tcPr>
            <w:tcW w:type="dxa" w:w="3515"/>
            <w:vAlign w:val="center"/>
          </w:tcPr>
          <w:p>
            <w:r/>
            <w:r>
              <w:rPr>
                <w:rFonts w:ascii="맑은 고딕" w:hAnsi="맑은 고딕" w:eastAsia="맑은 고딕"/>
                <w:b w:val="0"/>
                <w:sz w:val="21"/>
              </w:rPr>
              <w:t>Adapter 패턴, SWR 조건부 폴링</w:t>
            </w:r>
          </w:p>
        </w:tc>
        <w:tc>
          <w:tcPr>
            <w:tcW w:type="dxa" w:w="3628"/>
            <w:vAlign w:val="center"/>
          </w:tcPr>
          <w:p>
            <w:r/>
            <w:r>
              <w:rPr>
                <w:rFonts w:ascii="맑은 고딕" w:hAnsi="맑은 고딕" w:eastAsia="맑은 고딕"/>
                <w:b w:val="0"/>
                <w:sz w:val="21"/>
              </w:rPr>
              <w:t>JS 집계, Server Component 위주</w:t>
            </w:r>
          </w:p>
        </w:tc>
      </w:tr>
      <w:tr>
        <w:tc>
          <w:tcPr>
            <w:tcW w:type="dxa" w:w="1814"/>
            <w:vAlign w:val="center"/>
          </w:tcPr>
          <w:p>
            <w:r/>
            <w:r>
              <w:rPr>
                <w:rFonts w:ascii="맑은 고딕" w:hAnsi="맑은 고딕" w:eastAsia="맑은 고딕"/>
                <w:b w:val="0"/>
                <w:sz w:val="21"/>
              </w:rPr>
              <w:t>차트</w:t>
            </w:r>
          </w:p>
        </w:tc>
        <w:tc>
          <w:tcPr>
            <w:tcW w:type="dxa" w:w="3515"/>
            <w:vAlign w:val="center"/>
          </w:tcPr>
          <w:p>
            <w:r/>
            <w:r>
              <w:rPr>
                <w:rFonts w:ascii="맑은 고딕" w:hAnsi="맑은 고딕" w:eastAsia="맑은 고딕"/>
                <w:b w:val="0"/>
                <w:sz w:val="21"/>
              </w:rPr>
              <w:t>1종 (BarChart)</w:t>
            </w:r>
          </w:p>
        </w:tc>
        <w:tc>
          <w:tcPr>
            <w:tcW w:type="dxa" w:w="3628"/>
            <w:vAlign w:val="center"/>
          </w:tcPr>
          <w:p>
            <w:r/>
            <w:r>
              <w:rPr>
                <w:rFonts w:ascii="맑은 고딕" w:hAnsi="맑은 고딕" w:eastAsia="맑은 고딕"/>
                <w:b w:val="0"/>
                <w:sz w:val="21"/>
              </w:rPr>
              <w:t>5종 (Line, Pie, Stacked, Horizontal Bar, Table)</w:t>
            </w:r>
          </w:p>
        </w:tc>
      </w:tr>
      <w:tr>
        <w:tc>
          <w:tcPr>
            <w:tcW w:type="dxa" w:w="1814"/>
            <w:vAlign w:val="center"/>
          </w:tcPr>
          <w:p>
            <w:r/>
            <w:r>
              <w:rPr>
                <w:rFonts w:ascii="맑은 고딕" w:hAnsi="맑은 고딕" w:eastAsia="맑은 고딕"/>
                <w:b w:val="0"/>
                <w:sz w:val="21"/>
              </w:rPr>
              <w:t>개발 기간</w:t>
            </w:r>
          </w:p>
        </w:tc>
        <w:tc>
          <w:tcPr>
            <w:tcW w:type="dxa" w:w="3515"/>
            <w:vAlign w:val="center"/>
          </w:tcPr>
          <w:p>
            <w:r/>
            <w:r>
              <w:rPr>
                <w:rFonts w:ascii="맑은 고딕" w:hAnsi="맑은 고딕" w:eastAsia="맑은 고딕"/>
                <w:b w:val="0"/>
                <w:sz w:val="21"/>
              </w:rPr>
              <w:t>1일</w:t>
            </w:r>
          </w:p>
        </w:tc>
        <w:tc>
          <w:tcPr>
            <w:tcW w:type="dxa" w:w="3628"/>
            <w:vAlign w:val="center"/>
          </w:tcPr>
          <w:p>
            <w:r/>
            <w:r>
              <w:rPr>
                <w:rFonts w:ascii="맑은 고딕" w:hAnsi="맑은 고딕" w:eastAsia="맑은 고딕"/>
                <w:b w:val="0"/>
                <w:sz w:val="21"/>
              </w:rPr>
              <w:t>반나절</w:t>
            </w:r>
          </w:p>
        </w:tc>
      </w:tr>
    </w:tbl>
    <w:p>
      <w:pPr>
        <w:spacing w:after="80"/>
      </w:pPr>
    </w:p>
    <w:p>
      <w:pPr>
        <w:spacing w:before="160" w:after="120"/>
      </w:pPr>
      <w:r>
        <w:rPr>
          <w:rFonts w:ascii="맑은 고딕" w:hAnsi="맑은 고딕" w:eastAsia="맑은 고딕"/>
          <w:b/>
          <w:color w:val="1F2D3D"/>
          <w:sz w:val="26"/>
        </w:rPr>
        <w:t>8.3 참고 자료</w:t>
      </w:r>
    </w:p>
    <w:p>
      <w:pPr>
        <w:pStyle w:val="ListBullet"/>
        <w:spacing w:after="40" w:line="324" w:lineRule="auto"/>
      </w:pPr>
      <w:r>
        <w:rPr>
          <w:rFonts w:ascii="맑은 고딕" w:hAnsi="맑은 고딕" w:eastAsia="맑은 고딕"/>
          <w:b w:val="0"/>
          <w:sz w:val="22"/>
        </w:rPr>
        <w:t>노아에이티에스 2025년 상반기 연구소 인력 채용 공고 (주제 2 관리회계 대시보드)</w:t>
      </w:r>
    </w:p>
    <w:p>
      <w:pPr>
        <w:pStyle w:val="ListBullet"/>
        <w:spacing w:after="40" w:line="324" w:lineRule="auto"/>
      </w:pPr>
      <w:r>
        <w:rPr>
          <w:rFonts w:ascii="맑은 고딕" w:hAnsi="맑은 고딕" w:eastAsia="맑은 고딕"/>
          <w:b w:val="0"/>
          <w:sz w:val="22"/>
        </w:rPr>
        <w:t>자매 프로젝트 Interface Hub 저장소: https://github.com/dbwls99706/interface-hub</w:t>
      </w:r>
    </w:p>
    <w:p>
      <w:pPr>
        <w:pStyle w:val="ListBullet"/>
        <w:spacing w:after="40" w:line="324" w:lineRule="auto"/>
      </w:pPr>
      <w:r>
        <w:rPr>
          <w:rFonts w:ascii="맑은 고딕" w:hAnsi="맑은 고딕" w:eastAsia="맑은 고딕"/>
          <w:b w:val="0"/>
          <w:sz w:val="22"/>
        </w:rPr>
        <w:t>Prisma 공식 문서: libSQL Driver Adapter</w:t>
      </w:r>
    </w:p>
    <w:p>
      <w:pPr>
        <w:pStyle w:val="ListBullet"/>
        <w:spacing w:after="40" w:line="324" w:lineRule="auto"/>
      </w:pPr>
      <w:r>
        <w:rPr>
          <w:rFonts w:ascii="맑은 고딕" w:hAnsi="맑은 고딕" w:eastAsia="맑은 고딕"/>
          <w:b w:val="0"/>
          <w:sz w:val="22"/>
        </w:rPr>
        <w:t>Turso 공식 문서: Edge SQLite 서비스</w:t>
      </w:r>
    </w:p>
    <w:p>
      <w:pPr>
        <w:pStyle w:val="ListBullet"/>
        <w:spacing w:after="40" w:line="324" w:lineRule="auto"/>
      </w:pPr>
      <w:r>
        <w:rPr>
          <w:rFonts w:ascii="맑은 고딕" w:hAnsi="맑은 고딕" w:eastAsia="맑은 고딕"/>
          <w:b w:val="0"/>
          <w:sz w:val="22"/>
        </w:rPr>
        <w:t>Next.js 16 공식 문서: App Router, Server Actions</w:t>
      </w:r>
    </w:p>
    <w:p>
      <w:pPr>
        <w:pStyle w:val="ListBullet"/>
        <w:spacing w:after="40" w:line="324" w:lineRule="auto"/>
      </w:pPr>
      <w:r>
        <w:rPr>
          <w:rFonts w:ascii="맑은 고딕" w:hAnsi="맑은 고딕" w:eastAsia="맑은 고딕"/>
          <w:b w:val="0"/>
          <w:sz w:val="22"/>
        </w:rPr>
        <w:t>Recharts 공식 문서: ResponsiveContainer, LineChart, PieChart, BarChart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