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4" w:space="8" w:color="1F4E79"/>
        </w:pBdr>
        <w:rPr/>
      </w:pPr>
      <w:r>
        <w:rPr>
          <w:b/>
          <w:color w:val="1F4E79"/>
          <w:sz w:val="22"/>
        </w:rPr>
        <w:t>PROPOSAL</w:t>
      </w:r>
    </w:p>
    <w:p>
      <w:pPr>
        <w:pStyle w:val="Normal"/>
        <w:rPr/>
      </w:pPr>
      <w:r>
        <w:rPr>
          <w:b/>
          <w:sz w:val="56"/>
        </w:rPr>
        <w:t>Regional Fulfillment Partnership Proposal</w:t>
      </w:r>
    </w:p>
    <w:p>
      <w:pPr>
        <w:pStyle w:val="Normal"/>
        <w:rPr/>
      </w:pPr>
      <w:r>
        <w:rPr>
          <w:color w:val="555F6B"/>
          <w:sz w:val="26"/>
        </w:rPr>
        <w:t>Harbor &amp; Pine Supply Co. (fictional sample company)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555F6B"/>
        </w:rPr>
        <w:t>Prepared for: Client leadership team</w:t>
      </w:r>
    </w:p>
    <w:p>
      <w:pPr>
        <w:pStyle w:val="Normal"/>
        <w:rPr/>
      </w:pPr>
      <w:r>
        <w:rPr>
          <w:color w:val="555F6B"/>
        </w:rPr>
        <w:t>Version 1.0</w:t>
      </w:r>
      <w:r>
        <w:br w:type="page"/>
      </w:r>
    </w:p>
    <w:p>
      <w:pPr>
        <w:pStyle w:val="Normal"/>
        <w:spacing w:before="0" w:after="160"/>
        <w:rPr/>
      </w:pPr>
      <w:r>
        <w:rPr>
          <w:b/>
          <w:color w:val="1F4E79"/>
          <w:sz w:val="32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632"/>
              <w:tab w:val="right" w:pos="963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49_3555332224">
            <w:r>
              <w:rPr>
                <w:webHidden/>
                <w:rStyle w:val="IndexLink"/>
              </w:rPr>
              <w:t>1. Executive Summary</w:t>
              <w:tab/>
              <w:t>3</w:t>
            </w:r>
          </w:hyperlink>
        </w:p>
        <w:p>
          <w:pPr>
            <w:pStyle w:val="TOC1"/>
            <w:tabs>
              <w:tab w:val="clear" w:pos="9632"/>
              <w:tab w:val="right" w:pos="9631" w:leader="dot"/>
            </w:tabs>
            <w:rPr/>
          </w:pPr>
          <w:hyperlink w:anchor="__RefHeading___Toc251_3555332224">
            <w:r>
              <w:rPr>
                <w:webHidden/>
                <w:rStyle w:val="IndexLink"/>
              </w:rPr>
              <w:t>2. Background and Objectives</w:t>
              <w:tab/>
              <w:t>3</w:t>
            </w:r>
          </w:hyperlink>
        </w:p>
        <w:p>
          <w:pPr>
            <w:pStyle w:val="TOC1"/>
            <w:tabs>
              <w:tab w:val="clear" w:pos="9632"/>
              <w:tab w:val="right" w:pos="9631" w:leader="dot"/>
            </w:tabs>
            <w:rPr/>
          </w:pPr>
          <w:hyperlink w:anchor="__RefHeading___Toc253_3555332224">
            <w:r>
              <w:rPr>
                <w:webHidden/>
                <w:rStyle w:val="IndexLink"/>
              </w:rPr>
              <w:t>3. Proposed Solution</w:t>
              <w:tab/>
              <w:t>3</w:t>
            </w:r>
          </w:hyperlink>
        </w:p>
        <w:p>
          <w:pPr>
            <w:pStyle w:val="TOC1"/>
            <w:tabs>
              <w:tab w:val="clear" w:pos="9632"/>
              <w:tab w:val="right" w:pos="9631" w:leader="dot"/>
            </w:tabs>
            <w:rPr/>
          </w:pPr>
          <w:hyperlink w:anchor="__RefHeading___Toc255_3555332224">
            <w:r>
              <w:rPr>
                <w:webHidden/>
                <w:rStyle w:val="IndexLink"/>
              </w:rPr>
              <w:t>4. Implementation Timeline</w:t>
              <w:tab/>
              <w:t>3</w:t>
            </w:r>
          </w:hyperlink>
        </w:p>
        <w:p>
          <w:pPr>
            <w:pStyle w:val="TOC1"/>
            <w:tabs>
              <w:tab w:val="clear" w:pos="9632"/>
              <w:tab w:val="right" w:pos="9631" w:leader="dot"/>
            </w:tabs>
            <w:rPr/>
          </w:pPr>
          <w:hyperlink w:anchor="__RefHeading___Toc257_3555332224">
            <w:r>
              <w:rPr>
                <w:webHidden/>
                <w:rStyle w:val="IndexLink"/>
              </w:rPr>
              <w:t>5. Pricing</w:t>
              <w:tab/>
              <w:t>3</w:t>
            </w:r>
          </w:hyperlink>
        </w:p>
        <w:p>
          <w:pPr>
            <w:pStyle w:val="TOC2"/>
            <w:tabs>
              <w:tab w:val="clear" w:pos="9349"/>
              <w:tab w:val="right" w:pos="9631" w:leader="dot"/>
            </w:tabs>
            <w:rPr/>
          </w:pPr>
          <w:hyperlink w:anchor="__RefHeading___Toc259_3555332224">
            <w:r>
              <w:rPr>
                <w:webHidden/>
                <w:rStyle w:val="IndexLink"/>
              </w:rPr>
              <w:t>Expected impact</w:t>
              <w:tab/>
              <w:t>4</w:t>
            </w:r>
          </w:hyperlink>
        </w:p>
        <w:p>
          <w:pPr>
            <w:pStyle w:val="TOC1"/>
            <w:tabs>
              <w:tab w:val="clear" w:pos="9632"/>
              <w:tab w:val="right" w:pos="9631" w:leader="dot"/>
            </w:tabs>
            <w:rPr/>
          </w:pPr>
          <w:hyperlink w:anchor="__RefHeading___Toc261_3555332224">
            <w:r>
              <w:rPr>
                <w:webHidden/>
                <w:rStyle w:val="IndexLink"/>
              </w:rPr>
              <w:t>6. Next Steps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160"/>
        <w:jc w:val="left"/>
        <w:rPr>
          <w:rFonts w:ascii="Calibri" w:hAnsi="Calibri"/>
          <w:sz w:val="22"/>
        </w:rPr>
      </w:pPr>
      <w:r>
        <w:rPr>
          <w:sz w:val="22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249_3555332224"/>
      <w:bookmarkEnd w:id="0"/>
      <w:r>
        <w:rPr/>
        <w:t>1. Executive Summary</w:t>
      </w:r>
    </w:p>
    <w:p>
      <w:pPr>
        <w:pStyle w:val="Normal"/>
        <w:rPr/>
      </w:pPr>
      <w:r>
        <w:rPr/>
        <w:t>Harbor &amp; Pine Supply Co. proposes a regional fulfillment partnership that consolidates inbound freight, shortens delivery times, and gives the client a single point of accountability for order handling.</w:t>
      </w:r>
    </w:p>
    <w:p>
      <w:pPr>
        <w:pStyle w:val="Normal"/>
        <w:rPr/>
      </w:pPr>
      <w:r>
        <w:rPr/>
        <w:t>Based on the order volumes shared during discovery, we expect average delivery time to fall from 4.1 days to under 2 days within four quarters, while reducing split shipments and customer service contacts.</w:t>
      </w:r>
    </w:p>
    <w:p>
      <w:pPr>
        <w:pStyle w:val="Heading1"/>
        <w:rPr/>
      </w:pPr>
      <w:bookmarkStart w:id="1" w:name="__RefHeading___Toc251_3555332224"/>
      <w:bookmarkEnd w:id="1"/>
      <w:r>
        <w:rPr/>
        <w:t>2. Background and Objectives</w:t>
      </w:r>
    </w:p>
    <w:p>
      <w:pPr>
        <w:pStyle w:val="Normal"/>
        <w:rPr/>
      </w:pPr>
      <w:r>
        <w:rPr/>
        <w:t>The client currently ships from three separate warehouses, each with its own cut-off times and carrier contracts. This creates inconsistent delivery promises and makes exceptions difficult to trace.</w:t>
      </w:r>
    </w:p>
    <w:p>
      <w:pPr>
        <w:pStyle w:val="Normal"/>
        <w:rPr/>
      </w:pPr>
      <w:r>
        <w:rPr/>
        <w:t>The objectives of this proposal are to: unify order cut-off times, consolidate carrier management, and provide weekly performance reporting.</w:t>
      </w:r>
    </w:p>
    <w:p>
      <w:pPr>
        <w:pStyle w:val="Heading1"/>
        <w:rPr/>
      </w:pPr>
      <w:bookmarkStart w:id="2" w:name="__RefHeading___Toc253_3555332224"/>
      <w:bookmarkEnd w:id="2"/>
      <w:r>
        <w:rPr/>
        <w:t>3. Proposed Solution</w:t>
      </w:r>
    </w:p>
    <w:p>
      <w:pPr>
        <w:pStyle w:val="Normal"/>
        <w:rPr/>
      </w:pPr>
      <w:r>
        <w:rPr/>
        <w:t>We will operate a single regional hub with same-day pick and pack for orders received before 2 p.m. Inventory will be synchronized with the client's storefront every 15 minutes.</w:t>
      </w:r>
    </w:p>
    <w:p>
      <w:pPr>
        <w:pStyle w:val="Normal"/>
        <w:rPr/>
      </w:pPr>
      <w:r>
        <w:rPr/>
        <w:t>Exceptions such as damaged goods, address errors, and stock-outs will be logged in a shared tracker with an owner and a resolution deadline.</w:t>
      </w:r>
    </w:p>
    <w:p>
      <w:pPr>
        <w:pStyle w:val="Heading1"/>
        <w:rPr/>
      </w:pPr>
      <w:bookmarkStart w:id="3" w:name="__RefHeading___Toc255_3555332224"/>
      <w:bookmarkEnd w:id="3"/>
      <w:r>
        <w:rPr/>
        <w:t>4. Implementation Timeline</w:t>
      </w:r>
    </w:p>
    <w:p>
      <w:pPr>
        <w:pStyle w:val="Normal"/>
        <w:rPr/>
      </w:pPr>
      <w:r>
        <w:rPr/>
        <w:t>The rollout is divided into four phases so that service continues without interruption.</w:t>
      </w:r>
    </w:p>
    <w:p>
      <w:pPr>
        <w:pStyle w:val="Caption"/>
        <w:keepNext w:val="true"/>
        <w:rPr/>
      </w:pPr>
      <w:r>
        <w:rPr/>
        <w:t>Table 1. Rollout phases</w:t>
      </w:r>
    </w:p>
    <w:tbl>
      <w:tblPr>
        <w:tblStyle w:val="LightGrid-Accent1"/>
        <w:tblW w:w="96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1"/>
        <w:gridCol w:w="3211"/>
        <w:gridCol w:w="3211"/>
      </w:tblGrid>
      <w:tr>
        <w:trPr/>
        <w:tc>
          <w:tcPr>
            <w:tcW w:w="3211" w:type="dxa"/>
            <w:tcBorders>
              <w:bottom w:val="single" w:sz="18" w:space="0" w:color="4F81BD"/>
            </w:tcBorders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Phase</w:t>
            </w:r>
          </w:p>
        </w:tc>
        <w:tc>
          <w:tcPr>
            <w:tcW w:w="3211" w:type="dxa"/>
            <w:tcBorders>
              <w:bottom w:val="single" w:sz="18" w:space="0" w:color="4F81BD"/>
            </w:tcBorders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Scope</w:t>
            </w:r>
          </w:p>
        </w:tc>
        <w:tc>
          <w:tcPr>
            <w:tcW w:w="3211" w:type="dxa"/>
            <w:tcBorders>
              <w:bottom w:val="single" w:sz="18" w:space="0" w:color="4F81BD"/>
            </w:tcBorders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Duration</w:t>
            </w:r>
          </w:p>
        </w:tc>
      </w:tr>
      <w:tr>
        <w:trPr/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1. Discovery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Volume audit, SKU mapping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 weeks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2. Setup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Hub configuration, storefront sync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tru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3 weeks</w:t>
            </w:r>
          </w:p>
        </w:tc>
      </w:tr>
      <w:tr>
        <w:trPr/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3. Pilot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20% of orders routed to hub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4 weeks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keepNext w:val="fals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4. Full rollout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fals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All orders, weekly reporting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fals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Ongoing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bookmarkStart w:id="4" w:name="__RefHeading___Toc257_3555332224"/>
      <w:bookmarkEnd w:id="4"/>
      <w:r>
        <w:rPr/>
        <w:t>5. Pricing</w:t>
      </w:r>
    </w:p>
    <w:p>
      <w:pPr>
        <w:pStyle w:val="Normal"/>
        <w:rPr/>
      </w:pPr>
      <w:r>
        <w:rPr/>
        <w:t>Pricing is per order and includes pick, pack, standard packaging, and carrier label generation.</w:t>
      </w:r>
    </w:p>
    <w:p>
      <w:pPr>
        <w:pStyle w:val="Caption"/>
        <w:keepNext w:val="true"/>
        <w:rPr/>
      </w:pPr>
      <w:r>
        <w:rPr/>
        <w:t>Table 2. Per-order pricing</w:t>
      </w:r>
    </w:p>
    <w:tbl>
      <w:tblPr>
        <w:tblStyle w:val="LightGrid-Accent1"/>
        <w:tblW w:w="963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11"/>
        <w:gridCol w:w="3211"/>
        <w:gridCol w:w="3211"/>
      </w:tblGrid>
      <w:tr>
        <w:trPr/>
        <w:tc>
          <w:tcPr>
            <w:tcW w:w="3211" w:type="dxa"/>
            <w:tcBorders>
              <w:bottom w:val="single" w:sz="18" w:space="0" w:color="4F81BD"/>
            </w:tcBorders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3211" w:type="dxa"/>
            <w:tcBorders>
              <w:bottom w:val="single" w:sz="18" w:space="0" w:color="4F81BD"/>
            </w:tcBorders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Unit</w:t>
            </w:r>
          </w:p>
        </w:tc>
        <w:tc>
          <w:tcPr>
            <w:tcW w:w="3211" w:type="dxa"/>
            <w:tcBorders>
              <w:bottom w:val="single" w:sz="18" w:space="0" w:color="4F81BD"/>
            </w:tcBorders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Price</w:t>
            </w:r>
          </w:p>
        </w:tc>
      </w:tr>
      <w:tr>
        <w:trPr/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Pick and pack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per order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$1.80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Additional item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per item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tru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$0.35</w:t>
            </w:r>
          </w:p>
        </w:tc>
      </w:tr>
      <w:tr>
        <w:trPr/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Storage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per pallet / month</w:t>
            </w:r>
          </w:p>
        </w:tc>
        <w:tc>
          <w:tcPr>
            <w:tcW w:w="3211" w:type="dxa"/>
            <w:tcBorders/>
            <w:shd w:color="auto" w:fill="D3DFEE" w:themeFill="accent1" w:themeFillTint="3f" w:val="clear"/>
          </w:tcPr>
          <w:p>
            <w:pPr>
              <w:pStyle w:val="Normal"/>
              <w:keepNext w:val="tru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$18.00</w:t>
            </w:r>
          </w:p>
        </w:tc>
      </w:tr>
      <w:tr>
        <w:trPr/>
        <w:tc>
          <w:tcPr>
            <w:tcW w:w="3211" w:type="dxa"/>
            <w:tcBorders/>
          </w:tcPr>
          <w:p>
            <w:pPr>
              <w:pStyle w:val="Normal"/>
              <w:keepNext w:val="false"/>
              <w:widowControl/>
              <w:spacing w:before="0" w:after="4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 w:val="false"/>
                <w:bCs/>
                <w:kern w:val="0"/>
                <w:sz w:val="20"/>
                <w:szCs w:val="22"/>
                <w:lang w:val="en-US" w:eastAsia="en-US" w:bidi="ar-SA"/>
              </w:rPr>
              <w:t>Returns handling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false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per return</w:t>
            </w:r>
          </w:p>
        </w:tc>
        <w:tc>
          <w:tcPr>
            <w:tcW w:w="3211" w:type="dxa"/>
            <w:tcBorders/>
          </w:tcPr>
          <w:p>
            <w:pPr>
              <w:pStyle w:val="Normal"/>
              <w:keepNext w:val="false"/>
              <w:widowControl/>
              <w:spacing w:before="0" w:after="40"/>
              <w:jc w:val="righ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$2.50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5" w:name="__RefHeading___Toc259_3555332224"/>
      <w:bookmarkEnd w:id="5"/>
      <w:r>
        <w:rPr/>
        <w:t>Expected impact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039995" cy="23520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Figure 1. Projected average delivery days by quarter</w:t>
      </w:r>
    </w:p>
    <w:p>
      <w:pPr>
        <w:pStyle w:val="Heading1"/>
        <w:rPr/>
      </w:pPr>
      <w:bookmarkStart w:id="6" w:name="__RefHeading___Toc261_3555332224"/>
      <w:bookmarkEnd w:id="6"/>
      <w:r>
        <w:rPr/>
        <w:t>6. Next Steps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Upon approval, we will schedule a kickoff meeting within five business days and share a detailed migration checklist.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304" w:right="1304" w:gutter="0" w:header="0" w:top="1417" w:footer="72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55F6B"/>
        <w:sz w:val="18"/>
      </w:rPr>
      <w:t xml:space="preserve">Regional Fulfillment Partnership Proposal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6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36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6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 w:val="false"/>
      <w:bCs/>
      <w:i/>
      <w:color w:val="555F6B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63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49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359</Words>
  <Characters>1985</Characters>
  <CharactersWithSpaces>2283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2026-10-30T02:43:56Z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