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C0BCB" w14:textId="3E72DDF4" w:rsidR="00FD4E4F" w:rsidRDefault="00FD4E4F"/>
    <w:p w14:paraId="57B9B62D" w14:textId="064A4D8B" w:rsidR="00FC6287" w:rsidRPr="00280F1A" w:rsidRDefault="00AA6EC0">
      <w:pPr>
        <w:rPr>
          <w:b/>
          <w:bCs/>
        </w:rPr>
      </w:pPr>
      <w:r w:rsidRPr="00280F1A">
        <w:rPr>
          <w:b/>
          <w:bCs/>
        </w:rPr>
        <w:t>Q1.1</w:t>
      </w:r>
    </w:p>
    <w:p w14:paraId="6DD657DC" w14:textId="4B1D19ED" w:rsidR="00280F1A" w:rsidRDefault="002D4B01" w:rsidP="00280F1A">
      <w:pPr>
        <w:rPr>
          <w:rFonts w:eastAsiaTheme="minorEastAsia"/>
        </w:rPr>
      </w:pPr>
      <w:r>
        <w:rPr>
          <w:noProof/>
        </w:rPr>
        <w:drawing>
          <wp:inline distT="0" distB="0" distL="0" distR="0" wp14:anchorId="144AEB3E" wp14:editId="0048A813">
            <wp:extent cx="2069677" cy="181515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3150" cy="1826968"/>
                    </a:xfrm>
                    <a:prstGeom prst="rect">
                      <a:avLst/>
                    </a:prstGeom>
                  </pic:spPr>
                </pic:pic>
              </a:graphicData>
            </a:graphic>
          </wp:inline>
        </w:drawing>
      </w:r>
      <w:r w:rsidR="00280F1A" w:rsidRPr="00280F1A">
        <w:rPr>
          <w:rFonts w:eastAsiaTheme="minorEastAsia"/>
        </w:rPr>
        <w:t xml:space="preserve"> </w:t>
      </w:r>
      <w:r w:rsidR="00280F1A">
        <w:rPr>
          <w:rFonts w:eastAsiaTheme="minorEastAsia"/>
        </w:rPr>
        <w:t>F</w:t>
      </w:r>
      <w:r w:rsidR="00280F1A">
        <w:rPr>
          <w:rFonts w:eastAsiaTheme="minorEastAsia"/>
          <w:vertAlign w:val="subscript"/>
        </w:rPr>
        <w:t xml:space="preserve">z1 </w:t>
      </w:r>
      <w:r w:rsidR="00280F1A" w:rsidRPr="00280F1A">
        <w:rPr>
          <w:rFonts w:eastAsiaTheme="minorEastAsia"/>
        </w:rPr>
        <w:t>,</w:t>
      </w:r>
      <w:r w:rsidR="00280F1A">
        <w:rPr>
          <w:rFonts w:eastAsiaTheme="minorEastAsia"/>
          <w:vertAlign w:val="subscript"/>
        </w:rPr>
        <w:t xml:space="preserve"> </w:t>
      </w:r>
      <w:r w:rsidR="00280F1A">
        <w:rPr>
          <w:rFonts w:eastAsiaTheme="minorEastAsia"/>
        </w:rPr>
        <w:t>F</w:t>
      </w:r>
      <w:r w:rsidR="00280F1A" w:rsidRPr="00280F1A">
        <w:rPr>
          <w:rFonts w:eastAsiaTheme="minorEastAsia"/>
          <w:vertAlign w:val="subscript"/>
        </w:rPr>
        <w:t>x</w:t>
      </w:r>
      <w:r w:rsidR="00280F1A">
        <w:rPr>
          <w:rFonts w:eastAsiaTheme="minorEastAsia"/>
          <w:vertAlign w:val="subscript"/>
        </w:rPr>
        <w:t xml:space="preserve">1 </w:t>
      </w:r>
      <w:r w:rsidR="00280F1A" w:rsidRPr="00280F1A">
        <w:rPr>
          <w:rFonts w:eastAsiaTheme="minorEastAsia"/>
          <w:vertAlign w:val="subscript"/>
        </w:rPr>
        <w:t xml:space="preserve"> </w:t>
      </w:r>
      <w:r w:rsidR="00280F1A">
        <w:rPr>
          <w:rFonts w:eastAsiaTheme="minorEastAsia"/>
        </w:rPr>
        <w:t>≈ zero just at tipping point about point C</w:t>
      </w:r>
    </w:p>
    <w:p w14:paraId="0DA11A91" w14:textId="5CED4EA2" w:rsidR="002D4B01" w:rsidRPr="00280F1A" w:rsidRDefault="002D4B01">
      <w:pPr>
        <w:rPr>
          <w:b/>
          <w:bCs/>
        </w:rPr>
      </w:pPr>
      <w:r w:rsidRPr="00280F1A">
        <w:rPr>
          <w:b/>
          <w:bCs/>
        </w:rPr>
        <w:t>Q1.2</w:t>
      </w:r>
    </w:p>
    <w:p w14:paraId="16EE8EE5" w14:textId="76C29C01" w:rsidR="002D4B01" w:rsidRDefault="002D4B01">
      <w:r>
        <w:t>To determine maximum deceleration, we consider moments about point C</w:t>
      </w:r>
    </w:p>
    <w:p w14:paraId="44241E01" w14:textId="64643858" w:rsidR="00280F1A" w:rsidRDefault="00280F1A">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roofErr w:type="spellStart"/>
      <w:r>
        <w:rPr>
          <w:rFonts w:eastAsiaTheme="minorEastAsia"/>
        </w:rPr>
        <w:t>F</w:t>
      </w:r>
      <w:r w:rsidRPr="00280F1A">
        <w:rPr>
          <w:rFonts w:eastAsiaTheme="minorEastAsia"/>
          <w:vertAlign w:val="subscript"/>
        </w:rPr>
        <w:t>decel</w:t>
      </w:r>
      <w:proofErr w:type="spellEnd"/>
      <w:r w:rsidRPr="00280F1A">
        <w:rPr>
          <w:rFonts w:eastAsiaTheme="minorEastAsia"/>
          <w:vertAlign w:val="subscript"/>
        </w:rPr>
        <w:t xml:space="preserve"> </w:t>
      </w:r>
      <w:r>
        <w:rPr>
          <w:rFonts w:eastAsiaTheme="minorEastAsia"/>
        </w:rPr>
        <w:t>= m × a</w:t>
      </w:r>
    </w:p>
    <w:p w14:paraId="2E6C7FBC" w14:textId="3610AEA5" w:rsidR="002D4B01" w:rsidRPr="00485A00" w:rsidRDefault="002D4B01">
      <w:pPr>
        <w:rPr>
          <w:rFonts w:eastAsiaTheme="minorEastAsia"/>
        </w:rPr>
      </w:pPr>
      <m:oMathPara>
        <m:oMath>
          <m:r>
            <w:rPr>
              <w:rFonts w:ascii="Cambria Math" w:hAnsi="Cambria Math"/>
            </w:rPr>
            <m:t xml:space="preserve">a&lt;g(cosθ </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l</m:t>
                  </m:r>
                </m:e>
                <m:sub>
                  <m:r>
                    <w:rPr>
                      <w:rFonts w:ascii="Cambria Math" w:hAnsi="Cambria Math" w:cs="Cambria Math"/>
                    </w:rPr>
                    <m:t>f</m:t>
                  </m:r>
                </m:sub>
              </m:sSub>
            </m:num>
            <m:den>
              <m:r>
                <m:rPr>
                  <m:sty m:val="p"/>
                </m:rPr>
                <w:rPr>
                  <w:rFonts w:ascii="Cambria Math" w:hAnsi="Cambria Math" w:cs="Cambria Math"/>
                </w:rPr>
                <m:t>h</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m:oMathPara>
    </w:p>
    <w:p w14:paraId="3908C882" w14:textId="2100F187" w:rsidR="00485A00" w:rsidRDefault="00485A00">
      <w:pPr>
        <w:rPr>
          <w:rFonts w:eastAsiaTheme="minorEastAsia"/>
        </w:rPr>
      </w:pPr>
    </w:p>
    <w:p w14:paraId="3C3E9AC4" w14:textId="6A287A26" w:rsidR="00485A00" w:rsidRPr="00485A00" w:rsidRDefault="00485A00">
      <w:pPr>
        <w:rPr>
          <w:b/>
          <w:bCs/>
        </w:rPr>
      </w:pPr>
      <w:r w:rsidRPr="00485A00">
        <w:rPr>
          <w:rFonts w:eastAsiaTheme="minorEastAsia"/>
          <w:b/>
          <w:bCs/>
        </w:rPr>
        <w:t>Q1.3</w:t>
      </w:r>
    </w:p>
    <w:p w14:paraId="1339B0DF" w14:textId="3F92BD0A" w:rsidR="00485A00" w:rsidRDefault="00485A00">
      <w:r>
        <w:rPr>
          <w:noProof/>
        </w:rPr>
        <w:drawing>
          <wp:inline distT="0" distB="0" distL="0" distR="0" wp14:anchorId="7B6AFA4D" wp14:editId="7DC38A72">
            <wp:extent cx="5645330" cy="3364992"/>
            <wp:effectExtent l="0" t="0" r="0" b="698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l="9318" t="4054" r="8871" b="4854"/>
                    <a:stretch/>
                  </pic:blipFill>
                  <pic:spPr bwMode="auto">
                    <a:xfrm>
                      <a:off x="0" y="0"/>
                      <a:ext cx="5669467" cy="3379380"/>
                    </a:xfrm>
                    <a:prstGeom prst="rect">
                      <a:avLst/>
                    </a:prstGeom>
                    <a:ln>
                      <a:noFill/>
                    </a:ln>
                    <a:extLst>
                      <a:ext uri="{53640926-AAD7-44D8-BBD7-CCE9431645EC}">
                        <a14:shadowObscured xmlns:a14="http://schemas.microsoft.com/office/drawing/2010/main"/>
                      </a:ext>
                    </a:extLst>
                  </pic:spPr>
                </pic:pic>
              </a:graphicData>
            </a:graphic>
          </wp:inline>
        </w:drawing>
      </w:r>
    </w:p>
    <w:p w14:paraId="6FB09134" w14:textId="77777777" w:rsidR="001D4C81" w:rsidRDefault="001D4C81">
      <w:pPr>
        <w:rPr>
          <w:b/>
          <w:bCs/>
        </w:rPr>
      </w:pPr>
      <w:r>
        <w:rPr>
          <w:b/>
          <w:bCs/>
        </w:rPr>
        <w:br w:type="page"/>
      </w:r>
    </w:p>
    <w:p w14:paraId="0D2CA2F7" w14:textId="401B3AEE" w:rsidR="00485A00" w:rsidRDefault="00485A00">
      <w:r w:rsidRPr="00485A00">
        <w:rPr>
          <w:b/>
          <w:bCs/>
        </w:rPr>
        <w:lastRenderedPageBreak/>
        <w:t>Q1.4</w:t>
      </w:r>
    </w:p>
    <w:p w14:paraId="7EE64092" w14:textId="4C2D331D" w:rsidR="00485A00" w:rsidRDefault="00485A00" w:rsidP="006801CD">
      <w:pPr>
        <w:pStyle w:val="ListParagraph"/>
        <w:numPr>
          <w:ilvl w:val="0"/>
          <w:numId w:val="1"/>
        </w:numPr>
      </w:pPr>
      <w:r>
        <w:t xml:space="preserve">The greatest deceleration was achieved with </w:t>
      </w:r>
      <w:proofErr w:type="spellStart"/>
      <w:r>
        <w:t>lf</w:t>
      </w:r>
      <w:proofErr w:type="spellEnd"/>
      <w:r>
        <w:t xml:space="preserve"> = 1.75m and h = 0.5m, this was the longest front wheel distance away from CG, and lowest CG height from ramp surface.</w:t>
      </w:r>
    </w:p>
    <w:p w14:paraId="7D0EC5A9" w14:textId="48E86B49" w:rsidR="006801CD" w:rsidRDefault="006801CD" w:rsidP="006801CD">
      <w:pPr>
        <w:pStyle w:val="ListParagraph"/>
        <w:numPr>
          <w:ilvl w:val="0"/>
          <w:numId w:val="1"/>
        </w:numPr>
      </w:pPr>
      <w:r>
        <w:t>This combination is expected as it requires a greater deceleration force to produce the same moment about point C to result in the vehicle tipping over with point C as the fulcrum.</w:t>
      </w:r>
    </w:p>
    <w:p w14:paraId="17689954" w14:textId="73DFBF9C" w:rsidR="00244EAF" w:rsidRDefault="00244EAF" w:rsidP="006801CD">
      <w:pPr>
        <w:pStyle w:val="ListParagraph"/>
        <w:numPr>
          <w:ilvl w:val="0"/>
          <w:numId w:val="1"/>
        </w:numPr>
      </w:pPr>
      <w:r>
        <w:t xml:space="preserve">The selection of these parameter </w:t>
      </w:r>
      <w:proofErr w:type="spellStart"/>
      <w:r w:rsidRPr="00244EAF">
        <w:rPr>
          <w:i/>
          <w:iCs/>
        </w:rPr>
        <w:t>l</w:t>
      </w:r>
      <w:r w:rsidRPr="00244EAF">
        <w:rPr>
          <w:i/>
          <w:iCs/>
          <w:vertAlign w:val="subscript"/>
        </w:rPr>
        <w:t>f</w:t>
      </w:r>
      <w:proofErr w:type="spellEnd"/>
      <w:r>
        <w:t xml:space="preserve"> depends on the application of the ground vehicle and the requirements of its volumetric footprint. If the default size of the vehicle already at the design limit, then one strategy to improve it’s stability during deceleration on slope is to lower </w:t>
      </w:r>
      <w:r w:rsidRPr="00244EAF">
        <w:rPr>
          <w:i/>
          <w:iCs/>
        </w:rPr>
        <w:t>h</w:t>
      </w:r>
      <w:r>
        <w:t xml:space="preserve"> by keeping heavy equipment and components low in the chassis. The deceleration of the ground vehicle may not require the designer to use longest </w:t>
      </w:r>
      <w:proofErr w:type="spellStart"/>
      <w:r w:rsidRPr="00244EAF">
        <w:rPr>
          <w:i/>
          <w:iCs/>
        </w:rPr>
        <w:t>l</w:t>
      </w:r>
      <w:r w:rsidRPr="00244EAF">
        <w:rPr>
          <w:i/>
          <w:iCs/>
          <w:vertAlign w:val="subscript"/>
        </w:rPr>
        <w:t>f</w:t>
      </w:r>
      <w:proofErr w:type="spellEnd"/>
      <w:r>
        <w:t xml:space="preserve"> and the lowest </w:t>
      </w:r>
      <w:r w:rsidRPr="00244EAF">
        <w:rPr>
          <w:i/>
          <w:iCs/>
        </w:rPr>
        <w:t>h</w:t>
      </w:r>
      <w:r>
        <w:t xml:space="preserve">, perhaps due to braking and motor limitations. If this were a very slow moving vehicle operating in a remote environment, there may not be a need for such high decelerations and hence the enabling the designer to choose a shorter </w:t>
      </w:r>
      <w:proofErr w:type="spellStart"/>
      <w:r w:rsidRPr="00244EAF">
        <w:rPr>
          <w:i/>
          <w:iCs/>
        </w:rPr>
        <w:t>l</w:t>
      </w:r>
      <w:r w:rsidRPr="00244EAF">
        <w:rPr>
          <w:i/>
          <w:iCs/>
          <w:vertAlign w:val="subscript"/>
        </w:rPr>
        <w:t>f</w:t>
      </w:r>
      <w:proofErr w:type="spellEnd"/>
      <w:r>
        <w:t xml:space="preserve"> and permit a higher </w:t>
      </w:r>
      <w:r w:rsidRPr="00244EAF">
        <w:rPr>
          <w:i/>
          <w:iCs/>
        </w:rPr>
        <w:t>h</w:t>
      </w:r>
      <w:r>
        <w:t>.</w:t>
      </w:r>
    </w:p>
    <w:p w14:paraId="509252FD" w14:textId="23D98021" w:rsidR="006801CD" w:rsidRDefault="006801CD" w:rsidP="006801CD">
      <w:r>
        <w:t>Code</w:t>
      </w:r>
      <w:r w:rsidR="008A5BA8">
        <w:t xml:space="preserve"> for Q1</w:t>
      </w:r>
      <w:r>
        <w:t>:</w:t>
      </w:r>
    </w:p>
    <w:p w14:paraId="797C086F" w14:textId="1C2D9DD2" w:rsidR="006801CD" w:rsidRDefault="006801CD" w:rsidP="006801CD">
      <w:r>
        <w:rPr>
          <w:noProof/>
        </w:rPr>
        <w:drawing>
          <wp:inline distT="0" distB="0" distL="0" distR="0" wp14:anchorId="1D0C2F86" wp14:editId="731DC11C">
            <wp:extent cx="5076749" cy="2615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9822" cy="2642773"/>
                    </a:xfrm>
                    <a:prstGeom prst="rect">
                      <a:avLst/>
                    </a:prstGeom>
                  </pic:spPr>
                </pic:pic>
              </a:graphicData>
            </a:graphic>
          </wp:inline>
        </w:drawing>
      </w:r>
    </w:p>
    <w:p w14:paraId="341D04BF" w14:textId="23CDDF7B" w:rsidR="006801CD" w:rsidRDefault="006801CD"/>
    <w:p w14:paraId="73E37BE7" w14:textId="77777777" w:rsidR="005820EF" w:rsidRDefault="005820EF">
      <w:r>
        <w:br w:type="page"/>
      </w:r>
    </w:p>
    <w:p w14:paraId="403047EA" w14:textId="08CB4A3B" w:rsidR="001D4C81" w:rsidRDefault="005820EF">
      <w:pPr>
        <w:rPr>
          <w:b/>
          <w:bCs/>
        </w:rPr>
      </w:pPr>
      <w:r w:rsidRPr="005820EF">
        <w:rPr>
          <w:b/>
          <w:bCs/>
        </w:rPr>
        <w:lastRenderedPageBreak/>
        <w:t>Q2.1</w:t>
      </w:r>
    </w:p>
    <w:p w14:paraId="5308F97E" w14:textId="482513C3" w:rsidR="00FF3E57" w:rsidRDefault="001D4C81">
      <w:pPr>
        <w:rPr>
          <w:noProof/>
        </w:rPr>
      </w:pPr>
      <w:r>
        <w:t xml:space="preserve">The </w:t>
      </w:r>
      <w:r w:rsidRPr="001241D6">
        <w:rPr>
          <w:b/>
          <w:bCs/>
        </w:rPr>
        <w:t>6-wheeled vehicle is better</w:t>
      </w:r>
      <w:r>
        <w:t xml:space="preserve"> for minimizing compaction resistance. </w:t>
      </w:r>
      <w:r w:rsidR="001241D6">
        <w:t xml:space="preserve">As </w:t>
      </w:r>
      <w:proofErr w:type="spellStart"/>
      <w:r w:rsidR="001241D6">
        <w:t>a</w:t>
      </w:r>
      <w:proofErr w:type="spellEnd"/>
      <w:r w:rsidR="001241D6">
        <w:t xml:space="preserve"> quick intuitive check by inspection of the compaction resistance formula, we expect that a lower </w:t>
      </w:r>
      <w:proofErr w:type="spellStart"/>
      <w:r w:rsidR="001241D6">
        <w:t>F</w:t>
      </w:r>
      <w:r w:rsidR="001241D6" w:rsidRPr="001241D6">
        <w:rPr>
          <w:vertAlign w:val="subscript"/>
        </w:rPr>
        <w:t>z</w:t>
      </w:r>
      <w:proofErr w:type="spellEnd"/>
      <w:r w:rsidR="001241D6">
        <w:t xml:space="preserve"> alone results in a lower compaction resistance. For a </w:t>
      </w:r>
      <w:r w:rsidR="00275F7F">
        <w:t xml:space="preserve">fixed wheel type and </w:t>
      </w:r>
      <w:r w:rsidR="001241D6">
        <w:t xml:space="preserve">given weight, W, and even distribution across the wheels, </w:t>
      </w:r>
      <w:proofErr w:type="spellStart"/>
      <w:r w:rsidR="001241D6">
        <w:t>F</w:t>
      </w:r>
      <w:r w:rsidR="001241D6" w:rsidRPr="001241D6">
        <w:rPr>
          <w:vertAlign w:val="subscript"/>
        </w:rPr>
        <w:t>z</w:t>
      </w:r>
      <w:proofErr w:type="spellEnd"/>
      <w:r w:rsidR="001241D6">
        <w:rPr>
          <w:vertAlign w:val="subscript"/>
        </w:rPr>
        <w:t xml:space="preserve"> </w:t>
      </w:r>
      <w:r w:rsidR="001241D6">
        <w:t xml:space="preserve">= W / number of wheels. Hence the 6-wheeled vehicle would have lower </w:t>
      </w:r>
      <w:proofErr w:type="spellStart"/>
      <w:r w:rsidR="001241D6">
        <w:t>F</w:t>
      </w:r>
      <w:r w:rsidR="001241D6" w:rsidRPr="001241D6">
        <w:rPr>
          <w:vertAlign w:val="subscript"/>
        </w:rPr>
        <w:t>z</w:t>
      </w:r>
      <w:proofErr w:type="spellEnd"/>
      <w:r w:rsidR="001241D6">
        <w:t xml:space="preserve"> and therefore lower compaction resistance.</w:t>
      </w:r>
      <w:r w:rsidR="001241D6">
        <w:rPr>
          <w:noProof/>
        </w:rPr>
        <w:t xml:space="preserve"> </w:t>
      </w:r>
    </w:p>
    <w:p w14:paraId="517403CC" w14:textId="6A97DB1C" w:rsidR="00275F7F" w:rsidRDefault="00275F7F">
      <w:pPr>
        <w:rPr>
          <w:noProof/>
        </w:rPr>
      </w:pPr>
      <w:r>
        <w:rPr>
          <w:noProof/>
        </w:rPr>
        <w:t>Arbitarily, let W be 100 tons. W / 6 =  16.67 units of force; whereas W /4 = 25 units of force per wheel</w:t>
      </w:r>
      <w:r w:rsidR="00505F84">
        <w:rPr>
          <w:noProof/>
        </w:rPr>
        <w:t xml:space="preserve">. The 4-wheeled vehicle has 1.5x </w:t>
      </w:r>
      <w:r w:rsidR="00CE0D8D">
        <w:rPr>
          <w:noProof/>
        </w:rPr>
        <w:t xml:space="preserve">more compaction resistance than </w:t>
      </w:r>
      <w:r w:rsidR="004C609C">
        <w:rPr>
          <w:noProof/>
        </w:rPr>
        <w:t>its</w:t>
      </w:r>
      <w:r w:rsidR="00CE0D8D">
        <w:rPr>
          <w:noProof/>
        </w:rPr>
        <w:t xml:space="preserve"> 6-wheeled </w:t>
      </w:r>
      <w:r w:rsidR="005528BD">
        <w:rPr>
          <w:noProof/>
        </w:rPr>
        <w:t>variant</w:t>
      </w:r>
      <w:r w:rsidR="00CE0D8D">
        <w:rPr>
          <w:noProof/>
        </w:rPr>
        <w:t>.</w:t>
      </w:r>
    </w:p>
    <w:p w14:paraId="79EB5F0B" w14:textId="6A0A3CA7" w:rsidR="001D4C81" w:rsidRDefault="001241D6">
      <w:r>
        <w:rPr>
          <w:noProof/>
        </w:rPr>
        <w:drawing>
          <wp:inline distT="0" distB="0" distL="0" distR="0" wp14:anchorId="1F79A939" wp14:editId="05F247AC">
            <wp:extent cx="2362200" cy="1284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007"/>
                    <a:stretch/>
                  </pic:blipFill>
                  <pic:spPr bwMode="auto">
                    <a:xfrm>
                      <a:off x="0" y="0"/>
                      <a:ext cx="2384702" cy="1296324"/>
                    </a:xfrm>
                    <a:prstGeom prst="rect">
                      <a:avLst/>
                    </a:prstGeom>
                    <a:ln>
                      <a:noFill/>
                    </a:ln>
                    <a:extLst>
                      <a:ext uri="{53640926-AAD7-44D8-BBD7-CCE9431645EC}">
                        <a14:shadowObscured xmlns:a14="http://schemas.microsoft.com/office/drawing/2010/main"/>
                      </a:ext>
                    </a:extLst>
                  </pic:spPr>
                </pic:pic>
              </a:graphicData>
            </a:graphic>
          </wp:inline>
        </w:drawing>
      </w:r>
    </w:p>
    <w:p w14:paraId="71698476" w14:textId="3210F6ED" w:rsidR="00FF3E57" w:rsidRDefault="00FF3E57">
      <w:pPr>
        <w:rPr>
          <w:b/>
          <w:bCs/>
        </w:rPr>
      </w:pPr>
      <w:r w:rsidRPr="00FF3E57">
        <w:rPr>
          <w:b/>
          <w:bCs/>
        </w:rPr>
        <w:t>Q2.2</w:t>
      </w:r>
    </w:p>
    <w:p w14:paraId="0295CEA4" w14:textId="59E64F3F" w:rsidR="00275F7F" w:rsidRDefault="005528BD">
      <w:r>
        <w:t xml:space="preserve">Soil thrust, H = </w:t>
      </w:r>
      <w:proofErr w:type="spellStart"/>
      <w:r>
        <w:t>cA</w:t>
      </w:r>
      <w:proofErr w:type="spellEnd"/>
      <w:r>
        <w:t xml:space="preserve"> + W tan ø, where W = </w:t>
      </w:r>
      <w:proofErr w:type="spellStart"/>
      <w:r>
        <w:t>σA</w:t>
      </w:r>
      <w:proofErr w:type="spellEnd"/>
    </w:p>
    <w:p w14:paraId="5D87E88B" w14:textId="76A8090C" w:rsidR="001C3BDA" w:rsidRPr="00052202" w:rsidRDefault="001C3BDA">
      <w:pPr>
        <w:rPr>
          <w:sz w:val="18"/>
          <w:szCs w:val="16"/>
        </w:rPr>
      </w:pPr>
      <m:oMath>
        <m:r>
          <m:rPr>
            <m:sty m:val="p"/>
          </m:rPr>
          <w:rPr>
            <w:rFonts w:ascii="Cambria Math" w:hAnsi="Cambria Math" w:cs="Cambria Math"/>
          </w:rPr>
          <m:t>H4:H6=</m:t>
        </m:r>
        <m:f>
          <m:fPr>
            <m:ctrlPr>
              <w:rPr>
                <w:rFonts w:ascii="Cambria Math" w:hAnsi="Cambria Math"/>
                <w:color w:val="FF0000"/>
              </w:rPr>
            </m:ctrlPr>
          </m:fPr>
          <m:num>
            <m:r>
              <m:rPr>
                <m:sty m:val="p"/>
              </m:rPr>
              <w:rPr>
                <w:rFonts w:ascii="Cambria Math" w:hAnsi="Cambria Math"/>
                <w:color w:val="FF0000"/>
              </w:rPr>
              <m:t>c(1.2)</m:t>
            </m:r>
            <m:r>
              <m:rPr>
                <m:sty m:val="p"/>
              </m:rPr>
              <w:rPr>
                <w:rFonts w:ascii="Cambria Math" w:hAnsi="Cambria Math"/>
                <w:color w:val="FF0000"/>
              </w:rPr>
              <m:t>A</m:t>
            </m:r>
            <m:r>
              <m:rPr>
                <m:sty m:val="p"/>
              </m:rPr>
              <w:rPr>
                <w:rFonts w:ascii="Cambria Math" w:hAnsi="Cambria Math"/>
                <w:color w:val="FF0000"/>
              </w:rPr>
              <m:t xml:space="preserve"> + </m:t>
            </m:r>
            <m:r>
              <m:rPr>
                <m:sty m:val="p"/>
              </m:rPr>
              <w:rPr>
                <w:rFonts w:ascii="Cambria Math" w:hAnsi="Cambria Math"/>
                <w:color w:val="FF0000"/>
              </w:rPr>
              <m:t>W</m:t>
            </m:r>
            <m:r>
              <m:rPr>
                <m:sty m:val="p"/>
              </m:rPr>
              <w:rPr>
                <w:rFonts w:ascii="Cambria Math" w:hAnsi="Cambria Math"/>
                <w:color w:val="FF0000"/>
              </w:rPr>
              <m:t xml:space="preserve"> tan ø</m:t>
            </m:r>
          </m:num>
          <m:den>
            <m:r>
              <m:rPr>
                <m:sty m:val="p"/>
              </m:rPr>
              <w:rPr>
                <w:rFonts w:ascii="Cambria Math" w:hAnsi="Cambria Math"/>
                <w:color w:val="FF0000"/>
              </w:rPr>
              <m:t>c</m:t>
            </m:r>
            <m:r>
              <m:rPr>
                <m:sty m:val="p"/>
              </m:rPr>
              <w:rPr>
                <w:rFonts w:ascii="Cambria Math" w:hAnsi="Cambria Math"/>
                <w:color w:val="FF0000"/>
              </w:rPr>
              <m:t>A</m:t>
            </m:r>
            <m:r>
              <m:rPr>
                <m:sty m:val="p"/>
              </m:rPr>
              <w:rPr>
                <w:rFonts w:ascii="Cambria Math" w:hAnsi="Cambria Math"/>
                <w:color w:val="FF0000"/>
              </w:rPr>
              <m:t xml:space="preserve">+ </m:t>
            </m:r>
            <m:r>
              <m:rPr>
                <m:sty m:val="p"/>
              </m:rPr>
              <w:rPr>
                <w:rFonts w:ascii="Cambria Math" w:hAnsi="Cambria Math"/>
                <w:color w:val="FF0000"/>
              </w:rPr>
              <m:t>W</m:t>
            </m:r>
            <m:r>
              <m:rPr>
                <m:sty m:val="p"/>
              </m:rPr>
              <w:rPr>
                <w:rFonts w:ascii="Cambria Math" w:hAnsi="Cambria Math"/>
                <w:color w:val="FF0000"/>
              </w:rPr>
              <m:t xml:space="preserve"> tan ø</m:t>
            </m:r>
          </m:den>
        </m:f>
      </m:oMath>
      <w:r>
        <w:rPr>
          <w:rFonts w:eastAsiaTheme="minorEastAsia"/>
        </w:rPr>
        <w:t xml:space="preserve"> </w:t>
      </w:r>
    </w:p>
    <w:p w14:paraId="2A14E071" w14:textId="55E54490" w:rsidR="00860EDE" w:rsidRDefault="00860EDE">
      <w:pPr>
        <w:rPr>
          <w:rFonts w:eastAsiaTheme="minorEastAsia"/>
        </w:rPr>
      </w:pPr>
      <w:r w:rsidRPr="00860EDE">
        <w:rPr>
          <w:rFonts w:eastAsiaTheme="minorEastAsia"/>
          <w:b/>
          <w:bCs/>
        </w:rPr>
        <w:t>Q2.3</w:t>
      </w:r>
      <w:r w:rsidR="00BC7BD2">
        <w:rPr>
          <w:rFonts w:eastAsiaTheme="minorEastAsia"/>
          <w:b/>
          <w:bCs/>
        </w:rPr>
        <w:br/>
      </w:r>
      <w:r>
        <w:t xml:space="preserve">Drawbar pull, </w:t>
      </w:r>
      <w:r w:rsidRPr="00113590">
        <w:rPr>
          <w:b/>
          <w:bCs/>
        </w:rPr>
        <w:t xml:space="preserve">H  - </w:t>
      </w:r>
      <w:proofErr w:type="spellStart"/>
      <w:r w:rsidRPr="00113590">
        <w:rPr>
          <w:b/>
          <w:bCs/>
        </w:rPr>
        <w:t>R</w:t>
      </w:r>
      <w:r w:rsidRPr="00113590">
        <w:rPr>
          <w:b/>
          <w:bCs/>
          <w:vertAlign w:val="subscript"/>
        </w:rPr>
        <w:t>compaction</w:t>
      </w:r>
      <w:proofErr w:type="spellEnd"/>
      <w:r>
        <w:rPr>
          <w:vertAlign w:val="subscript"/>
        </w:rPr>
        <w:t xml:space="preserve"> </w:t>
      </w:r>
      <w:r>
        <w:t>=</w:t>
      </w:r>
      <w:r>
        <w:t xml:space="preserve"> </w:t>
      </w:r>
      <w:proofErr w:type="spellStart"/>
      <w:r w:rsidRPr="00113590">
        <w:rPr>
          <w:b/>
          <w:bCs/>
        </w:rPr>
        <w:t>cA</w:t>
      </w:r>
      <w:proofErr w:type="spellEnd"/>
      <w:r w:rsidRPr="00113590">
        <w:rPr>
          <w:b/>
          <w:bCs/>
        </w:rPr>
        <w:t xml:space="preserve"> + W tan ø</w:t>
      </w:r>
      <w:r w:rsidRPr="00113590">
        <w:rPr>
          <w:b/>
          <w:bCs/>
        </w:rPr>
        <w:t xml:space="preserve"> - </w:t>
      </w:r>
      <m:oMath>
        <m:f>
          <m:fPr>
            <m:ctrlPr>
              <w:rPr>
                <w:rFonts w:ascii="Cambria Math" w:hAnsi="Cambria Math"/>
                <w:b/>
                <w:bCs/>
              </w:rPr>
            </m:ctrlPr>
          </m:fPr>
          <m:num>
            <m:r>
              <m:rPr>
                <m:sty m:val="b"/>
              </m:rPr>
              <w:rPr>
                <w:rFonts w:ascii="Cambria Math" w:hAnsi="Cambria Math" w:cs="Cambria Math"/>
              </w:rPr>
              <m:t>3</m:t>
            </m:r>
            <m:sSub>
              <m:sSubPr>
                <m:ctrlPr>
                  <w:rPr>
                    <w:rFonts w:ascii="Cambria Math" w:hAnsi="Cambria Math" w:cs="Cambria Math"/>
                    <w:b/>
                    <w:bCs/>
                  </w:rPr>
                </m:ctrlPr>
              </m:sSubPr>
              <m:e>
                <m:r>
                  <m:rPr>
                    <m:sty m:val="b"/>
                  </m:rPr>
                  <w:rPr>
                    <w:rFonts w:ascii="Cambria Math" w:hAnsi="Cambria Math" w:cs="Cambria Math"/>
                  </w:rPr>
                  <m:t>F</m:t>
                </m:r>
              </m:e>
              <m:sub>
                <m:r>
                  <m:rPr>
                    <m:sty m:val="bi"/>
                  </m:rPr>
                  <w:rPr>
                    <w:rFonts w:ascii="Cambria Math" w:hAnsi="Cambria Math" w:cs="Cambria Math"/>
                  </w:rPr>
                  <m:t>z</m:t>
                </m:r>
              </m:sub>
            </m:sSub>
            <m:sSup>
              <m:sSupPr>
                <m:ctrlPr>
                  <w:rPr>
                    <w:rFonts w:ascii="Cambria Math" w:hAnsi="Cambria Math"/>
                    <w:b/>
                    <w:bCs/>
                  </w:rPr>
                </m:ctrlPr>
              </m:sSupPr>
              <m:e>
                <m:rad>
                  <m:radPr>
                    <m:degHide m:val="1"/>
                    <m:ctrlPr>
                      <w:rPr>
                        <w:rFonts w:ascii="Cambria Math" w:hAnsi="Cambria Math"/>
                        <w:b/>
                        <w:bCs/>
                      </w:rPr>
                    </m:ctrlPr>
                  </m:radPr>
                  <m:deg/>
                  <m:e>
                    <m:r>
                      <m:rPr>
                        <m:sty m:val="bi"/>
                      </m:rPr>
                      <w:rPr>
                        <w:rFonts w:ascii="Cambria Math" w:hAnsi="Cambria Math"/>
                      </w:rPr>
                      <m:t>d</m:t>
                    </m:r>
                  </m:e>
                </m:rad>
              </m:e>
              <m:sup>
                <m:f>
                  <m:fPr>
                    <m:ctrlPr>
                      <w:rPr>
                        <w:rFonts w:ascii="Cambria Math" w:hAnsi="Cambria Math"/>
                        <w:b/>
                        <w:bCs/>
                        <w:i/>
                      </w:rPr>
                    </m:ctrlPr>
                  </m:fPr>
                  <m:num>
                    <m:r>
                      <m:rPr>
                        <m:sty m:val="bi"/>
                      </m:rPr>
                      <w:rPr>
                        <w:rFonts w:ascii="Cambria Math" w:hAnsi="Cambria Math"/>
                      </w:rPr>
                      <m:t>3</m:t>
                    </m:r>
                  </m:num>
                  <m:den>
                    <m:r>
                      <m:rPr>
                        <m:sty m:val="bi"/>
                      </m:rPr>
                      <w:rPr>
                        <w:rFonts w:ascii="Cambria Math" w:hAnsi="Cambria Math"/>
                      </w:rPr>
                      <m:t>2</m:t>
                    </m:r>
                  </m:den>
                </m:f>
              </m:sup>
            </m:sSup>
          </m:num>
          <m:den>
            <m:sSup>
              <m:sSupPr>
                <m:ctrlPr>
                  <w:rPr>
                    <w:rFonts w:ascii="Cambria Math" w:hAnsi="Cambria Math" w:cs="Cambria Math"/>
                    <w:b/>
                    <w:bCs/>
                  </w:rPr>
                </m:ctrlPr>
              </m:sSupPr>
              <m:e>
                <m:r>
                  <m:rPr>
                    <m:sty m:val="bi"/>
                  </m:rPr>
                  <w:rPr>
                    <w:rFonts w:ascii="Cambria Math" w:hAnsi="Cambria Math" w:cs="Cambria Math"/>
                  </w:rPr>
                  <m:t>2.5</m:t>
                </m:r>
              </m:e>
              <m:sup>
                <m:f>
                  <m:fPr>
                    <m:ctrlPr>
                      <w:rPr>
                        <w:rFonts w:ascii="Cambria Math" w:hAnsi="Cambria Math" w:cs="Cambria Math"/>
                        <w:b/>
                        <w:bCs/>
                        <w:i/>
                      </w:rPr>
                    </m:ctrlPr>
                  </m:fPr>
                  <m:num>
                    <m:r>
                      <m:rPr>
                        <m:sty m:val="bi"/>
                      </m:rPr>
                      <w:rPr>
                        <w:rFonts w:ascii="Cambria Math" w:hAnsi="Cambria Math" w:cs="Cambria Math"/>
                      </w:rPr>
                      <m:t>3</m:t>
                    </m:r>
                  </m:num>
                  <m:den>
                    <m:r>
                      <m:rPr>
                        <m:sty m:val="bi"/>
                      </m:rPr>
                      <w:rPr>
                        <w:rFonts w:ascii="Cambria Math" w:hAnsi="Cambria Math" w:cs="Cambria Math"/>
                      </w:rPr>
                      <m:t>2</m:t>
                    </m:r>
                  </m:den>
                </m:f>
              </m:sup>
            </m:sSup>
            <m:r>
              <m:rPr>
                <m:sty m:val="bi"/>
              </m:rPr>
              <w:rPr>
                <w:rFonts w:ascii="Cambria Math" w:hAnsi="Cambria Math" w:cs="Cambria Math"/>
              </w:rPr>
              <m:t xml:space="preserve"> </m:t>
            </m:r>
            <m:d>
              <m:dPr>
                <m:ctrlPr>
                  <w:rPr>
                    <w:rFonts w:ascii="Cambria Math" w:hAnsi="Cambria Math" w:cs="Cambria Math"/>
                    <w:b/>
                    <w:bCs/>
                    <w:i/>
                  </w:rPr>
                </m:ctrlPr>
              </m:dPr>
              <m:e>
                <m:r>
                  <m:rPr>
                    <m:sty m:val="bi"/>
                  </m:rPr>
                  <w:rPr>
                    <w:rFonts w:ascii="Cambria Math" w:hAnsi="Cambria Math" w:cs="Cambria Math"/>
                  </w:rPr>
                  <m:t>1.5</m:t>
                </m:r>
              </m:e>
            </m:d>
            <m:sSup>
              <m:sSupPr>
                <m:ctrlPr>
                  <w:rPr>
                    <w:rFonts w:ascii="Cambria Math" w:hAnsi="Cambria Math" w:cs="Cambria Math"/>
                    <w:b/>
                    <w:bCs/>
                    <w:i/>
                  </w:rPr>
                </m:ctrlPr>
              </m:sSupPr>
              <m:e>
                <m:r>
                  <m:rPr>
                    <m:sty m:val="bi"/>
                  </m:rPr>
                  <w:rPr>
                    <w:rFonts w:ascii="Cambria Math" w:hAnsi="Cambria Math" w:cs="Cambria Math"/>
                  </w:rPr>
                  <m:t>(</m:t>
                </m:r>
                <m:sSub>
                  <m:sSubPr>
                    <m:ctrlPr>
                      <w:rPr>
                        <w:rFonts w:ascii="Cambria Math" w:hAnsi="Cambria Math" w:cs="Cambria Math"/>
                        <w:b/>
                        <w:bCs/>
                        <w:i/>
                      </w:rPr>
                    </m:ctrlPr>
                  </m:sSubPr>
                  <m:e>
                    <m:r>
                      <m:rPr>
                        <m:sty m:val="bi"/>
                      </m:rPr>
                      <w:rPr>
                        <w:rFonts w:ascii="Cambria Math" w:hAnsi="Cambria Math" w:cs="Cambria Math"/>
                      </w:rPr>
                      <m:t>k</m:t>
                    </m:r>
                  </m:e>
                  <m:sub>
                    <m:r>
                      <m:rPr>
                        <m:sty m:val="bi"/>
                      </m:rPr>
                      <w:rPr>
                        <w:rFonts w:ascii="Cambria Math" w:hAnsi="Cambria Math" w:cs="Cambria Math"/>
                      </w:rPr>
                      <m:t>c</m:t>
                    </m:r>
                  </m:sub>
                </m:sSub>
                <m:r>
                  <m:rPr>
                    <m:sty m:val="bi"/>
                  </m:rPr>
                  <w:rPr>
                    <w:rFonts w:ascii="Cambria Math" w:hAnsi="Cambria Math" w:cs="Cambria Math"/>
                  </w:rPr>
                  <m:t>+b</m:t>
                </m:r>
                <m:sSub>
                  <m:sSubPr>
                    <m:ctrlPr>
                      <w:rPr>
                        <w:rFonts w:ascii="Cambria Math" w:hAnsi="Cambria Math" w:cs="Cambria Math"/>
                        <w:b/>
                        <w:bCs/>
                        <w:i/>
                      </w:rPr>
                    </m:ctrlPr>
                  </m:sSubPr>
                  <m:e>
                    <m:r>
                      <m:rPr>
                        <m:sty m:val="bi"/>
                      </m:rPr>
                      <w:rPr>
                        <w:rFonts w:ascii="Cambria Math" w:hAnsi="Cambria Math" w:cs="Cambria Math"/>
                      </w:rPr>
                      <m:t>k</m:t>
                    </m:r>
                  </m:e>
                  <m:sub>
                    <m:r>
                      <m:rPr>
                        <m:sty m:val="bi"/>
                      </m:rPr>
                      <w:rPr>
                        <w:rFonts w:ascii="Cambria Math" w:hAnsi="Cambria Math" w:cs="Cambria Math"/>
                      </w:rPr>
                      <m:t>ø</m:t>
                    </m:r>
                  </m:sub>
                </m:sSub>
                <m:r>
                  <m:rPr>
                    <m:sty m:val="bi"/>
                  </m:rPr>
                  <w:rPr>
                    <w:rFonts w:ascii="Cambria Math" w:hAnsi="Cambria Math" w:cs="Cambria Math"/>
                  </w:rPr>
                  <m:t>)</m:t>
                </m:r>
              </m:e>
              <m:sup>
                <m:f>
                  <m:fPr>
                    <m:ctrlPr>
                      <w:rPr>
                        <w:rFonts w:ascii="Cambria Math" w:hAnsi="Cambria Math" w:cs="Cambria Math"/>
                        <w:b/>
                        <w:bCs/>
                        <w:i/>
                      </w:rPr>
                    </m:ctrlPr>
                  </m:fPr>
                  <m:num>
                    <m:r>
                      <m:rPr>
                        <m:sty m:val="bi"/>
                      </m:rPr>
                      <w:rPr>
                        <w:rFonts w:ascii="Cambria Math" w:hAnsi="Cambria Math" w:cs="Cambria Math"/>
                      </w:rPr>
                      <m:t>1</m:t>
                    </m:r>
                  </m:num>
                  <m:den>
                    <m:r>
                      <m:rPr>
                        <m:sty m:val="bi"/>
                      </m:rPr>
                      <w:rPr>
                        <w:rFonts w:ascii="Cambria Math" w:hAnsi="Cambria Math" w:cs="Cambria Math"/>
                      </w:rPr>
                      <m:t>2</m:t>
                    </m:r>
                  </m:den>
                </m:f>
              </m:sup>
            </m:sSup>
          </m:den>
        </m:f>
      </m:oMath>
    </w:p>
    <w:p w14:paraId="20201FBE" w14:textId="4D96D965" w:rsidR="00953CC6" w:rsidRDefault="006F5995" w:rsidP="003851E7">
      <w:pPr>
        <w:jc w:val="both"/>
        <w:rPr>
          <w:rFonts w:eastAsiaTheme="minorEastAsia"/>
        </w:rPr>
      </w:pPr>
      <w:r w:rsidRPr="006F5995">
        <w:rPr>
          <w:rFonts w:eastAsiaTheme="minorEastAsia"/>
          <w:b/>
          <w:bCs/>
        </w:rPr>
        <w:t>Q2.4</w:t>
      </w:r>
      <w:r w:rsidR="00434E76">
        <w:rPr>
          <w:rFonts w:eastAsiaTheme="minorEastAsia"/>
          <w:b/>
          <w:bCs/>
        </w:rPr>
        <w:br/>
      </w:r>
      <w:r w:rsidR="00BC7BD2">
        <w:t xml:space="preserve">H = </w:t>
      </w:r>
      <w:proofErr w:type="spellStart"/>
      <w:r w:rsidR="00BC7BD2">
        <w:t>cA</w:t>
      </w:r>
      <w:proofErr w:type="spellEnd"/>
      <w:r w:rsidR="00BC7BD2">
        <w:t xml:space="preserve"> + W tan ø</w:t>
      </w:r>
      <w:r w:rsidR="00BC7BD2">
        <w:rPr>
          <w:rFonts w:eastAsiaTheme="minorEastAsia"/>
        </w:rPr>
        <w:t xml:space="preserve"> . I</w:t>
      </w:r>
      <w:r w:rsidR="003851E7">
        <w:rPr>
          <w:rFonts w:eastAsiaTheme="minorEastAsia"/>
        </w:rPr>
        <w:t xml:space="preserve">n homogenous loose sand, the sample would contain no cohesive properties and soil thrust would increase with the vehicle weight proportionally. In compact clay, the frictional component of soil is equal to zero. The equation is reduced to </w:t>
      </w:r>
      <w:proofErr w:type="spellStart"/>
      <w:r w:rsidR="003851E7">
        <w:rPr>
          <w:rFonts w:eastAsiaTheme="minorEastAsia"/>
        </w:rPr>
        <w:t>cA</w:t>
      </w:r>
      <w:proofErr w:type="spellEnd"/>
      <w:r w:rsidR="003851E7">
        <w:rPr>
          <w:rFonts w:eastAsiaTheme="minorEastAsia"/>
        </w:rPr>
        <w:t xml:space="preserve"> which implies a higher value of thrust is obtained by an increase in contact surface area. Vehicles that traverse in highly frictional soils benefit from an increase in payload. In soil types that are very cohesive (high moisture content), vehicles experience higher thrust with increase in contact surface area. An increase in weight in this type of soil would be disadvantageous. </w:t>
      </w:r>
    </w:p>
    <w:p w14:paraId="2F1ECCE3" w14:textId="1FB29CA7" w:rsidR="003851E7" w:rsidRPr="003851E7" w:rsidRDefault="003851E7">
      <w:pPr>
        <w:rPr>
          <w:sz w:val="16"/>
          <w:szCs w:val="16"/>
        </w:rPr>
      </w:pPr>
      <w:r w:rsidRPr="003851E7">
        <w:rPr>
          <w:rFonts w:eastAsiaTheme="minorEastAsia"/>
          <w:sz w:val="16"/>
          <w:szCs w:val="16"/>
        </w:rPr>
        <w:t xml:space="preserve">Ref: </w:t>
      </w:r>
      <w:proofErr w:type="spellStart"/>
      <w:r w:rsidRPr="003851E7">
        <w:rPr>
          <w:rFonts w:eastAsiaTheme="minorEastAsia"/>
          <w:sz w:val="16"/>
          <w:szCs w:val="16"/>
        </w:rPr>
        <w:t>Laughery</w:t>
      </w:r>
      <w:proofErr w:type="spellEnd"/>
      <w:r w:rsidRPr="003851E7">
        <w:rPr>
          <w:rFonts w:eastAsiaTheme="minorEastAsia"/>
          <w:sz w:val="16"/>
          <w:szCs w:val="16"/>
        </w:rPr>
        <w:t xml:space="preserve">, S., Gerhart, G., Goetz, R (1990) </w:t>
      </w:r>
      <w:proofErr w:type="spellStart"/>
      <w:r w:rsidRPr="003851E7">
        <w:rPr>
          <w:rFonts w:eastAsiaTheme="minorEastAsia"/>
          <w:sz w:val="16"/>
          <w:szCs w:val="16"/>
        </w:rPr>
        <w:t>Bekker’s</w:t>
      </w:r>
      <w:proofErr w:type="spellEnd"/>
      <w:r w:rsidRPr="003851E7">
        <w:rPr>
          <w:rFonts w:eastAsiaTheme="minorEastAsia"/>
          <w:sz w:val="16"/>
          <w:szCs w:val="16"/>
        </w:rPr>
        <w:t xml:space="preserve"> </w:t>
      </w:r>
      <w:proofErr w:type="spellStart"/>
      <w:r w:rsidRPr="003851E7">
        <w:rPr>
          <w:rFonts w:eastAsiaTheme="minorEastAsia"/>
          <w:sz w:val="16"/>
          <w:szCs w:val="16"/>
        </w:rPr>
        <w:t>Terramechanics</w:t>
      </w:r>
      <w:proofErr w:type="spellEnd"/>
      <w:r w:rsidRPr="003851E7">
        <w:rPr>
          <w:rFonts w:eastAsiaTheme="minorEastAsia"/>
          <w:sz w:val="16"/>
          <w:szCs w:val="16"/>
        </w:rPr>
        <w:t xml:space="preserve"> Model for Off-road Vehicle Research. </w:t>
      </w:r>
      <w:r w:rsidRPr="003851E7">
        <w:rPr>
          <w:sz w:val="16"/>
          <w:szCs w:val="16"/>
        </w:rPr>
        <w:t xml:space="preserve">Extracted 2 Oct 2020 from </w:t>
      </w:r>
      <w:hyperlink r:id="rId13" w:history="1">
        <w:r w:rsidRPr="003851E7">
          <w:rPr>
            <w:rStyle w:val="Hyperlink"/>
            <w:sz w:val="16"/>
            <w:szCs w:val="16"/>
          </w:rPr>
          <w:t>https://apps.dtic.mil/dtic/tr/fulltext/u2/a457955.pdf</w:t>
        </w:r>
      </w:hyperlink>
      <w:r w:rsidRPr="003851E7">
        <w:rPr>
          <w:sz w:val="16"/>
          <w:szCs w:val="16"/>
        </w:rPr>
        <w:t xml:space="preserve"> </w:t>
      </w:r>
    </w:p>
    <w:p w14:paraId="4F615AEB" w14:textId="56B47C2C" w:rsidR="009A457F" w:rsidRDefault="009A457F">
      <w:r>
        <w:rPr>
          <w:rFonts w:eastAsiaTheme="minorEastAsia"/>
          <w:b/>
          <w:bCs/>
        </w:rPr>
        <w:t>Q2.5</w:t>
      </w:r>
      <w:r w:rsidRPr="009A457F">
        <w:t xml:space="preserve"> </w:t>
      </w:r>
    </w:p>
    <w:p w14:paraId="650C9A85" w14:textId="3AB44064" w:rsidR="009A457F" w:rsidRDefault="009A457F">
      <w:pPr>
        <w:rPr>
          <w:vertAlign w:val="subscript"/>
        </w:rPr>
      </w:pPr>
      <w:r>
        <w:t xml:space="preserve">The other forms of resistance </w:t>
      </w:r>
      <w:r w:rsidR="00EA5E41">
        <w:t xml:space="preserve">are </w:t>
      </w:r>
      <w:proofErr w:type="spellStart"/>
      <w:r w:rsidR="00EA5E41">
        <w:t>R</w:t>
      </w:r>
      <w:r w:rsidR="00EA5E41" w:rsidRPr="00EA5E41">
        <w:rPr>
          <w:vertAlign w:val="subscript"/>
        </w:rPr>
        <w:t>obstacles</w:t>
      </w:r>
      <w:proofErr w:type="spellEnd"/>
      <w:r w:rsidR="00EA5E41">
        <w:t xml:space="preserve">, </w:t>
      </w:r>
      <w:proofErr w:type="spellStart"/>
      <w:r w:rsidR="00EA5E41">
        <w:t>R</w:t>
      </w:r>
      <w:r w:rsidR="00EA5E41" w:rsidRPr="00EA5E41">
        <w:rPr>
          <w:vertAlign w:val="subscript"/>
        </w:rPr>
        <w:t>bulldozing</w:t>
      </w:r>
      <w:proofErr w:type="spellEnd"/>
      <w:r w:rsidR="00EA5E41">
        <w:t xml:space="preserve">, </w:t>
      </w:r>
      <w:proofErr w:type="spellStart"/>
      <w:r w:rsidR="00EA5E41">
        <w:t>R</w:t>
      </w:r>
      <w:r w:rsidR="00EA5E41" w:rsidRPr="00EA5E41">
        <w:rPr>
          <w:vertAlign w:val="subscript"/>
        </w:rPr>
        <w:t>turning</w:t>
      </w:r>
      <w:proofErr w:type="spellEnd"/>
      <w:r w:rsidR="00EA5E41">
        <w:t xml:space="preserve">, </w:t>
      </w:r>
      <w:proofErr w:type="spellStart"/>
      <w:r w:rsidR="00EA5E41">
        <w:t>R</w:t>
      </w:r>
      <w:r w:rsidR="00EA5E41" w:rsidRPr="00EA5E41">
        <w:rPr>
          <w:vertAlign w:val="subscript"/>
        </w:rPr>
        <w:t>internal</w:t>
      </w:r>
      <w:proofErr w:type="spellEnd"/>
    </w:p>
    <w:p w14:paraId="5A39EFB7" w14:textId="77777777" w:rsidR="00D749FA" w:rsidRDefault="00D749FA">
      <w:pPr>
        <w:rPr>
          <w:b/>
          <w:bCs/>
        </w:rPr>
      </w:pPr>
    </w:p>
    <w:p w14:paraId="60EBB203" w14:textId="77777777" w:rsidR="00D749FA" w:rsidRDefault="00D749FA">
      <w:pPr>
        <w:rPr>
          <w:b/>
          <w:bCs/>
        </w:rPr>
      </w:pPr>
    </w:p>
    <w:p w14:paraId="30170AEE" w14:textId="7BAE186B" w:rsidR="003851E7" w:rsidRDefault="003851E7">
      <w:pPr>
        <w:rPr>
          <w:b/>
          <w:bCs/>
        </w:rPr>
      </w:pPr>
      <w:r w:rsidRPr="003851E7">
        <w:rPr>
          <w:b/>
          <w:bCs/>
        </w:rPr>
        <w:lastRenderedPageBreak/>
        <w:t>Q2.6</w:t>
      </w:r>
    </w:p>
    <w:p w14:paraId="754D8D9A" w14:textId="0CD6719B" w:rsidR="00D749FA" w:rsidRDefault="00D749FA">
      <w:proofErr w:type="spellStart"/>
      <w:r w:rsidRPr="00D749FA">
        <w:t>W</w:t>
      </w:r>
      <w:r w:rsidRPr="00D749FA">
        <w:rPr>
          <w:vertAlign w:val="subscript"/>
        </w:rPr>
        <w:t>gross</w:t>
      </w:r>
      <w:proofErr w:type="spellEnd"/>
      <w:r>
        <w:rPr>
          <w:vertAlign w:val="subscript"/>
        </w:rPr>
        <w:t xml:space="preserve"> </w:t>
      </w:r>
      <w:r>
        <w:t>= gross weight of vehicle</w:t>
      </w:r>
      <w:r>
        <w:br/>
        <w:t>n – number of wheels per axle</w:t>
      </w:r>
      <w:r>
        <w:br/>
        <w:t>m – total number of axles</w:t>
      </w:r>
      <w:r>
        <w:br/>
        <w:t>b – average unloaded tire width (in)</w:t>
      </w:r>
      <w:r>
        <w:br/>
        <w:t>d – average unloaded tire diameter (in)</w:t>
      </w:r>
      <w:r>
        <w:br/>
        <w:t>δ – average tire deflection (in)</w:t>
      </w:r>
    </w:p>
    <w:p w14:paraId="4904E813" w14:textId="5DB8A64A" w:rsidR="00210087" w:rsidRDefault="00210087" w:rsidP="005930BB">
      <w:pPr>
        <w:jc w:val="both"/>
      </w:pPr>
      <w:r>
        <w:t xml:space="preserve">A lower value of MMP indicates less sinkage, which means that there is better soil trafficability, movement speed and vehicle mobility. However, MMP alone does not </w:t>
      </w:r>
      <w:r w:rsidR="00551989">
        <w:t xml:space="preserve">fully </w:t>
      </w:r>
      <w:r>
        <w:t>quanti</w:t>
      </w:r>
      <w:r w:rsidR="00551989">
        <w:t>fy</w:t>
      </w:r>
      <w:r>
        <w:t xml:space="preserve"> a platform’s mobility over specific terrain types. This can be supplemented by information provided by the </w:t>
      </w:r>
      <w:r w:rsidR="0078661E" w:rsidRPr="0078661E">
        <w:rPr>
          <w:i/>
          <w:iCs/>
        </w:rPr>
        <w:t>Limiting Cone Index</w:t>
      </w:r>
      <w:r>
        <w:t>. The correlation of the MMP and CIL can be used to determine if the terrain is passable to a particular vehicle.</w:t>
      </w:r>
      <w:r w:rsidR="00921757">
        <w:t xml:space="preserve"> Nonetheless, I would choose the one with MMP = 40</w:t>
      </w:r>
      <w:r w:rsidR="00C859EF">
        <w:t xml:space="preserve"> if MMP were the only criteria to consider</w:t>
      </w:r>
      <w:r w:rsidR="00921757">
        <w:t>.</w:t>
      </w:r>
    </w:p>
    <w:p w14:paraId="2D4DD53D" w14:textId="75D17B6E" w:rsidR="00D749FA" w:rsidRDefault="00210087">
      <w:r w:rsidRPr="00891C87">
        <w:rPr>
          <w:sz w:val="16"/>
          <w:szCs w:val="14"/>
        </w:rPr>
        <w:t xml:space="preserve">Ref: Wong, Y. C. D., Lim H. H. S., Chan, W. Q. W (2016) An Assessment of Land Vehicles’ Trafficability. DSTA Horizons. Extracted 3 Oct 2020 from </w:t>
      </w:r>
      <w:hyperlink r:id="rId14" w:history="1">
        <w:r w:rsidR="00891C87" w:rsidRPr="00891C87">
          <w:rPr>
            <w:rStyle w:val="Hyperlink"/>
            <w:sz w:val="16"/>
            <w:szCs w:val="14"/>
          </w:rPr>
          <w:t>https://dsta.gov.sg/docs/default-source/dsta-about/an-assessment-of-land-vehicles-trafficability.pdf?sfvrsn=2</w:t>
        </w:r>
      </w:hyperlink>
      <w:r w:rsidR="00891C87" w:rsidRPr="00891C87">
        <w:rPr>
          <w:sz w:val="16"/>
          <w:szCs w:val="14"/>
        </w:rPr>
        <w:t xml:space="preserve"> </w:t>
      </w:r>
      <w:r w:rsidR="00D749FA">
        <w:br/>
      </w:r>
    </w:p>
    <w:p w14:paraId="007923F9" w14:textId="3F8A454F" w:rsidR="00EF3567" w:rsidRDefault="00EF3567">
      <w:pPr>
        <w:rPr>
          <w:b/>
          <w:bCs/>
        </w:rPr>
      </w:pPr>
      <w:r w:rsidRPr="00EF3567">
        <w:rPr>
          <w:b/>
          <w:bCs/>
        </w:rPr>
        <w:t>Q3</w:t>
      </w:r>
    </w:p>
    <w:p w14:paraId="36668701" w14:textId="77777777" w:rsidR="006E2FBB" w:rsidRDefault="00EF3567">
      <w:pPr>
        <w:rPr>
          <w:b/>
          <w:bCs/>
        </w:rPr>
      </w:pPr>
      <w:r>
        <w:rPr>
          <w:b/>
          <w:bCs/>
        </w:rPr>
        <w:t>3.1</w:t>
      </w:r>
    </w:p>
    <w:tbl>
      <w:tblPr>
        <w:tblStyle w:val="TableGrid"/>
        <w:tblW w:w="0" w:type="auto"/>
        <w:tblLook w:val="04A0" w:firstRow="1" w:lastRow="0" w:firstColumn="1" w:lastColumn="0" w:noHBand="0" w:noVBand="1"/>
      </w:tblPr>
      <w:tblGrid>
        <w:gridCol w:w="4508"/>
        <w:gridCol w:w="4508"/>
      </w:tblGrid>
      <w:tr w:rsidR="006E2FBB" w14:paraId="73E7A47C" w14:textId="77777777" w:rsidTr="006E2FBB">
        <w:tc>
          <w:tcPr>
            <w:tcW w:w="4508" w:type="dxa"/>
          </w:tcPr>
          <w:p w14:paraId="2C2B91B9" w14:textId="77777777" w:rsidR="006E2FBB" w:rsidRDefault="006E2FBB">
            <w:r w:rsidRPr="006E2FBB">
              <w:t>Skid</w:t>
            </w:r>
          </w:p>
          <w:p w14:paraId="05DFDE09" w14:textId="77777777" w:rsidR="006E2FBB" w:rsidRDefault="006E2FBB"/>
          <w:p w14:paraId="0AA5DBD7" w14:textId="77777777" w:rsidR="006E2FBB" w:rsidRDefault="006E2FBB"/>
          <w:p w14:paraId="5722101D" w14:textId="77777777" w:rsidR="006E2FBB" w:rsidRDefault="006E2FBB"/>
          <w:p w14:paraId="7E632263" w14:textId="77777777" w:rsidR="006E2FBB" w:rsidRDefault="006E2FBB"/>
          <w:p w14:paraId="12CA6FFA" w14:textId="50D1096B" w:rsidR="006E2FBB" w:rsidRPr="006E2FBB" w:rsidRDefault="006E2FBB"/>
        </w:tc>
        <w:tc>
          <w:tcPr>
            <w:tcW w:w="4508" w:type="dxa"/>
          </w:tcPr>
          <w:p w14:paraId="7B3679B2" w14:textId="40334720" w:rsidR="006E2FBB" w:rsidRPr="006E2FBB" w:rsidRDefault="006E2FBB">
            <w:r>
              <w:t>Articulated body</w:t>
            </w:r>
          </w:p>
        </w:tc>
      </w:tr>
      <w:tr w:rsidR="006E2FBB" w14:paraId="32217FB0" w14:textId="77777777" w:rsidTr="006E2FBB">
        <w:tc>
          <w:tcPr>
            <w:tcW w:w="4508" w:type="dxa"/>
          </w:tcPr>
          <w:p w14:paraId="4822E23B" w14:textId="77777777" w:rsidR="006E2FBB" w:rsidRDefault="006E2FBB">
            <w:r w:rsidRPr="006E2FBB">
              <w:t>Ackerman</w:t>
            </w:r>
          </w:p>
          <w:p w14:paraId="189E2EF2" w14:textId="177D9752" w:rsidR="006E2FBB" w:rsidRPr="006E2FBB" w:rsidRDefault="006E2FBB"/>
        </w:tc>
        <w:tc>
          <w:tcPr>
            <w:tcW w:w="4508" w:type="dxa"/>
          </w:tcPr>
          <w:p w14:paraId="756E6175" w14:textId="77777777" w:rsidR="006E2FBB" w:rsidRDefault="006E2FBB">
            <w:r>
              <w:t>Explicit (independent) wheel articulation</w:t>
            </w:r>
          </w:p>
          <w:p w14:paraId="0F239228" w14:textId="77777777" w:rsidR="006E2FBB" w:rsidRDefault="006E2FBB"/>
          <w:p w14:paraId="494F1DAB" w14:textId="77777777" w:rsidR="006E2FBB" w:rsidRDefault="006E2FBB"/>
          <w:p w14:paraId="489FC96D" w14:textId="77777777" w:rsidR="006E2FBB" w:rsidRDefault="006E2FBB"/>
          <w:p w14:paraId="3F5769AB" w14:textId="77777777" w:rsidR="006E2FBB" w:rsidRDefault="006E2FBB"/>
          <w:p w14:paraId="077BC42C" w14:textId="34FF406D" w:rsidR="006E2FBB" w:rsidRPr="006E2FBB" w:rsidRDefault="006E2FBB"/>
        </w:tc>
      </w:tr>
    </w:tbl>
    <w:p w14:paraId="3691CAFB" w14:textId="74107507" w:rsidR="00EF3567" w:rsidRDefault="00EF3567">
      <w:pPr>
        <w:rPr>
          <w:b/>
          <w:bCs/>
        </w:rPr>
      </w:pPr>
    </w:p>
    <w:p w14:paraId="7DD55D5D" w14:textId="60200037" w:rsidR="00EF3567" w:rsidRDefault="00EF3567">
      <w:pPr>
        <w:rPr>
          <w:b/>
          <w:bCs/>
        </w:rPr>
      </w:pPr>
      <w:r>
        <w:rPr>
          <w:b/>
          <w:bCs/>
        </w:rPr>
        <w:t>3.2</w:t>
      </w:r>
    </w:p>
    <w:tbl>
      <w:tblPr>
        <w:tblStyle w:val="TableGrid"/>
        <w:tblW w:w="0" w:type="auto"/>
        <w:tblLook w:val="04A0" w:firstRow="1" w:lastRow="0" w:firstColumn="1" w:lastColumn="0" w:noHBand="0" w:noVBand="1"/>
      </w:tblPr>
      <w:tblGrid>
        <w:gridCol w:w="4508"/>
        <w:gridCol w:w="4508"/>
      </w:tblGrid>
      <w:tr w:rsidR="00262675" w:rsidRPr="006E2FBB" w14:paraId="31B5E887" w14:textId="77777777" w:rsidTr="00E2772E">
        <w:tc>
          <w:tcPr>
            <w:tcW w:w="4508" w:type="dxa"/>
          </w:tcPr>
          <w:p w14:paraId="2295C024" w14:textId="77777777" w:rsidR="00262675" w:rsidRDefault="00262675" w:rsidP="00E2772E">
            <w:r w:rsidRPr="006E2FBB">
              <w:t>Skid</w:t>
            </w:r>
          </w:p>
          <w:p w14:paraId="65F8E55D" w14:textId="77777777" w:rsidR="00262675" w:rsidRDefault="00262675" w:rsidP="00E2772E"/>
          <w:p w14:paraId="18841B25" w14:textId="1D99F365" w:rsidR="00262675" w:rsidRDefault="00262675" w:rsidP="00E2772E">
            <w:r>
              <w:t>Advantage:</w:t>
            </w:r>
            <w:r>
              <w:br/>
              <w:t>Disadvantage:</w:t>
            </w:r>
          </w:p>
          <w:p w14:paraId="1F1225AC" w14:textId="77777777" w:rsidR="00262675" w:rsidRDefault="00262675" w:rsidP="00E2772E"/>
          <w:p w14:paraId="163BF90D" w14:textId="77777777" w:rsidR="00262675" w:rsidRDefault="00262675" w:rsidP="00E2772E"/>
          <w:p w14:paraId="15CE18BB" w14:textId="77777777" w:rsidR="00262675" w:rsidRPr="006E2FBB" w:rsidRDefault="00262675" w:rsidP="00E2772E"/>
        </w:tc>
        <w:tc>
          <w:tcPr>
            <w:tcW w:w="4508" w:type="dxa"/>
          </w:tcPr>
          <w:p w14:paraId="6F7DF86B" w14:textId="77777777" w:rsidR="00262675" w:rsidRDefault="00262675" w:rsidP="00E2772E">
            <w:r>
              <w:t>Articulated body</w:t>
            </w:r>
          </w:p>
          <w:p w14:paraId="55C0C9EC" w14:textId="77777777" w:rsidR="00262675" w:rsidRDefault="00262675" w:rsidP="00E2772E"/>
          <w:p w14:paraId="600F4364" w14:textId="77777777" w:rsidR="00262675" w:rsidRDefault="00262675" w:rsidP="00262675">
            <w:r>
              <w:t>Advantage:</w:t>
            </w:r>
            <w:r>
              <w:br/>
              <w:t>Disadvantage:</w:t>
            </w:r>
          </w:p>
          <w:p w14:paraId="1E976978" w14:textId="4EB01FCD" w:rsidR="00262675" w:rsidRPr="006E2FBB" w:rsidRDefault="00262675" w:rsidP="00E2772E"/>
        </w:tc>
      </w:tr>
      <w:tr w:rsidR="00262675" w:rsidRPr="006E2FBB" w14:paraId="537C9F41" w14:textId="77777777" w:rsidTr="00E2772E">
        <w:tc>
          <w:tcPr>
            <w:tcW w:w="4508" w:type="dxa"/>
          </w:tcPr>
          <w:p w14:paraId="2AA644E8" w14:textId="4499394E" w:rsidR="00262675" w:rsidRDefault="00262675" w:rsidP="00E2772E">
            <w:r w:rsidRPr="006E2FBB">
              <w:t>Ackerman</w:t>
            </w:r>
          </w:p>
          <w:p w14:paraId="45384758" w14:textId="1B15C4ED" w:rsidR="00262675" w:rsidRDefault="00262675" w:rsidP="00E2772E"/>
          <w:p w14:paraId="3736C595" w14:textId="77777777" w:rsidR="00262675" w:rsidRDefault="00262675" w:rsidP="00262675">
            <w:r>
              <w:lastRenderedPageBreak/>
              <w:t>Advantage:</w:t>
            </w:r>
            <w:r>
              <w:br/>
              <w:t>Disadvantage:</w:t>
            </w:r>
          </w:p>
          <w:p w14:paraId="2D30764A" w14:textId="77777777" w:rsidR="00262675" w:rsidRDefault="00262675" w:rsidP="00E2772E"/>
          <w:p w14:paraId="47AE4528" w14:textId="77777777" w:rsidR="00262675" w:rsidRPr="006E2FBB" w:rsidRDefault="00262675" w:rsidP="00E2772E"/>
        </w:tc>
        <w:tc>
          <w:tcPr>
            <w:tcW w:w="4508" w:type="dxa"/>
          </w:tcPr>
          <w:p w14:paraId="039FF750" w14:textId="4B46B0A8" w:rsidR="00262675" w:rsidRDefault="00262675" w:rsidP="00E2772E">
            <w:r>
              <w:lastRenderedPageBreak/>
              <w:t>Explicit (independent) wheel articulation</w:t>
            </w:r>
          </w:p>
          <w:p w14:paraId="71F3FA77" w14:textId="37DC947A" w:rsidR="00262675" w:rsidRDefault="00262675" w:rsidP="00E2772E"/>
          <w:p w14:paraId="34F10F6E" w14:textId="77777777" w:rsidR="00262675" w:rsidRDefault="00262675" w:rsidP="00262675">
            <w:r>
              <w:t>Advantage:</w:t>
            </w:r>
            <w:r>
              <w:br/>
              <w:t>Disadvantage:</w:t>
            </w:r>
          </w:p>
          <w:p w14:paraId="2438DFDE" w14:textId="77777777" w:rsidR="00262675" w:rsidRDefault="00262675" w:rsidP="00E2772E"/>
          <w:p w14:paraId="2ADF5B21" w14:textId="77777777" w:rsidR="00262675" w:rsidRDefault="00262675" w:rsidP="00E2772E"/>
          <w:p w14:paraId="55B7DB20" w14:textId="77777777" w:rsidR="00262675" w:rsidRDefault="00262675" w:rsidP="00E2772E"/>
          <w:p w14:paraId="095E482C" w14:textId="77777777" w:rsidR="00262675" w:rsidRDefault="00262675" w:rsidP="00E2772E"/>
          <w:p w14:paraId="010388E5" w14:textId="77777777" w:rsidR="00262675" w:rsidRDefault="00262675" w:rsidP="00E2772E"/>
          <w:p w14:paraId="7FA7628C" w14:textId="77777777" w:rsidR="00262675" w:rsidRPr="006E2FBB" w:rsidRDefault="00262675" w:rsidP="00E2772E"/>
        </w:tc>
      </w:tr>
    </w:tbl>
    <w:p w14:paraId="4669B3B5" w14:textId="77777777" w:rsidR="00740542" w:rsidRPr="00740542" w:rsidRDefault="00740542"/>
    <w:p w14:paraId="3D84D525" w14:textId="08C15BD4" w:rsidR="00EF3567" w:rsidRPr="00887614" w:rsidRDefault="00887614">
      <w:r>
        <w:rPr>
          <w:b/>
          <w:bCs/>
        </w:rPr>
        <w:t>Q</w:t>
      </w:r>
      <w:r w:rsidR="00EF3567">
        <w:rPr>
          <w:b/>
          <w:bCs/>
        </w:rPr>
        <w:t>3.3</w:t>
      </w:r>
      <w:r>
        <w:rPr>
          <w:b/>
          <w:bCs/>
        </w:rPr>
        <w:br/>
      </w:r>
      <w:r>
        <w:t xml:space="preserve">Semi-active suspension over </w:t>
      </w:r>
      <w:r>
        <w:br/>
        <w:t xml:space="preserve">Passive suspension </w:t>
      </w:r>
    </w:p>
    <w:sectPr w:rsidR="00EF3567" w:rsidRPr="00887614">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83574" w14:textId="77777777" w:rsidR="00075B75" w:rsidRDefault="00075B75" w:rsidP="00FC6287">
      <w:pPr>
        <w:spacing w:after="0" w:line="240" w:lineRule="auto"/>
      </w:pPr>
      <w:r>
        <w:separator/>
      </w:r>
    </w:p>
  </w:endnote>
  <w:endnote w:type="continuationSeparator" w:id="0">
    <w:p w14:paraId="183C8988" w14:textId="77777777" w:rsidR="00075B75" w:rsidRDefault="00075B75" w:rsidP="00FC6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E0DAE4" w14:textId="77777777" w:rsidR="00075B75" w:rsidRDefault="00075B75" w:rsidP="00FC6287">
      <w:pPr>
        <w:spacing w:after="0" w:line="240" w:lineRule="auto"/>
      </w:pPr>
      <w:r>
        <w:separator/>
      </w:r>
    </w:p>
  </w:footnote>
  <w:footnote w:type="continuationSeparator" w:id="0">
    <w:p w14:paraId="1C1EDAF9" w14:textId="77777777" w:rsidR="00075B75" w:rsidRDefault="00075B75" w:rsidP="00FC6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C939D" w14:textId="6C13649F" w:rsidR="00FC6287" w:rsidRDefault="00FC6287" w:rsidP="00FC6287">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16-665 Robot Mobility</w:t>
    </w:r>
    <w:r>
      <w:rPr>
        <w:rFonts w:asciiTheme="majorHAnsi" w:eastAsiaTheme="majorEastAsia" w:hAnsiTheme="majorHAnsi" w:cstheme="majorBidi"/>
        <w:color w:val="2F5496" w:themeColor="accent1" w:themeShade="BF"/>
        <w:sz w:val="26"/>
        <w:szCs w:val="26"/>
      </w:rPr>
      <w:tab/>
    </w:r>
    <w:r>
      <w:rPr>
        <w:rFonts w:asciiTheme="majorHAnsi" w:eastAsiaTheme="majorEastAsia" w:hAnsiTheme="majorHAnsi" w:cstheme="majorBidi"/>
        <w:color w:val="2F5496" w:themeColor="accent1" w:themeShade="BF"/>
        <w:sz w:val="26"/>
        <w:szCs w:val="26"/>
      </w:rPr>
      <w:tab/>
    </w:r>
    <w:r>
      <w:rPr>
        <w:rFonts w:asciiTheme="majorHAnsi" w:eastAsiaTheme="majorEastAsia" w:hAnsiTheme="majorHAnsi" w:cstheme="majorBidi"/>
        <w:color w:val="2F5496" w:themeColor="accent1" w:themeShade="BF"/>
        <w:sz w:val="26"/>
        <w:szCs w:val="26"/>
      </w:rPr>
      <w:tab/>
    </w:r>
    <w:r>
      <w:rPr>
        <w:rFonts w:asciiTheme="majorHAnsi" w:eastAsiaTheme="majorEastAsia" w:hAnsiTheme="majorHAnsi" w:cstheme="majorBidi"/>
        <w:color w:val="2F5496" w:themeColor="accent1" w:themeShade="BF"/>
        <w:sz w:val="26"/>
        <w:szCs w:val="26"/>
      </w:rPr>
      <w:tab/>
    </w:r>
    <w:r>
      <w:rPr>
        <w:rFonts w:asciiTheme="majorHAnsi" w:eastAsiaTheme="majorEastAsia" w:hAnsiTheme="majorHAnsi" w:cstheme="majorBidi"/>
        <w:color w:val="2F5496" w:themeColor="accent1" w:themeShade="BF"/>
        <w:sz w:val="26"/>
        <w:szCs w:val="26"/>
      </w:rPr>
      <w:tab/>
    </w:r>
    <w:r>
      <w:rPr>
        <w:rFonts w:asciiTheme="majorHAnsi" w:eastAsiaTheme="majorEastAsia" w:hAnsiTheme="majorHAnsi" w:cstheme="majorBidi"/>
        <w:color w:val="2F5496" w:themeColor="accent1" w:themeShade="BF"/>
        <w:sz w:val="26"/>
        <w:szCs w:val="26"/>
      </w:rPr>
      <w:tab/>
      <w:t>David Wong (DBWONG)</w:t>
    </w:r>
  </w:p>
  <w:p w14:paraId="3F081B27" w14:textId="73DA2700" w:rsidR="00FC6287" w:rsidRDefault="00FC6287" w:rsidP="00FC6287">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Assignment 1</w:t>
    </w:r>
    <w:r w:rsidR="00AA6EC0">
      <w:rPr>
        <w:rFonts w:asciiTheme="majorHAnsi" w:eastAsiaTheme="majorEastAsia" w:hAnsiTheme="majorHAnsi" w:cstheme="majorBidi"/>
        <w:color w:val="2F5496" w:themeColor="accent1" w:themeShade="BF"/>
        <w:sz w:val="26"/>
        <w:szCs w:val="26"/>
      </w:rPr>
      <w:tab/>
    </w:r>
    <w:r w:rsidR="00AA6EC0">
      <w:rPr>
        <w:rFonts w:asciiTheme="majorHAnsi" w:eastAsiaTheme="majorEastAsia" w:hAnsiTheme="majorHAnsi" w:cstheme="majorBidi"/>
        <w:color w:val="2F5496" w:themeColor="accent1" w:themeShade="BF"/>
        <w:sz w:val="26"/>
        <w:szCs w:val="26"/>
      </w:rPr>
      <w:tab/>
    </w:r>
    <w:r w:rsidR="00AA6EC0">
      <w:rPr>
        <w:rFonts w:asciiTheme="majorHAnsi" w:eastAsiaTheme="majorEastAsia" w:hAnsiTheme="majorHAnsi" w:cstheme="majorBidi"/>
        <w:color w:val="2F5496" w:themeColor="accent1" w:themeShade="BF"/>
        <w:sz w:val="26"/>
        <w:szCs w:val="26"/>
      </w:rPr>
      <w:tab/>
    </w:r>
    <w:r w:rsidR="00AA6EC0">
      <w:rPr>
        <w:rFonts w:asciiTheme="majorHAnsi" w:eastAsiaTheme="majorEastAsia" w:hAnsiTheme="majorHAnsi" w:cstheme="majorBidi"/>
        <w:color w:val="2F5496" w:themeColor="accent1" w:themeShade="BF"/>
        <w:sz w:val="26"/>
        <w:szCs w:val="26"/>
      </w:rPr>
      <w:tab/>
    </w:r>
    <w:r w:rsidR="00AA6EC0">
      <w:rPr>
        <w:rFonts w:asciiTheme="majorHAnsi" w:eastAsiaTheme="majorEastAsia" w:hAnsiTheme="majorHAnsi" w:cstheme="majorBidi"/>
        <w:color w:val="2F5496" w:themeColor="accent1" w:themeShade="BF"/>
        <w:sz w:val="26"/>
        <w:szCs w:val="26"/>
      </w:rPr>
      <w:tab/>
    </w:r>
    <w:r w:rsidR="00AA6EC0">
      <w:rPr>
        <w:rFonts w:asciiTheme="majorHAnsi" w:eastAsiaTheme="majorEastAsia" w:hAnsiTheme="majorHAnsi" w:cstheme="majorBidi"/>
        <w:color w:val="2F5496" w:themeColor="accent1" w:themeShade="BF"/>
        <w:sz w:val="26"/>
        <w:szCs w:val="26"/>
      </w:rPr>
      <w:tab/>
      <w:t>CMU MRSD</w:t>
    </w:r>
  </w:p>
  <w:p w14:paraId="1317279C" w14:textId="77777777" w:rsidR="005820EF" w:rsidRDefault="005820EF" w:rsidP="00FC6287">
    <w:pPr>
      <w:pBdr>
        <w:left w:val="single" w:sz="12" w:space="11" w:color="4472C4" w:themeColor="accent1"/>
      </w:pBdr>
      <w:tabs>
        <w:tab w:val="left" w:pos="3620"/>
        <w:tab w:val="left" w:pos="3964"/>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9D15A9"/>
    <w:multiLevelType w:val="hybridMultilevel"/>
    <w:tmpl w:val="7A4E9008"/>
    <w:lvl w:ilvl="0" w:tplc="8FF2B8E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87"/>
    <w:rsid w:val="00052202"/>
    <w:rsid w:val="00075B75"/>
    <w:rsid w:val="00103490"/>
    <w:rsid w:val="00113590"/>
    <w:rsid w:val="001241D6"/>
    <w:rsid w:val="001C3BDA"/>
    <w:rsid w:val="001D4C81"/>
    <w:rsid w:val="00210087"/>
    <w:rsid w:val="00244EAF"/>
    <w:rsid w:val="00262675"/>
    <w:rsid w:val="00275F7F"/>
    <w:rsid w:val="00280F1A"/>
    <w:rsid w:val="002D4B01"/>
    <w:rsid w:val="003851E7"/>
    <w:rsid w:val="00434E76"/>
    <w:rsid w:val="00485A00"/>
    <w:rsid w:val="004C609C"/>
    <w:rsid w:val="00505F84"/>
    <w:rsid w:val="00551989"/>
    <w:rsid w:val="005528BD"/>
    <w:rsid w:val="005820EF"/>
    <w:rsid w:val="005930BB"/>
    <w:rsid w:val="006801CD"/>
    <w:rsid w:val="006E2FBB"/>
    <w:rsid w:val="006F5995"/>
    <w:rsid w:val="00740542"/>
    <w:rsid w:val="0078661E"/>
    <w:rsid w:val="00860EDE"/>
    <w:rsid w:val="00887614"/>
    <w:rsid w:val="00891C87"/>
    <w:rsid w:val="008A5BA8"/>
    <w:rsid w:val="008B15BD"/>
    <w:rsid w:val="008B742F"/>
    <w:rsid w:val="00921757"/>
    <w:rsid w:val="00946E3C"/>
    <w:rsid w:val="00953CC6"/>
    <w:rsid w:val="009A457F"/>
    <w:rsid w:val="00A34906"/>
    <w:rsid w:val="00AA6EC0"/>
    <w:rsid w:val="00BB0B7C"/>
    <w:rsid w:val="00BC7BD2"/>
    <w:rsid w:val="00C859EF"/>
    <w:rsid w:val="00CE0D8D"/>
    <w:rsid w:val="00D749FA"/>
    <w:rsid w:val="00EA5E41"/>
    <w:rsid w:val="00EF3567"/>
    <w:rsid w:val="00FC6287"/>
    <w:rsid w:val="00FD4E4F"/>
    <w:rsid w:val="00FF3E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CB572"/>
  <w15:chartTrackingRefBased/>
  <w15:docId w15:val="{8C889EF5-9D57-4AFB-B125-07FF9D4A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eorgia"/>
    <w:qFormat/>
    <w:rsid w:val="00AA6EC0"/>
    <w:rPr>
      <w:rFonts w:ascii="Georgia" w:hAnsi="Georgi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62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287"/>
  </w:style>
  <w:style w:type="paragraph" w:styleId="Footer">
    <w:name w:val="footer"/>
    <w:basedOn w:val="Normal"/>
    <w:link w:val="FooterChar"/>
    <w:uiPriority w:val="99"/>
    <w:unhideWhenUsed/>
    <w:rsid w:val="00FC62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287"/>
  </w:style>
  <w:style w:type="character" w:styleId="PlaceholderText">
    <w:name w:val="Placeholder Text"/>
    <w:basedOn w:val="DefaultParagraphFont"/>
    <w:uiPriority w:val="99"/>
    <w:semiHidden/>
    <w:rsid w:val="002D4B01"/>
    <w:rPr>
      <w:color w:val="808080"/>
    </w:rPr>
  </w:style>
  <w:style w:type="paragraph" w:styleId="ListParagraph">
    <w:name w:val="List Paragraph"/>
    <w:basedOn w:val="Normal"/>
    <w:uiPriority w:val="34"/>
    <w:qFormat/>
    <w:rsid w:val="006801CD"/>
    <w:pPr>
      <w:ind w:left="720"/>
      <w:contextualSpacing/>
    </w:pPr>
  </w:style>
  <w:style w:type="character" w:styleId="Hyperlink">
    <w:name w:val="Hyperlink"/>
    <w:basedOn w:val="DefaultParagraphFont"/>
    <w:uiPriority w:val="99"/>
    <w:unhideWhenUsed/>
    <w:rsid w:val="003851E7"/>
    <w:rPr>
      <w:color w:val="0563C1" w:themeColor="hyperlink"/>
      <w:u w:val="single"/>
    </w:rPr>
  </w:style>
  <w:style w:type="character" w:styleId="UnresolvedMention">
    <w:name w:val="Unresolved Mention"/>
    <w:basedOn w:val="DefaultParagraphFont"/>
    <w:uiPriority w:val="99"/>
    <w:semiHidden/>
    <w:unhideWhenUsed/>
    <w:rsid w:val="003851E7"/>
    <w:rPr>
      <w:color w:val="605E5C"/>
      <w:shd w:val="clear" w:color="auto" w:fill="E1DFDD"/>
    </w:rPr>
  </w:style>
  <w:style w:type="table" w:styleId="TableGrid">
    <w:name w:val="Table Grid"/>
    <w:basedOn w:val="TableNormal"/>
    <w:uiPriority w:val="39"/>
    <w:rsid w:val="006E2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dtic.mil/dtic/tr/fulltext/u2/a45795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sta.gov.sg/docs/default-source/dsta-about/an-assessment-of-land-vehicles-trafficability.pdf?sfvrs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78AB9-B9E6-47DF-A0DE-A2CB53F1C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wong</dc:creator>
  <cp:keywords/>
  <dc:description/>
  <cp:lastModifiedBy>david wong</cp:lastModifiedBy>
  <cp:revision>30</cp:revision>
  <dcterms:created xsi:type="dcterms:W3CDTF">2020-10-02T08:40:00Z</dcterms:created>
  <dcterms:modified xsi:type="dcterms:W3CDTF">2020-10-02T16:45:00Z</dcterms:modified>
</cp:coreProperties>
</file>