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02F7" w:rsidRDefault="00D37FB4">
      <w:pPr>
        <w:spacing w:before="0" w:after="0" w:line="400" w:lineRule="exact"/>
        <w:rPr>
          <w:rFonts w:ascii="仿宋" w:eastAsia="仿宋" w:hAnsi="仿宋" w:cs="仿宋"/>
          <w:b/>
          <w:sz w:val="24"/>
        </w:rPr>
      </w:pPr>
      <w:r>
        <w:rPr>
          <w:rFonts w:ascii="仿宋" w:eastAsia="仿宋" w:hAnsi="仿宋" w:cs="仿宋" w:hint="eastAsia"/>
          <w:b/>
          <w:sz w:val="24"/>
        </w:rPr>
        <w:t>题目：</w:t>
      </w:r>
    </w:p>
    <w:p w:rsidR="00830CE3" w:rsidRDefault="00B602F7">
      <w:pPr>
        <w:spacing w:before="0" w:after="0" w:line="400" w:lineRule="exact"/>
        <w:rPr>
          <w:rFonts w:hint="eastAsia"/>
        </w:rPr>
      </w:pPr>
      <w:r>
        <w:rPr>
          <w:rFonts w:ascii="仿宋" w:eastAsia="仿宋" w:hAnsi="仿宋" w:cs="仿宋" w:hint="eastAsia"/>
          <w:b/>
          <w:sz w:val="24"/>
        </w:rPr>
        <w:t>一、</w:t>
      </w:r>
      <w:r w:rsidR="00000000">
        <w:rPr>
          <w:rFonts w:ascii="仿宋" w:eastAsia="仿宋" w:hAnsi="仿宋" w:cs="仿宋"/>
          <w:b/>
          <w:sz w:val="24"/>
        </w:rPr>
        <w:t>关联物联网平台及</w:t>
      </w:r>
      <w:proofErr w:type="spellStart"/>
      <w:r w:rsidR="00000000">
        <w:rPr>
          <w:rFonts w:ascii="仿宋" w:eastAsia="仿宋" w:hAnsi="仿宋" w:cs="仿宋"/>
          <w:b/>
          <w:sz w:val="24"/>
        </w:rPr>
        <w:t>ipark</w:t>
      </w:r>
      <w:proofErr w:type="spellEnd"/>
      <w:r w:rsidR="00000000">
        <w:rPr>
          <w:rFonts w:ascii="仿宋" w:eastAsia="仿宋" w:hAnsi="仿宋" w:cs="仿宋"/>
          <w:b/>
          <w:sz w:val="24"/>
        </w:rPr>
        <w:t>成果</w:t>
      </w:r>
    </w:p>
    <w:p w:rsidR="00830CE3" w:rsidRDefault="00000000">
      <w:pPr>
        <w:spacing w:before="0" w:after="0" w:line="400" w:lineRule="exact"/>
      </w:pPr>
      <w:r>
        <w:rPr>
          <w:rFonts w:ascii="仿宋" w:eastAsia="仿宋" w:hAnsi="仿宋" w:cs="仿宋"/>
          <w:b/>
          <w:sz w:val="24"/>
        </w:rPr>
        <w:t>外网环境下操作：</w:t>
      </w:r>
    </w:p>
    <w:p w:rsidR="00830CE3" w:rsidRDefault="00000000">
      <w:r>
        <w:rPr>
          <w:rFonts w:ascii="仿宋" w:eastAsia="仿宋" w:hAnsi="仿宋" w:cs="仿宋"/>
          <w:b/>
          <w:sz w:val="24"/>
        </w:rPr>
        <w:t>题目描述：</w:t>
      </w:r>
      <w:r>
        <w:rPr>
          <w:rFonts w:ascii="仿宋" w:eastAsia="仿宋" w:hAnsi="仿宋" w:cs="仿宋"/>
          <w:sz w:val="24"/>
        </w:rPr>
        <w:t>基于</w:t>
      </w:r>
      <w:proofErr w:type="spellStart"/>
      <w:r>
        <w:rPr>
          <w:rFonts w:ascii="仿宋" w:eastAsia="仿宋" w:hAnsi="仿宋" w:cs="仿宋"/>
          <w:sz w:val="24"/>
        </w:rPr>
        <w:t>i</w:t>
      </w:r>
      <w:proofErr w:type="spellEnd"/>
      <w:r>
        <w:rPr>
          <w:rFonts w:ascii="仿宋" w:eastAsia="仿宋" w:hAnsi="仿宋" w:cs="仿宋"/>
          <w:sz w:val="24"/>
        </w:rPr>
        <w:t>-Park开放的API接口，实现数据采集与展示、设备状态管理、告警展示或统计、视频监控、人员通行或考勤等功能模块。</w:t>
      </w:r>
    </w:p>
    <w:p w:rsidR="00830CE3" w:rsidRDefault="00000000">
      <w:r>
        <w:rPr>
          <w:rFonts w:ascii="仿宋" w:eastAsia="仿宋" w:hAnsi="仿宋" w:cs="仿宋"/>
          <w:b/>
          <w:sz w:val="24"/>
        </w:rPr>
        <w:t>评分标准：</w:t>
      </w:r>
      <w:r>
        <w:rPr>
          <w:rFonts w:ascii="仿宋" w:eastAsia="仿宋" w:hAnsi="仿宋" w:cs="仿宋"/>
          <w:sz w:val="24"/>
        </w:rPr>
        <w:t>（需要标明客观分与主观分）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65"/>
        <w:gridCol w:w="5850"/>
        <w:gridCol w:w="1410"/>
      </w:tblGrid>
      <w:tr w:rsidR="00830CE3">
        <w:trPr>
          <w:trHeight w:val="359"/>
        </w:trPr>
        <w:tc>
          <w:tcPr>
            <w:tcW w:w="136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0CE3" w:rsidRDefault="00000000">
            <w:r>
              <w:rPr>
                <w:rFonts w:ascii="仿宋" w:eastAsia="仿宋" w:hAnsi="仿宋" w:cs="仿宋"/>
                <w:b/>
              </w:rPr>
              <w:t>类型</w:t>
            </w:r>
          </w:p>
        </w:tc>
        <w:tc>
          <w:tcPr>
            <w:tcW w:w="585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0CE3" w:rsidRDefault="00000000">
            <w:r>
              <w:rPr>
                <w:rFonts w:ascii="仿宋" w:eastAsia="仿宋" w:hAnsi="仿宋" w:cs="仿宋"/>
                <w:b/>
              </w:rPr>
              <w:t>考察项</w:t>
            </w:r>
          </w:p>
        </w:tc>
        <w:tc>
          <w:tcPr>
            <w:tcW w:w="141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0CE3" w:rsidRDefault="00000000">
            <w:r>
              <w:rPr>
                <w:rFonts w:ascii="仿宋" w:eastAsia="仿宋" w:hAnsi="仿宋" w:cs="仿宋"/>
                <w:b/>
              </w:rPr>
              <w:t>分值配比（百分制）</w:t>
            </w:r>
          </w:p>
        </w:tc>
      </w:tr>
      <w:tr w:rsidR="00830CE3">
        <w:trPr>
          <w:trHeight w:val="359"/>
        </w:trPr>
        <w:tc>
          <w:tcPr>
            <w:tcW w:w="1365" w:type="dxa"/>
            <w:vMerge w:val="restart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0CE3" w:rsidRDefault="00000000">
            <w:r>
              <w:rPr>
                <w:rFonts w:ascii="仿宋" w:eastAsia="仿宋" w:hAnsi="仿宋" w:cs="仿宋"/>
              </w:rPr>
              <w:t>客观分</w:t>
            </w:r>
          </w:p>
        </w:tc>
        <w:tc>
          <w:tcPr>
            <w:tcW w:w="585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0CE3" w:rsidRDefault="00000000">
            <w:r>
              <w:rPr>
                <w:rFonts w:ascii="仿宋" w:eastAsia="仿宋" w:hAnsi="仿宋" w:cs="仿宋"/>
              </w:rPr>
              <w:t>平台基础数据配置</w:t>
            </w:r>
          </w:p>
        </w:tc>
        <w:tc>
          <w:tcPr>
            <w:tcW w:w="141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0CE3" w:rsidRDefault="005059DF">
            <w:r>
              <w:rPr>
                <w:rFonts w:ascii="仿宋" w:eastAsia="仿宋" w:hAnsi="仿宋" w:cs="仿宋"/>
              </w:rPr>
              <w:t>1</w:t>
            </w:r>
            <w:r w:rsidR="00000000">
              <w:rPr>
                <w:rFonts w:ascii="仿宋" w:eastAsia="仿宋" w:hAnsi="仿宋" w:cs="仿宋"/>
              </w:rPr>
              <w:t>0</w:t>
            </w:r>
          </w:p>
        </w:tc>
      </w:tr>
      <w:tr w:rsidR="00830CE3">
        <w:trPr>
          <w:trHeight w:val="359"/>
        </w:trPr>
        <w:tc>
          <w:tcPr>
            <w:tcW w:w="1365" w:type="dxa"/>
            <w:vMerge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0CE3" w:rsidRDefault="00830CE3">
            <w:pPr>
              <w:snapToGrid/>
            </w:pPr>
          </w:p>
        </w:tc>
        <w:tc>
          <w:tcPr>
            <w:tcW w:w="585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0CE3" w:rsidRDefault="00000000">
            <w:r>
              <w:rPr>
                <w:rFonts w:ascii="仿宋" w:eastAsia="仿宋" w:hAnsi="仿宋" w:cs="仿宋"/>
              </w:rPr>
              <w:t>完成消息订阅以及消息接收</w:t>
            </w:r>
          </w:p>
        </w:tc>
        <w:tc>
          <w:tcPr>
            <w:tcW w:w="141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0CE3" w:rsidRDefault="00005360">
            <w:r>
              <w:rPr>
                <w:rFonts w:ascii="仿宋" w:eastAsia="仿宋" w:hAnsi="仿宋" w:cs="仿宋"/>
              </w:rPr>
              <w:t>2</w:t>
            </w:r>
            <w:r w:rsidR="00000000">
              <w:rPr>
                <w:rFonts w:ascii="仿宋" w:eastAsia="仿宋" w:hAnsi="仿宋" w:cs="仿宋"/>
              </w:rPr>
              <w:t>0</w:t>
            </w:r>
          </w:p>
        </w:tc>
      </w:tr>
      <w:tr w:rsidR="00830CE3">
        <w:trPr>
          <w:trHeight w:val="359"/>
        </w:trPr>
        <w:tc>
          <w:tcPr>
            <w:tcW w:w="1365" w:type="dxa"/>
            <w:vMerge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0CE3" w:rsidRDefault="00830CE3">
            <w:pPr>
              <w:snapToGrid/>
            </w:pPr>
          </w:p>
        </w:tc>
        <w:tc>
          <w:tcPr>
            <w:tcW w:w="585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0CE3" w:rsidRDefault="00000000">
            <w:r>
              <w:rPr>
                <w:rFonts w:ascii="仿宋" w:eastAsia="仿宋" w:hAnsi="仿宋" w:cs="仿宋"/>
              </w:rPr>
              <w:t>完成数据展示与分析功能</w:t>
            </w:r>
          </w:p>
        </w:tc>
        <w:tc>
          <w:tcPr>
            <w:tcW w:w="141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0CE3" w:rsidRDefault="00000000">
            <w:r>
              <w:rPr>
                <w:rFonts w:ascii="仿宋" w:eastAsia="仿宋" w:hAnsi="仿宋" w:cs="仿宋"/>
              </w:rPr>
              <w:t>20</w:t>
            </w:r>
          </w:p>
        </w:tc>
      </w:tr>
      <w:tr w:rsidR="00830CE3">
        <w:trPr>
          <w:trHeight w:val="359"/>
        </w:trPr>
        <w:tc>
          <w:tcPr>
            <w:tcW w:w="1365" w:type="dxa"/>
            <w:vMerge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0CE3" w:rsidRDefault="00830CE3">
            <w:pPr>
              <w:snapToGrid/>
            </w:pPr>
          </w:p>
        </w:tc>
        <w:tc>
          <w:tcPr>
            <w:tcW w:w="585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0CE3" w:rsidRDefault="00000000">
            <w:r>
              <w:rPr>
                <w:rFonts w:ascii="仿宋" w:eastAsia="仿宋" w:hAnsi="仿宋" w:cs="仿宋"/>
              </w:rPr>
              <w:t>完成系统数据库表模型设计</w:t>
            </w:r>
          </w:p>
        </w:tc>
        <w:tc>
          <w:tcPr>
            <w:tcW w:w="141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0CE3" w:rsidRDefault="005059DF">
            <w:r>
              <w:rPr>
                <w:rFonts w:ascii="仿宋" w:eastAsia="仿宋" w:hAnsi="仿宋" w:cs="仿宋"/>
              </w:rPr>
              <w:t>1</w:t>
            </w:r>
            <w:r w:rsidR="00000000">
              <w:rPr>
                <w:rFonts w:ascii="仿宋" w:eastAsia="仿宋" w:hAnsi="仿宋" w:cs="仿宋"/>
              </w:rPr>
              <w:t>0</w:t>
            </w:r>
          </w:p>
        </w:tc>
      </w:tr>
    </w:tbl>
    <w:p w:rsidR="00830CE3" w:rsidRDefault="00000000">
      <w:r>
        <w:rPr>
          <w:rFonts w:eastAsia="Times New Roman"/>
        </w:rPr>
        <w:t> </w:t>
      </w:r>
    </w:p>
    <w:p w:rsidR="00830CE3" w:rsidRDefault="00000000">
      <w:r>
        <w:rPr>
          <w:rFonts w:ascii="仿宋" w:eastAsia="仿宋" w:hAnsi="仿宋" w:cs="仿宋"/>
          <w:b/>
          <w:sz w:val="24"/>
        </w:rPr>
        <w:t>外网环境需要放通地址（SASE方式）：</w:t>
      </w:r>
    </w:p>
    <w:p w:rsidR="00830CE3" w:rsidRDefault="00000000">
      <w:r>
        <w:rPr>
          <w:rFonts w:ascii="仿宋" w:eastAsia="仿宋" w:hAnsi="仿宋" w:cs="仿宋"/>
          <w:sz w:val="24"/>
        </w:rPr>
        <w:t>消息推送http协议服务地址：121.204.152.122</w:t>
      </w:r>
    </w:p>
    <w:p w:rsidR="00830CE3" w:rsidRDefault="00000000">
      <w:r>
        <w:rPr>
          <w:rFonts w:ascii="仿宋" w:eastAsia="仿宋" w:hAnsi="仿宋" w:cs="仿宋"/>
          <w:sz w:val="24"/>
        </w:rPr>
        <w:t>API调用服务地址：121.204.152.122</w:t>
      </w:r>
    </w:p>
    <w:p w:rsidR="00830CE3" w:rsidRDefault="00000000">
      <w:r>
        <w:rPr>
          <w:rFonts w:ascii="仿宋" w:eastAsia="仿宋" w:hAnsi="仿宋" w:cs="仿宋"/>
          <w:sz w:val="24"/>
        </w:rPr>
        <w:t>服务地址：http://121.204.152.122:8009/</w:t>
      </w:r>
    </w:p>
    <w:p w:rsidR="00830CE3" w:rsidRDefault="00000000">
      <w:r>
        <w:rPr>
          <w:rFonts w:eastAsia="Times New Roman"/>
        </w:rPr>
        <w:t> </w:t>
      </w:r>
    </w:p>
    <w:p w:rsidR="00830CE3" w:rsidRDefault="00000000">
      <w:r>
        <w:rPr>
          <w:rFonts w:ascii="仿宋" w:eastAsia="仿宋" w:hAnsi="仿宋" w:cs="仿宋"/>
          <w:b/>
          <w:sz w:val="24"/>
        </w:rPr>
        <w:t>虚机要求：不涉及</w:t>
      </w:r>
    </w:p>
    <w:p w:rsidR="00830CE3" w:rsidRDefault="00000000">
      <w:r>
        <w:rPr>
          <w:rFonts w:ascii="仿宋" w:eastAsia="仿宋" w:hAnsi="仿宋" w:cs="仿宋"/>
          <w:b/>
          <w:sz w:val="24"/>
        </w:rPr>
        <w:t>中间件要求：团队根据自己开发习惯自行准备</w:t>
      </w:r>
    </w:p>
    <w:p w:rsidR="00830CE3" w:rsidRDefault="00000000">
      <w:r>
        <w:rPr>
          <w:rFonts w:ascii="仿宋" w:eastAsia="仿宋" w:hAnsi="仿宋" w:cs="仿宋"/>
          <w:b/>
          <w:sz w:val="24"/>
        </w:rPr>
        <w:t>SDK提供：不涉及</w:t>
      </w:r>
    </w:p>
    <w:p w:rsidR="00830CE3" w:rsidRDefault="00000000">
      <w:r>
        <w:rPr>
          <w:rFonts w:eastAsia="Times New Roman"/>
        </w:rPr>
        <w:t> </w:t>
      </w:r>
    </w:p>
    <w:p w:rsidR="00830CE3" w:rsidRDefault="00830CE3">
      <w:pPr>
        <w:snapToGrid/>
      </w:pPr>
    </w:p>
    <w:p w:rsidR="00830CE3" w:rsidRDefault="00000000">
      <w:r>
        <w:rPr>
          <w:rFonts w:eastAsia="Times New Roman"/>
        </w:rPr>
        <w:t> </w:t>
      </w:r>
    </w:p>
    <w:p w:rsidR="00830CE3" w:rsidRDefault="00B602F7">
      <w:pPr>
        <w:spacing w:before="0" w:after="0" w:line="400" w:lineRule="exact"/>
      </w:pPr>
      <w:r>
        <w:rPr>
          <w:rFonts w:ascii="仿宋" w:eastAsia="仿宋" w:hAnsi="仿宋" w:cs="仿宋" w:hint="eastAsia"/>
          <w:b/>
          <w:sz w:val="24"/>
        </w:rPr>
        <w:t>二、</w:t>
      </w:r>
      <w:r w:rsidR="00000000">
        <w:rPr>
          <w:rFonts w:ascii="仿宋" w:eastAsia="仿宋" w:hAnsi="仿宋" w:cs="仿宋"/>
          <w:b/>
          <w:sz w:val="24"/>
        </w:rPr>
        <w:t>关联5G定制网平台成果）</w:t>
      </w:r>
    </w:p>
    <w:p w:rsidR="00830CE3" w:rsidRDefault="00000000">
      <w:pPr>
        <w:spacing w:before="0" w:after="0" w:line="400" w:lineRule="exact"/>
      </w:pPr>
      <w:r>
        <w:rPr>
          <w:rFonts w:ascii="仿宋" w:eastAsia="仿宋" w:hAnsi="仿宋" w:cs="仿宋"/>
          <w:b/>
          <w:sz w:val="24"/>
        </w:rPr>
        <w:t>外网环境下操作：</w:t>
      </w:r>
    </w:p>
    <w:p w:rsidR="00830CE3" w:rsidRDefault="00000000">
      <w:r>
        <w:rPr>
          <w:rFonts w:ascii="仿宋" w:eastAsia="仿宋" w:hAnsi="仿宋" w:cs="仿宋"/>
          <w:b/>
          <w:sz w:val="24"/>
        </w:rPr>
        <w:t>题目描述：</w:t>
      </w:r>
      <w:r>
        <w:rPr>
          <w:rFonts w:ascii="仿宋" w:eastAsia="仿宋" w:hAnsi="仿宋" w:cs="仿宋"/>
          <w:sz w:val="24"/>
        </w:rPr>
        <w:t>基于5G定制网客户自服务门户的开放的API接口，实现5G定制网场景化应用开发（WEB或APP均可），包括5G专网管理、连接管理、专网监控等功能模块。</w:t>
      </w:r>
    </w:p>
    <w:p w:rsidR="00830CE3" w:rsidRDefault="00000000">
      <w:r>
        <w:rPr>
          <w:rFonts w:ascii="仿宋" w:eastAsia="仿宋" w:hAnsi="仿宋" w:cs="仿宋"/>
          <w:b/>
          <w:sz w:val="24"/>
        </w:rPr>
        <w:t>评分标准：</w:t>
      </w:r>
      <w:r>
        <w:rPr>
          <w:rFonts w:ascii="仿宋" w:eastAsia="仿宋" w:hAnsi="仿宋" w:cs="仿宋"/>
          <w:sz w:val="24"/>
        </w:rPr>
        <w:t>（需要标明客观分与主观分）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0"/>
        <w:gridCol w:w="5955"/>
        <w:gridCol w:w="1425"/>
      </w:tblGrid>
      <w:tr w:rsidR="00830CE3">
        <w:trPr>
          <w:trHeight w:val="499"/>
        </w:trPr>
        <w:tc>
          <w:tcPr>
            <w:tcW w:w="138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:rsidR="00830CE3" w:rsidRDefault="00000000">
            <w:r>
              <w:rPr>
                <w:rFonts w:ascii="仿宋" w:eastAsia="仿宋" w:hAnsi="仿宋" w:cs="仿宋"/>
                <w:b/>
              </w:rPr>
              <w:t>类型</w:t>
            </w:r>
          </w:p>
        </w:tc>
        <w:tc>
          <w:tcPr>
            <w:tcW w:w="595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:rsidR="00830CE3" w:rsidRDefault="00000000">
            <w:r>
              <w:rPr>
                <w:rFonts w:ascii="仿宋" w:eastAsia="仿宋" w:hAnsi="仿宋" w:cs="仿宋"/>
                <w:b/>
              </w:rPr>
              <w:t>考察项</w:t>
            </w:r>
          </w:p>
        </w:tc>
        <w:tc>
          <w:tcPr>
            <w:tcW w:w="142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:rsidR="00830CE3" w:rsidRDefault="00000000">
            <w:r>
              <w:rPr>
                <w:rFonts w:ascii="仿宋" w:eastAsia="仿宋" w:hAnsi="仿宋" w:cs="仿宋"/>
                <w:b/>
              </w:rPr>
              <w:t>分值配比（百分制）</w:t>
            </w:r>
          </w:p>
        </w:tc>
      </w:tr>
      <w:tr w:rsidR="00830CE3">
        <w:trPr>
          <w:trHeight w:val="499"/>
        </w:trPr>
        <w:tc>
          <w:tcPr>
            <w:tcW w:w="1380" w:type="dxa"/>
            <w:vMerge w:val="restart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:rsidR="00830CE3" w:rsidRDefault="00000000">
            <w:r>
              <w:rPr>
                <w:rFonts w:ascii="仿宋" w:eastAsia="仿宋" w:hAnsi="仿宋" w:cs="仿宋"/>
              </w:rPr>
              <w:t>客观分</w:t>
            </w:r>
          </w:p>
        </w:tc>
        <w:tc>
          <w:tcPr>
            <w:tcW w:w="595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:rsidR="00830CE3" w:rsidRDefault="00000000">
            <w:r>
              <w:rPr>
                <w:rFonts w:ascii="仿宋" w:eastAsia="仿宋" w:hAnsi="仿宋" w:cs="仿宋"/>
              </w:rPr>
              <w:t>完成 与5G定制网客户自服务门户 API对接</w:t>
            </w:r>
          </w:p>
        </w:tc>
        <w:tc>
          <w:tcPr>
            <w:tcW w:w="142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:rsidR="00830CE3" w:rsidRDefault="00263DB2">
            <w:r>
              <w:rPr>
                <w:rFonts w:ascii="仿宋" w:eastAsia="仿宋" w:hAnsi="仿宋" w:cs="仿宋"/>
              </w:rPr>
              <w:t>1</w:t>
            </w:r>
            <w:r w:rsidR="00000000">
              <w:rPr>
                <w:rFonts w:ascii="仿宋" w:eastAsia="仿宋" w:hAnsi="仿宋" w:cs="仿宋"/>
              </w:rPr>
              <w:t>0</w:t>
            </w:r>
          </w:p>
        </w:tc>
      </w:tr>
      <w:tr w:rsidR="00830CE3">
        <w:trPr>
          <w:trHeight w:val="499"/>
        </w:trPr>
        <w:tc>
          <w:tcPr>
            <w:tcW w:w="1380" w:type="dxa"/>
            <w:vMerge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:rsidR="00830CE3" w:rsidRDefault="00830CE3">
            <w:pPr>
              <w:snapToGrid/>
            </w:pPr>
          </w:p>
        </w:tc>
        <w:tc>
          <w:tcPr>
            <w:tcW w:w="595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:rsidR="00830CE3" w:rsidRDefault="00000000">
            <w:r>
              <w:rPr>
                <w:rFonts w:ascii="仿宋" w:eastAsia="仿宋" w:hAnsi="仿宋" w:cs="仿宋"/>
              </w:rPr>
              <w:t>完成5G专网资源数据查询</w:t>
            </w:r>
          </w:p>
        </w:tc>
        <w:tc>
          <w:tcPr>
            <w:tcW w:w="142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:rsidR="00830CE3" w:rsidRDefault="00263DB2">
            <w:r>
              <w:rPr>
                <w:rFonts w:ascii="仿宋" w:eastAsia="仿宋" w:hAnsi="仿宋" w:cs="仿宋"/>
              </w:rPr>
              <w:t>1</w:t>
            </w:r>
            <w:r w:rsidR="00000000">
              <w:rPr>
                <w:rFonts w:ascii="仿宋" w:eastAsia="仿宋" w:hAnsi="仿宋" w:cs="仿宋"/>
              </w:rPr>
              <w:t>0</w:t>
            </w:r>
          </w:p>
        </w:tc>
      </w:tr>
      <w:tr w:rsidR="00830CE3">
        <w:trPr>
          <w:trHeight w:val="499"/>
        </w:trPr>
        <w:tc>
          <w:tcPr>
            <w:tcW w:w="1380" w:type="dxa"/>
            <w:vMerge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:rsidR="00830CE3" w:rsidRDefault="00830CE3">
            <w:pPr>
              <w:snapToGrid/>
            </w:pPr>
          </w:p>
        </w:tc>
        <w:tc>
          <w:tcPr>
            <w:tcW w:w="595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:rsidR="00830CE3" w:rsidRDefault="00000000">
            <w:r>
              <w:rPr>
                <w:rFonts w:ascii="仿宋" w:eastAsia="仿宋" w:hAnsi="仿宋" w:cs="仿宋"/>
              </w:rPr>
              <w:t>完成5G专网性能数据查询</w:t>
            </w:r>
          </w:p>
        </w:tc>
        <w:tc>
          <w:tcPr>
            <w:tcW w:w="142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:rsidR="00830CE3" w:rsidRDefault="00263DB2">
            <w:r>
              <w:rPr>
                <w:rFonts w:ascii="仿宋" w:eastAsia="仿宋" w:hAnsi="仿宋" w:cs="仿宋"/>
              </w:rPr>
              <w:t>1</w:t>
            </w:r>
            <w:r w:rsidR="00000000">
              <w:rPr>
                <w:rFonts w:ascii="仿宋" w:eastAsia="仿宋" w:hAnsi="仿宋" w:cs="仿宋"/>
              </w:rPr>
              <w:t>0</w:t>
            </w:r>
          </w:p>
        </w:tc>
      </w:tr>
      <w:tr w:rsidR="00830CE3">
        <w:trPr>
          <w:trHeight w:val="499"/>
        </w:trPr>
        <w:tc>
          <w:tcPr>
            <w:tcW w:w="1380" w:type="dxa"/>
            <w:vMerge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:rsidR="00830CE3" w:rsidRDefault="00830CE3">
            <w:pPr>
              <w:snapToGrid/>
            </w:pPr>
          </w:p>
        </w:tc>
        <w:tc>
          <w:tcPr>
            <w:tcW w:w="595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:rsidR="00830CE3" w:rsidRDefault="00000000">
            <w:r>
              <w:rPr>
                <w:rFonts w:ascii="仿宋" w:eastAsia="仿宋" w:hAnsi="仿宋" w:cs="仿宋"/>
              </w:rPr>
              <w:t>实现5G专网号卡数据展示功能</w:t>
            </w:r>
          </w:p>
        </w:tc>
        <w:tc>
          <w:tcPr>
            <w:tcW w:w="142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:rsidR="00830CE3" w:rsidRDefault="00263DB2">
            <w:r>
              <w:rPr>
                <w:rFonts w:ascii="仿宋" w:eastAsia="仿宋" w:hAnsi="仿宋" w:cs="仿宋"/>
              </w:rPr>
              <w:t>1</w:t>
            </w:r>
            <w:r w:rsidR="00000000">
              <w:rPr>
                <w:rFonts w:ascii="仿宋" w:eastAsia="仿宋" w:hAnsi="仿宋" w:cs="仿宋"/>
              </w:rPr>
              <w:t>0</w:t>
            </w:r>
          </w:p>
        </w:tc>
      </w:tr>
    </w:tbl>
    <w:p w:rsidR="00830CE3" w:rsidRDefault="00000000">
      <w:r>
        <w:rPr>
          <w:rFonts w:ascii="仿宋" w:eastAsia="仿宋" w:hAnsi="仿宋" w:cs="仿宋"/>
          <w:b/>
          <w:sz w:val="24"/>
        </w:rPr>
        <w:lastRenderedPageBreak/>
        <w:t> </w:t>
      </w:r>
    </w:p>
    <w:p w:rsidR="00830CE3" w:rsidRDefault="00000000">
      <w:r>
        <w:rPr>
          <w:rFonts w:ascii="仿宋" w:eastAsia="仿宋" w:hAnsi="仿宋" w:cs="仿宋"/>
          <w:b/>
          <w:sz w:val="24"/>
        </w:rPr>
        <w:t>外网环境需要放通地址（SASE方式）：</w:t>
      </w:r>
    </w:p>
    <w:p w:rsidR="00830CE3" w:rsidRDefault="00000000">
      <w:hyperlink r:id="rId4" w:anchor="tdsub" w:tgtFrame="dlf" w:history="1">
        <w:r>
          <w:rPr>
            <w:rStyle w:val="a4"/>
          </w:rPr>
          <w:t>https://cmp-api.ctwing.cn:20164</w:t>
        </w:r>
      </w:hyperlink>
    </w:p>
    <w:p w:rsidR="00830CE3" w:rsidRDefault="00000000">
      <w:r>
        <w:rPr>
          <w:rFonts w:eastAsia="Times New Roman"/>
        </w:rPr>
        <w:t> </w:t>
      </w:r>
    </w:p>
    <w:p w:rsidR="00830CE3" w:rsidRDefault="00000000">
      <w:r>
        <w:rPr>
          <w:rFonts w:ascii="仿宋" w:eastAsia="仿宋" w:hAnsi="仿宋" w:cs="仿宋"/>
          <w:b/>
          <w:sz w:val="24"/>
        </w:rPr>
        <w:t>虚机要求：不涉及</w:t>
      </w:r>
    </w:p>
    <w:p w:rsidR="00830CE3" w:rsidRDefault="00000000">
      <w:r>
        <w:rPr>
          <w:rFonts w:ascii="仿宋" w:eastAsia="仿宋" w:hAnsi="仿宋" w:cs="仿宋"/>
          <w:b/>
          <w:sz w:val="24"/>
        </w:rPr>
        <w:t>中间件要求：团队根据自己开发习惯自行准备</w:t>
      </w:r>
    </w:p>
    <w:p w:rsidR="00830CE3" w:rsidRDefault="00000000">
      <w:r>
        <w:rPr>
          <w:rFonts w:ascii="仿宋" w:eastAsia="仿宋" w:hAnsi="仿宋" w:cs="仿宋"/>
          <w:b/>
          <w:sz w:val="24"/>
        </w:rPr>
        <w:t>SDK提供：不涉及</w:t>
      </w:r>
    </w:p>
    <w:p w:rsidR="00830CE3" w:rsidRDefault="00000000" w:rsidP="00702660">
      <w:r>
        <w:rPr>
          <w:rFonts w:eastAsia="Times New Roman"/>
        </w:rPr>
        <w:t> </w:t>
      </w:r>
    </w:p>
    <w:p w:rsidR="00830CE3" w:rsidRDefault="00830CE3">
      <w:pPr>
        <w:rPr>
          <w:rFonts w:hint="eastAsia"/>
        </w:rPr>
      </w:pPr>
    </w:p>
    <w:sectPr w:rsidR="00830CE3">
      <w:pgSz w:w="11905" w:h="16838"/>
      <w:pgMar w:top="1361" w:right="1417" w:bottom="1361" w:left="1417" w:header="720" w:footer="720" w:gutter="0"/>
      <w:cols w:space="720"/>
      <w:docGrid w:type="lines" w:linePitch="4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A0"/>
    <w:rsid w:val="00005360"/>
    <w:rsid w:val="000A2CDC"/>
    <w:rsid w:val="00214EA5"/>
    <w:rsid w:val="00263DB2"/>
    <w:rsid w:val="003901EE"/>
    <w:rsid w:val="004416E4"/>
    <w:rsid w:val="00503BA7"/>
    <w:rsid w:val="005059DF"/>
    <w:rsid w:val="00680AC3"/>
    <w:rsid w:val="006922BC"/>
    <w:rsid w:val="006A1D97"/>
    <w:rsid w:val="00702660"/>
    <w:rsid w:val="00730A65"/>
    <w:rsid w:val="007452DF"/>
    <w:rsid w:val="00830CE3"/>
    <w:rsid w:val="008E7493"/>
    <w:rsid w:val="0099442B"/>
    <w:rsid w:val="00AA3FD7"/>
    <w:rsid w:val="00B602F7"/>
    <w:rsid w:val="00D37FB4"/>
    <w:rsid w:val="00E0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21B54"/>
  <w15:chartTrackingRefBased/>
  <w15:docId w15:val="{0549D595-5F3E-9A49-832F-E7DF3778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character" w:styleId="a4">
    <w:name w:val="Hyperlink"/>
    <w:basedOn w:val="a0"/>
    <w:uiPriority w:val="99"/>
    <w:unhideWhenUsed/>
    <w:rPr>
      <w:color w:val="1E6FFF" w:themeColor="hyperlink"/>
      <w:u w:val="single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customStyle="1" w:styleId="melo-codeblock-Base-theme-char">
    <w:name w:val="melo-codeblock-Base-theme-char"/>
    <w:rPr>
      <w:rFonts w:ascii="Monaco" w:eastAsia="Monaco" w:hAnsi="Monaco" w:cs="Monaco"/>
      <w:color w:val="000000"/>
      <w:sz w:val="21"/>
    </w:rPr>
  </w:style>
  <w:style w:type="paragraph" w:customStyle="1" w:styleId="melo-codeblock-Base-theme-para">
    <w:name w:val="melo-codeblock-Base-theme-para"/>
    <w:basedOn w:val="a"/>
    <w:pPr>
      <w:spacing w:before="0" w:after="0" w:line="360" w:lineRule="auto"/>
    </w:pPr>
    <w:rPr>
      <w:rFonts w:ascii="Monaco" w:eastAsia="Monaco" w:hAnsi="Monaco" w:cs="Monaco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mp-api.ctwing.cn:2016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128</Words>
  <Characters>735</Characters>
  <Application>Microsoft Office Word</Application>
  <DocSecurity>0</DocSecurity>
  <Lines>6</Lines>
  <Paragraphs>1</Paragraphs>
  <ScaleCrop>false</ScaleCrop>
  <Company>Micro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hq wu</cp:lastModifiedBy>
  <cp:revision>23</cp:revision>
  <dcterms:created xsi:type="dcterms:W3CDTF">2024-01-11T16:04:00Z</dcterms:created>
  <dcterms:modified xsi:type="dcterms:W3CDTF">2024-01-11T19:46:00Z</dcterms:modified>
</cp:coreProperties>
</file>