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5B38C0">
        <w:rPr>
          <w:rStyle w:val="Hyperlink"/>
          <w:lang w:val="bg-BG"/>
        </w:rPr>
        <w:fldChar w:fldCharType="begin"/>
      </w:r>
      <w:r w:rsidR="005B38C0">
        <w:rPr>
          <w:rStyle w:val="Hyperlink"/>
          <w:lang w:val="bg-BG"/>
        </w:rPr>
        <w:instrText xml:space="preserve"> HYPERLINK "https://softuni.bg/courses/programming-basics" </w:instrText>
      </w:r>
      <w:r w:rsidR="005B38C0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5B38C0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0" w:anchor="0" w:history="1">
        <w:r w:rsidR="009E238B" w:rsidRPr="009E238B">
          <w:rPr>
            <w:rStyle w:val="Hyperlink"/>
          </w:rPr>
          <w:t>https://judge.softuni.bg/Contests/Compete/Index/1162#0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1" w:history="1">
        <w:r w:rsidR="009E238B" w:rsidRPr="009E238B">
          <w:rPr>
            <w:rStyle w:val="Hyperlink"/>
          </w:rPr>
          <w:t>https://judge.softuni.bg/Contests/Compete/Index/1162#1</w:t>
        </w:r>
      </w:hyperlink>
    </w:p>
    <w:p w:rsidR="00A65F39" w:rsidRPr="00860361" w:rsidRDefault="00A65F39" w:rsidP="00242FBA">
      <w:pPr>
        <w:spacing w:before="40" w:after="40"/>
      </w:pPr>
    </w:p>
    <w:p w:rsidR="00EA61E9" w:rsidRDefault="00EA61E9" w:rsidP="00242FBA">
      <w:pPr>
        <w:pStyle w:val="Heading2"/>
        <w:spacing w:before="40"/>
      </w:pPr>
      <w:r>
        <w:lastRenderedPageBreak/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2" w:anchor="2" w:history="1">
        <w:r w:rsidR="009E238B" w:rsidRPr="00635A59">
          <w:rPr>
            <w:rStyle w:val="Hyperlink"/>
            <w:lang w:val="bg-BG"/>
          </w:rPr>
          <w:t>https://judge.softuni.bg/Contests/Compete/Index/1162#2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="003F4ECF">
        <w:rPr>
          <w:rStyle w:val="CodeChar"/>
        </w:rPr>
        <w:t>m</w:t>
      </w:r>
      <w:r w:rsidRPr="00AB3A1F">
        <w:rPr>
          <w:rStyle w:val="CodeChar"/>
        </w:rPr>
        <w:t>ath.</w:t>
      </w:r>
      <w:r w:rsidR="00BA5AE2">
        <w:rPr>
          <w:rStyle w:val="CodeChar"/>
        </w:rPr>
        <w:t>floor</w:t>
      </w:r>
      <w:r w:rsidRPr="00AB3A1F">
        <w:rPr>
          <w:rStyle w:val="CodeChar"/>
        </w:rPr>
        <w:t>(result)</w:t>
      </w:r>
      <w:r>
        <w:t>.</w:t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proofErr w:type="spellStart"/>
            <w:r>
              <w:t>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3" w:anchor="3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4" w:anchor="4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lastRenderedPageBreak/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5" w:anchor="5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"6"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lastRenderedPageBreak/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"7"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lastRenderedPageBreak/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BA5AE2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BA5AE2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BA5AE2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BA5AE2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BA5AE2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BA5AE2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6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  <w:bookmarkStart w:id="1" w:name="_GoBack"/>
      <w:bookmarkEnd w:id="1"/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7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707" w:rsidRDefault="00B53707" w:rsidP="008068A2">
      <w:pPr>
        <w:spacing w:after="0" w:line="240" w:lineRule="auto"/>
      </w:pPr>
      <w:r>
        <w:separator/>
      </w:r>
    </w:p>
  </w:endnote>
  <w:endnote w:type="continuationSeparator" w:id="0">
    <w:p w:rsidR="00B53707" w:rsidRDefault="00B537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40F63E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C964C3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59E9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5E25" w:rsidRDefault="009E5E25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E5E25" w:rsidRDefault="009E5E25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707" w:rsidRDefault="00B53707" w:rsidP="008068A2">
      <w:pPr>
        <w:spacing w:after="0" w:line="240" w:lineRule="auto"/>
      </w:pPr>
      <w:r>
        <w:separator/>
      </w:r>
    </w:p>
  </w:footnote>
  <w:footnote w:type="continuationSeparator" w:id="0">
    <w:p w:rsidR="00B53707" w:rsidRDefault="00B537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446CC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4ECF"/>
    <w:rsid w:val="003F7993"/>
    <w:rsid w:val="00413842"/>
    <w:rsid w:val="00420504"/>
    <w:rsid w:val="0042273F"/>
    <w:rsid w:val="00425CBD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707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A5AE2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2C5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Compete/Index/116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2" TargetMode="External"/><Relationship Id="rId17" Type="http://schemas.openxmlformats.org/officeDocument/2006/relationships/hyperlink" Target="https://judge.softuni.bg/Contests/Compete/Index/11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2" TargetMode="External"/><Relationship Id="rId10" Type="http://schemas.openxmlformats.org/officeDocument/2006/relationships/hyperlink" Target="https://judge.softuni.bg/Contests/Compete/Index/116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Compete/Index/116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CCE6D-8C49-49F8-AD62-BE692159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2595</Words>
  <Characters>14794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12</cp:revision>
  <cp:lastPrinted>2015-10-26T22:35:00Z</cp:lastPrinted>
  <dcterms:created xsi:type="dcterms:W3CDTF">2018-09-18T15:27:00Z</dcterms:created>
  <dcterms:modified xsi:type="dcterms:W3CDTF">2018-10-26T08:53:00Z</dcterms:modified>
  <cp:category>programming, education, software engineering, software development</cp:category>
</cp:coreProperties>
</file>