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540" w:rsidRDefault="00F53540" w:rsidP="00F53540">
      <w:pPr>
        <w:bidi/>
        <w:jc w:val="center"/>
        <w:rPr>
          <w:rFonts w:cs="B Nazanin"/>
          <w:b/>
          <w:bCs/>
          <w:sz w:val="28"/>
          <w:szCs w:val="28"/>
          <w:lang w:bidi="fa-IR"/>
        </w:rPr>
      </w:pPr>
    </w:p>
    <w:p w:rsidR="00F53540" w:rsidRDefault="00F53540" w:rsidP="0068362C">
      <w:pPr>
        <w:pStyle w:val="ListParagraph"/>
        <w:bidi/>
        <w:jc w:val="center"/>
        <w:rPr>
          <w:rFonts w:cs="B Nazanin"/>
          <w:b/>
          <w:bCs/>
          <w:sz w:val="28"/>
          <w:szCs w:val="28"/>
          <w:lang w:bidi="fa-IR"/>
        </w:rPr>
      </w:pPr>
      <w:r>
        <w:rPr>
          <w:rFonts w:cs="B Nazanin" w:hint="cs"/>
          <w:b/>
          <w:bCs/>
          <w:sz w:val="28"/>
          <w:szCs w:val="28"/>
          <w:rtl/>
          <w:lang w:bidi="fa-IR"/>
        </w:rPr>
        <w:t xml:space="preserve">مدل توربولانسی </w:t>
      </w:r>
      <w:r>
        <w:rPr>
          <w:rFonts w:cs="B Nazanin"/>
          <w:b/>
          <w:bCs/>
          <w:sz w:val="28"/>
          <w:szCs w:val="28"/>
          <w:lang w:bidi="fa-IR"/>
        </w:rPr>
        <w:t>Detached Eddy Simulation(DES)</w:t>
      </w:r>
    </w:p>
    <w:p w:rsidR="00F53540" w:rsidRDefault="00F53540" w:rsidP="00A34D28">
      <w:pPr>
        <w:pStyle w:val="ListParagraph"/>
        <w:bidi/>
        <w:jc w:val="both"/>
        <w:rPr>
          <w:rFonts w:cs="B Nazanin"/>
          <w:sz w:val="28"/>
          <w:szCs w:val="28"/>
          <w:rtl/>
          <w:lang w:bidi="fa-IR"/>
        </w:rPr>
      </w:pPr>
      <w:r>
        <w:rPr>
          <w:rFonts w:cs="B Nazanin" w:hint="cs"/>
          <w:sz w:val="28"/>
          <w:szCs w:val="28"/>
          <w:rtl/>
          <w:lang w:bidi="fa-IR"/>
        </w:rPr>
        <w:t xml:space="preserve">مدل </w:t>
      </w:r>
      <w:r>
        <w:rPr>
          <w:rFonts w:cs="B Nazanin"/>
          <w:sz w:val="28"/>
          <w:szCs w:val="28"/>
          <w:lang w:bidi="fa-IR"/>
        </w:rPr>
        <w:t>DES</w:t>
      </w:r>
      <w:r>
        <w:rPr>
          <w:rFonts w:cs="B Nazanin" w:hint="cs"/>
          <w:sz w:val="28"/>
          <w:szCs w:val="28"/>
          <w:rtl/>
          <w:lang w:bidi="fa-IR"/>
        </w:rPr>
        <w:t xml:space="preserve"> انواع مختلفی دارد که در پروپوزال این پژوهش قرار بر این بود که با در اختیار گرفتن کدهای مربوط به مدل </w:t>
      </w:r>
      <w:r>
        <w:rPr>
          <w:rFonts w:cs="B Nazanin"/>
          <w:sz w:val="28"/>
          <w:szCs w:val="28"/>
          <w:lang w:bidi="fa-IR"/>
        </w:rPr>
        <w:t>LES</w:t>
      </w:r>
      <w:r>
        <w:rPr>
          <w:rFonts w:cs="B Nazanin" w:hint="cs"/>
          <w:sz w:val="28"/>
          <w:szCs w:val="28"/>
          <w:rtl/>
          <w:lang w:bidi="fa-IR"/>
        </w:rPr>
        <w:t xml:space="preserve"> و ترکیب آن با مدل </w:t>
      </w:r>
      <w:proofErr w:type="spellStart"/>
      <w:r>
        <w:rPr>
          <w:rFonts w:cs="B Nazanin"/>
          <w:sz w:val="28"/>
          <w:szCs w:val="28"/>
          <w:lang w:bidi="fa-IR"/>
        </w:rPr>
        <w:t>Spalart-Almaras</w:t>
      </w:r>
      <w:proofErr w:type="spellEnd"/>
      <w:r>
        <w:rPr>
          <w:rFonts w:cs="B Nazanin" w:hint="cs"/>
          <w:sz w:val="28"/>
          <w:szCs w:val="28"/>
          <w:rtl/>
          <w:lang w:bidi="fa-IR"/>
        </w:rPr>
        <w:t xml:space="preserve"> مدل </w:t>
      </w:r>
      <w:r>
        <w:rPr>
          <w:rFonts w:cs="B Nazanin"/>
          <w:sz w:val="28"/>
          <w:szCs w:val="28"/>
          <w:lang w:bidi="fa-IR"/>
        </w:rPr>
        <w:t>DES</w:t>
      </w:r>
      <w:r>
        <w:rPr>
          <w:rFonts w:cs="B Nazanin" w:hint="cs"/>
          <w:sz w:val="28"/>
          <w:szCs w:val="28"/>
          <w:rtl/>
          <w:lang w:bidi="fa-IR"/>
        </w:rPr>
        <w:t xml:space="preserve"> اجرا شود.</w:t>
      </w:r>
    </w:p>
    <w:p w:rsidR="00F53540" w:rsidRDefault="00A34D28" w:rsidP="00A34D28">
      <w:pPr>
        <w:pStyle w:val="ListParagraph"/>
        <w:bidi/>
        <w:jc w:val="both"/>
        <w:rPr>
          <w:rFonts w:cs="B Nazanin"/>
          <w:sz w:val="28"/>
          <w:szCs w:val="28"/>
          <w:rtl/>
          <w:lang w:bidi="fa-IR"/>
        </w:rPr>
      </w:pPr>
      <w:r>
        <w:rPr>
          <w:rFonts w:cs="B Nazanin" w:hint="cs"/>
          <w:sz w:val="28"/>
          <w:szCs w:val="28"/>
          <w:rtl/>
          <w:lang w:bidi="fa-IR"/>
        </w:rPr>
        <w:t xml:space="preserve"> این مدل</w:t>
      </w:r>
      <w:r>
        <w:rPr>
          <w:rFonts w:cs="B Nazanin"/>
          <w:sz w:val="28"/>
          <w:szCs w:val="28"/>
          <w:lang w:bidi="fa-IR"/>
        </w:rPr>
        <w:t xml:space="preserve"> </w:t>
      </w:r>
      <w:r>
        <w:rPr>
          <w:rFonts w:cs="B Nazanin" w:hint="cs"/>
          <w:sz w:val="28"/>
          <w:szCs w:val="28"/>
          <w:rtl/>
          <w:lang w:bidi="fa-IR"/>
        </w:rPr>
        <w:t>برای اولین بار توسط اسپالارت و همکاران</w:t>
      </w:r>
      <w:sdt>
        <w:sdtPr>
          <w:rPr>
            <w:rFonts w:cs="B Nazanin" w:hint="cs"/>
            <w:sz w:val="28"/>
            <w:szCs w:val="28"/>
            <w:rtl/>
            <w:lang w:bidi="fa-IR"/>
          </w:rPr>
          <w:id w:val="1454135632"/>
          <w:citation/>
        </w:sdtPr>
        <w:sdtEndPr/>
        <w:sdtContent>
          <w:r>
            <w:rPr>
              <w:rFonts w:cs="B Nazanin"/>
              <w:sz w:val="28"/>
              <w:szCs w:val="28"/>
              <w:rtl/>
              <w:lang w:bidi="fa-IR"/>
            </w:rPr>
            <w:fldChar w:fldCharType="begin"/>
          </w:r>
          <w:r>
            <w:rPr>
              <w:rFonts w:cs="B Nazanin"/>
              <w:sz w:val="28"/>
              <w:szCs w:val="28"/>
              <w:lang w:bidi="fa-IR"/>
            </w:rPr>
            <w:instrText xml:space="preserve"> CITATION All97 \l 1033 </w:instrText>
          </w:r>
          <w:r>
            <w:rPr>
              <w:rFonts w:cs="B Nazanin"/>
              <w:sz w:val="28"/>
              <w:szCs w:val="28"/>
              <w:rtl/>
              <w:lang w:bidi="fa-IR"/>
            </w:rPr>
            <w:fldChar w:fldCharType="separate"/>
          </w:r>
          <w:r>
            <w:rPr>
              <w:rFonts w:cs="B Nazanin"/>
              <w:noProof/>
              <w:sz w:val="28"/>
              <w:szCs w:val="28"/>
              <w:lang w:bidi="fa-IR"/>
            </w:rPr>
            <w:t xml:space="preserve"> </w:t>
          </w:r>
          <w:r w:rsidRPr="00A34D28">
            <w:rPr>
              <w:rFonts w:cs="B Nazanin"/>
              <w:noProof/>
              <w:sz w:val="28"/>
              <w:szCs w:val="28"/>
              <w:lang w:bidi="fa-IR"/>
            </w:rPr>
            <w:t>[1]</w:t>
          </w:r>
          <w:r>
            <w:rPr>
              <w:rFonts w:cs="B Nazanin"/>
              <w:sz w:val="28"/>
              <w:szCs w:val="28"/>
              <w:rtl/>
              <w:lang w:bidi="fa-IR"/>
            </w:rPr>
            <w:fldChar w:fldCharType="end"/>
          </w:r>
        </w:sdtContent>
      </w:sdt>
      <w:r w:rsidR="00F53540">
        <w:rPr>
          <w:rFonts w:cs="B Nazanin" w:hint="cs"/>
          <w:sz w:val="28"/>
          <w:szCs w:val="28"/>
          <w:rtl/>
          <w:lang w:bidi="fa-IR"/>
        </w:rPr>
        <w:t xml:space="preserve"> </w:t>
      </w:r>
      <w:r>
        <w:rPr>
          <w:rFonts w:cs="B Nazanin" w:hint="cs"/>
          <w:sz w:val="28"/>
          <w:szCs w:val="28"/>
          <w:rtl/>
          <w:lang w:bidi="fa-IR"/>
        </w:rPr>
        <w:t xml:space="preserve">با عنوان کلی مدل </w:t>
      </w:r>
      <w:r>
        <w:rPr>
          <w:rFonts w:cs="B Nazanin"/>
          <w:sz w:val="28"/>
          <w:szCs w:val="28"/>
          <w:lang w:bidi="fa-IR"/>
        </w:rPr>
        <w:t>DES</w:t>
      </w:r>
      <w:r>
        <w:rPr>
          <w:rFonts w:cs="B Nazanin" w:hint="cs"/>
          <w:sz w:val="28"/>
          <w:szCs w:val="28"/>
          <w:rtl/>
          <w:lang w:bidi="fa-IR"/>
        </w:rPr>
        <w:t xml:space="preserve"> ارائه گردید. در این مدل، ناحیه نزدیک به دیواره توسط مدلهای </w:t>
      </w:r>
      <w:r>
        <w:rPr>
          <w:rFonts w:cs="B Nazanin"/>
          <w:sz w:val="28"/>
          <w:szCs w:val="28"/>
          <w:lang w:bidi="fa-IR"/>
        </w:rPr>
        <w:t>RANS</w:t>
      </w:r>
      <w:r>
        <w:rPr>
          <w:rFonts w:cs="B Nazanin" w:hint="cs"/>
          <w:sz w:val="28"/>
          <w:szCs w:val="28"/>
          <w:rtl/>
          <w:lang w:bidi="fa-IR"/>
        </w:rPr>
        <w:t xml:space="preserve"> مانند </w:t>
      </w:r>
      <w:r>
        <w:rPr>
          <w:rFonts w:cs="B Nazanin"/>
          <w:sz w:val="28"/>
          <w:szCs w:val="28"/>
          <w:lang w:bidi="fa-IR"/>
        </w:rPr>
        <w:t>SA</w:t>
      </w:r>
      <w:r>
        <w:rPr>
          <w:rFonts w:cs="B Nazanin" w:hint="cs"/>
          <w:sz w:val="28"/>
          <w:szCs w:val="28"/>
          <w:rtl/>
          <w:lang w:bidi="fa-IR"/>
        </w:rPr>
        <w:t xml:space="preserve"> حل میشود و ناحیه دور از دیواره توسط مدل </w:t>
      </w:r>
      <w:r>
        <w:rPr>
          <w:rFonts w:cs="B Nazanin"/>
          <w:sz w:val="28"/>
          <w:szCs w:val="28"/>
          <w:lang w:bidi="fa-IR"/>
        </w:rPr>
        <w:t>LES</w:t>
      </w:r>
      <w:r>
        <w:rPr>
          <w:rFonts w:cs="B Nazanin" w:hint="cs"/>
          <w:sz w:val="28"/>
          <w:szCs w:val="28"/>
          <w:rtl/>
          <w:lang w:bidi="fa-IR"/>
        </w:rPr>
        <w:t xml:space="preserve"> حل میشود که دلیل آن بالا بودن هزینه های محاسباتی مدل </w:t>
      </w:r>
      <w:r>
        <w:rPr>
          <w:rFonts w:cs="B Nazanin"/>
          <w:sz w:val="28"/>
          <w:szCs w:val="28"/>
          <w:lang w:bidi="fa-IR"/>
        </w:rPr>
        <w:t>LES</w:t>
      </w:r>
      <w:r>
        <w:rPr>
          <w:rFonts w:cs="B Nazanin" w:hint="cs"/>
          <w:sz w:val="28"/>
          <w:szCs w:val="28"/>
          <w:rtl/>
          <w:lang w:bidi="fa-IR"/>
        </w:rPr>
        <w:t xml:space="preserve"> برای شبکه بندی زیر نزدیک دیواره بوده است. به عبارتی دیگر این مدل از مزایای مدلهای </w:t>
      </w:r>
      <w:r>
        <w:rPr>
          <w:rFonts w:cs="B Nazanin"/>
          <w:sz w:val="28"/>
          <w:szCs w:val="28"/>
          <w:lang w:bidi="fa-IR"/>
        </w:rPr>
        <w:t>RANS</w:t>
      </w:r>
      <w:r>
        <w:rPr>
          <w:rFonts w:cs="B Nazanin" w:hint="cs"/>
          <w:sz w:val="28"/>
          <w:szCs w:val="28"/>
          <w:rtl/>
          <w:lang w:bidi="fa-IR"/>
        </w:rPr>
        <w:t xml:space="preserve"> که شامل دقت قابل قبول در نزدیکی دیواره و هزینه محاسباتی پایین و مدلهای </w:t>
      </w:r>
      <w:r>
        <w:rPr>
          <w:rFonts w:cs="B Nazanin"/>
          <w:sz w:val="28"/>
          <w:szCs w:val="28"/>
          <w:lang w:bidi="fa-IR"/>
        </w:rPr>
        <w:t>LES</w:t>
      </w:r>
      <w:r>
        <w:rPr>
          <w:rFonts w:cs="B Nazanin" w:hint="cs"/>
          <w:sz w:val="28"/>
          <w:szCs w:val="28"/>
          <w:rtl/>
          <w:lang w:bidi="fa-IR"/>
        </w:rPr>
        <w:t xml:space="preserve"> که دارای دقت بالاتری هستند استفاده میکند. نکته ای که باید توجه داشت این است که برای رسیدن به دقت کافی توسط این مدل، بایستی کدها به صورت سه بعدی اجرا شوند. لذا بایستی ابتدا کد مربوط به مدل اسپالارت و همچنین </w:t>
      </w:r>
      <w:r>
        <w:rPr>
          <w:rFonts w:cs="B Nazanin"/>
          <w:sz w:val="28"/>
          <w:szCs w:val="28"/>
          <w:lang w:bidi="fa-IR"/>
        </w:rPr>
        <w:t>LES</w:t>
      </w:r>
      <w:r>
        <w:rPr>
          <w:rFonts w:cs="B Nazanin" w:hint="cs"/>
          <w:sz w:val="28"/>
          <w:szCs w:val="28"/>
          <w:rtl/>
          <w:lang w:bidi="fa-IR"/>
        </w:rPr>
        <w:t xml:space="preserve"> به صورت سه بعدی ران شوند تا بتوان بعد از اعتبار سنجی برای چند نمونه از عملکرد صحیح تک تک آنها اطمینان حاصل کرد سپس با روشی که در ادامه گفته خواهد شد، این دو مدل را به هم اتصال داد.</w:t>
      </w:r>
    </w:p>
    <w:p w:rsidR="00A34D28" w:rsidRDefault="00A34D28" w:rsidP="00A34D28">
      <w:pPr>
        <w:pStyle w:val="ListParagraph"/>
        <w:bidi/>
        <w:jc w:val="both"/>
        <w:rPr>
          <w:rFonts w:cs="B Nazanin"/>
          <w:sz w:val="28"/>
          <w:szCs w:val="28"/>
          <w:rtl/>
          <w:lang w:bidi="fa-IR"/>
        </w:rPr>
      </w:pPr>
      <w:r>
        <w:rPr>
          <w:rFonts w:cs="B Nazanin" w:hint="cs"/>
          <w:sz w:val="28"/>
          <w:szCs w:val="28"/>
          <w:rtl/>
          <w:lang w:bidi="fa-IR"/>
        </w:rPr>
        <w:t xml:space="preserve">در مدل </w:t>
      </w:r>
      <w:r>
        <w:rPr>
          <w:rFonts w:cs="B Nazanin"/>
          <w:sz w:val="28"/>
          <w:szCs w:val="28"/>
          <w:lang w:bidi="fa-IR"/>
        </w:rPr>
        <w:t>DES</w:t>
      </w:r>
      <w:r>
        <w:rPr>
          <w:rFonts w:cs="B Nazanin" w:hint="cs"/>
          <w:sz w:val="28"/>
          <w:szCs w:val="28"/>
          <w:rtl/>
          <w:lang w:bidi="fa-IR"/>
        </w:rPr>
        <w:t xml:space="preserve"> بایستی برای انتقال از یک مدل به مدل دیگر در دامنه محاسباتی، یک شاخص تعریف شود که در مقاله فوق که مرجع اصلی مدلهای </w:t>
      </w:r>
      <w:r>
        <w:t>DES</w:t>
      </w:r>
      <w:r>
        <w:rPr>
          <w:rFonts w:hint="cs"/>
          <w:rtl/>
          <w:lang w:bidi="fa-IR"/>
        </w:rPr>
        <w:t xml:space="preserve"> </w:t>
      </w:r>
      <w:r>
        <w:rPr>
          <w:rFonts w:cs="B Nazanin" w:hint="cs"/>
          <w:sz w:val="28"/>
          <w:szCs w:val="28"/>
          <w:rtl/>
          <w:lang w:bidi="fa-IR"/>
        </w:rPr>
        <w:t>است، شاخص مذکور به صورت زیر تعریف میشود:</w:t>
      </w:r>
    </w:p>
    <w:p w:rsidR="00A34D28" w:rsidRDefault="00A34D28" w:rsidP="00A34D28">
      <w:pPr>
        <w:pStyle w:val="ListParagraph"/>
        <w:bidi/>
        <w:jc w:val="both"/>
        <w:rPr>
          <w:rFonts w:cs="B Nazanin"/>
          <w:sz w:val="28"/>
          <w:szCs w:val="28"/>
          <w:rtl/>
          <w:lang w:bidi="fa-IR"/>
        </w:rPr>
      </w:pPr>
    </w:p>
    <w:p w:rsidR="00A34D28" w:rsidRPr="00F8075B" w:rsidRDefault="00DB1E18" w:rsidP="00F8075B">
      <w:pPr>
        <w:pStyle w:val="ListParagraph"/>
        <w:bidi/>
        <w:jc w:val="both"/>
        <w:rPr>
          <w:rFonts w:eastAsiaTheme="minorEastAsia" w:cs="B Nazanin"/>
          <w:sz w:val="28"/>
          <w:szCs w:val="28"/>
          <w:lang w:bidi="fa-IR"/>
        </w:rPr>
      </w:pPr>
      <m:oMathPara>
        <m:oMath>
          <m:acc>
            <m:accPr>
              <m:chr m:val="̃"/>
              <m:ctrlPr>
                <w:rPr>
                  <w:rFonts w:ascii="Cambria Math" w:hAnsi="Cambria Math" w:cs="B Nazanin"/>
                  <w:i/>
                  <w:sz w:val="28"/>
                  <w:szCs w:val="28"/>
                  <w:lang w:bidi="fa-IR"/>
                </w:rPr>
              </m:ctrlPr>
            </m:accPr>
            <m:e>
              <m:r>
                <w:rPr>
                  <w:rFonts w:ascii="Cambria Math" w:hAnsi="Cambria Math" w:cs="B Nazanin"/>
                  <w:sz w:val="28"/>
                  <w:szCs w:val="28"/>
                  <w:lang w:bidi="fa-IR"/>
                </w:rPr>
                <m:t>d</m:t>
              </m:r>
            </m:e>
          </m:acc>
          <m:r>
            <w:rPr>
              <w:rFonts w:ascii="Cambria Math" w:hAnsi="Cambria Math" w:cs="B Nazanin"/>
              <w:sz w:val="28"/>
              <w:szCs w:val="28"/>
              <w:lang w:bidi="fa-IR"/>
            </w:rPr>
            <m:t>≡</m:t>
          </m:r>
          <m:r>
            <m:rPr>
              <m:sty m:val="p"/>
            </m:rPr>
            <w:rPr>
              <w:rFonts w:ascii="Cambria Math" w:hAnsi="Cambria Math" w:cs="B Nazanin"/>
              <w:sz w:val="28"/>
              <w:szCs w:val="28"/>
              <w:lang w:bidi="fa-IR"/>
            </w:rPr>
            <m:t>min⁡</m:t>
          </m:r>
          <m:r>
            <w:rPr>
              <w:rFonts w:ascii="Cambria Math" w:hAnsi="Cambria Math" w:cs="B Nazanin"/>
              <w:sz w:val="28"/>
              <w:szCs w:val="28"/>
              <w:lang w:bidi="fa-IR"/>
            </w:rPr>
            <m:t>(d,</m:t>
          </m:r>
          <m:sSub>
            <m:sSubPr>
              <m:ctrlPr>
                <w:rPr>
                  <w:rFonts w:ascii="Cambria Math" w:hAnsi="Cambria Math" w:cs="B Nazanin"/>
                  <w:i/>
                  <w:sz w:val="28"/>
                  <w:szCs w:val="28"/>
                  <w:lang w:bidi="fa-IR"/>
                </w:rPr>
              </m:ctrlPr>
            </m:sSubPr>
            <m:e>
              <m:r>
                <w:rPr>
                  <w:rFonts w:ascii="Cambria Math" w:hAnsi="Cambria Math" w:cs="B Nazanin"/>
                  <w:sz w:val="28"/>
                  <w:szCs w:val="28"/>
                  <w:lang w:bidi="fa-IR"/>
                </w:rPr>
                <m:t>C</m:t>
              </m:r>
            </m:e>
            <m:sub>
              <m:r>
                <w:rPr>
                  <w:rFonts w:ascii="Cambria Math" w:hAnsi="Cambria Math" w:cs="B Nazanin"/>
                  <w:sz w:val="28"/>
                  <w:szCs w:val="28"/>
                  <w:lang w:bidi="fa-IR"/>
                </w:rPr>
                <m:t>DES</m:t>
              </m:r>
            </m:sub>
          </m:sSub>
          <m:r>
            <w:rPr>
              <w:rFonts w:ascii="Cambria Math" w:hAnsi="Cambria Math" w:cs="B Nazanin"/>
              <w:sz w:val="28"/>
              <w:szCs w:val="28"/>
              <w:lang w:bidi="fa-IR"/>
            </w:rPr>
            <m:t>∆)</m:t>
          </m:r>
        </m:oMath>
      </m:oMathPara>
    </w:p>
    <w:p w:rsidR="00F8075B" w:rsidRPr="00F8075B" w:rsidRDefault="00F8075B" w:rsidP="00F8075B">
      <w:pPr>
        <w:pStyle w:val="ListParagraph"/>
        <w:bidi/>
        <w:jc w:val="both"/>
        <w:rPr>
          <w:rFonts w:eastAsiaTheme="minorEastAsia" w:cs="B Nazanin"/>
          <w:sz w:val="28"/>
          <w:szCs w:val="28"/>
          <w:lang w:bidi="fa-IR"/>
        </w:rPr>
      </w:pPr>
      <m:oMathPara>
        <m:oMath>
          <m:r>
            <w:rPr>
              <w:rFonts w:ascii="Cambria Math" w:hAnsi="Cambria Math" w:cs="Times New Roman" w:hint="cs"/>
              <w:sz w:val="28"/>
              <w:szCs w:val="28"/>
              <w:rtl/>
              <w:lang w:bidi="fa-IR"/>
            </w:rPr>
            <m:t>∆</m:t>
          </m:r>
          <m:r>
            <w:rPr>
              <w:rFonts w:ascii="Cambria Math" w:hAnsi="Cambria Math" w:cs="B Nazanin"/>
              <w:sz w:val="28"/>
              <w:szCs w:val="28"/>
              <w:lang w:bidi="fa-IR"/>
            </w:rPr>
            <m:t>≡</m:t>
          </m:r>
          <m:r>
            <m:rPr>
              <m:sty m:val="p"/>
            </m:rPr>
            <w:rPr>
              <w:rFonts w:ascii="Cambria Math" w:hAnsi="Cambria Math" w:cs="B Nazanin"/>
              <w:sz w:val="28"/>
              <w:szCs w:val="28"/>
              <w:lang w:bidi="fa-IR"/>
            </w:rPr>
            <m:t>min⁡</m:t>
          </m:r>
          <m:sSup>
            <m:sSupPr>
              <m:ctrlPr>
                <w:rPr>
                  <w:rFonts w:ascii="Cambria Math" w:hAnsi="Cambria Math" w:cs="B Nazanin"/>
                  <w:i/>
                  <w:sz w:val="28"/>
                  <w:szCs w:val="28"/>
                  <w:lang w:bidi="fa-IR"/>
                </w:rPr>
              </m:ctrlPr>
            </m:sSupPr>
            <m:e>
              <m:r>
                <w:rPr>
                  <w:rFonts w:ascii="Cambria Math" w:hAnsi="Cambria Math" w:cs="B Nazanin"/>
                  <w:sz w:val="28"/>
                  <w:szCs w:val="28"/>
                  <w:lang w:bidi="fa-IR"/>
                </w:rPr>
                <m:t>(</m:t>
              </m:r>
              <m:sSub>
                <m:sSubPr>
                  <m:ctrlPr>
                    <w:rPr>
                      <w:rFonts w:ascii="Cambria Math" w:hAnsi="Cambria Math" w:cs="Times New Roman"/>
                      <w:i/>
                      <w:sz w:val="28"/>
                      <w:szCs w:val="28"/>
                      <w:lang w:bidi="fa-IR"/>
                    </w:rPr>
                  </m:ctrlPr>
                </m:sSubPr>
                <m:e>
                  <m:r>
                    <w:rPr>
                      <w:rFonts w:ascii="Cambria Math" w:hAnsi="Cambria Math" w:cs="Times New Roman" w:hint="cs"/>
                      <w:sz w:val="28"/>
                      <w:szCs w:val="28"/>
                      <w:rtl/>
                      <w:lang w:bidi="fa-IR"/>
                    </w:rPr>
                    <m:t>∆</m:t>
                  </m:r>
                </m:e>
                <m:sub>
                  <m:r>
                    <w:rPr>
                      <w:rFonts w:ascii="Cambria Math" w:hAnsi="Cambria Math" w:cs="Times New Roman"/>
                      <w:sz w:val="28"/>
                      <w:szCs w:val="28"/>
                      <w:lang w:bidi="fa-IR"/>
                    </w:rPr>
                    <m:t>x</m:t>
                  </m:r>
                </m:sub>
              </m:sSub>
              <m:sSub>
                <m:sSubPr>
                  <m:ctrlPr>
                    <w:rPr>
                      <w:rFonts w:ascii="Cambria Math" w:hAnsi="Cambria Math" w:cs="Times New Roman"/>
                      <w:i/>
                      <w:sz w:val="28"/>
                      <w:szCs w:val="28"/>
                      <w:lang w:bidi="fa-IR"/>
                    </w:rPr>
                  </m:ctrlPr>
                </m:sSubPr>
                <m:e>
                  <m:r>
                    <w:rPr>
                      <w:rFonts w:ascii="Cambria Math" w:hAnsi="Cambria Math" w:cs="Times New Roman" w:hint="cs"/>
                      <w:sz w:val="28"/>
                      <w:szCs w:val="28"/>
                      <w:rtl/>
                      <w:lang w:bidi="fa-IR"/>
                    </w:rPr>
                    <m:t>∆</m:t>
                  </m:r>
                </m:e>
                <m:sub>
                  <m:r>
                    <w:rPr>
                      <w:rFonts w:ascii="Cambria Math" w:hAnsi="Cambria Math" w:cs="Times New Roman"/>
                      <w:sz w:val="28"/>
                      <w:szCs w:val="28"/>
                      <w:lang w:bidi="fa-IR"/>
                    </w:rPr>
                    <m:t>y</m:t>
                  </m:r>
                </m:sub>
              </m:sSub>
              <m:sSub>
                <m:sSubPr>
                  <m:ctrlPr>
                    <w:rPr>
                      <w:rFonts w:ascii="Cambria Math" w:hAnsi="Cambria Math" w:cs="Times New Roman"/>
                      <w:i/>
                      <w:sz w:val="28"/>
                      <w:szCs w:val="28"/>
                      <w:lang w:bidi="fa-IR"/>
                    </w:rPr>
                  </m:ctrlPr>
                </m:sSubPr>
                <m:e>
                  <m:r>
                    <w:rPr>
                      <w:rFonts w:ascii="Cambria Math" w:hAnsi="Cambria Math" w:cs="Times New Roman" w:hint="cs"/>
                      <w:sz w:val="28"/>
                      <w:szCs w:val="28"/>
                      <w:rtl/>
                      <w:lang w:bidi="fa-IR"/>
                    </w:rPr>
                    <m:t>∆</m:t>
                  </m:r>
                </m:e>
                <m:sub>
                  <m:r>
                    <w:rPr>
                      <w:rFonts w:ascii="Cambria Math" w:hAnsi="Cambria Math" w:cs="Times New Roman"/>
                      <w:sz w:val="28"/>
                      <w:szCs w:val="28"/>
                      <w:lang w:bidi="fa-IR"/>
                    </w:rPr>
                    <m:t>z</m:t>
                  </m:r>
                </m:sub>
              </m:sSub>
              <m:r>
                <w:rPr>
                  <w:rFonts w:ascii="Cambria Math" w:hAnsi="Cambria Math" w:cs="B Nazanin"/>
                  <w:sz w:val="28"/>
                  <w:szCs w:val="28"/>
                  <w:lang w:bidi="fa-IR"/>
                </w:rPr>
                <m:t>)</m:t>
              </m:r>
            </m:e>
            <m:sup>
              <m:r>
                <w:rPr>
                  <w:rFonts w:ascii="Cambria Math" w:hAnsi="Cambria Math" w:cs="B Nazanin"/>
                  <w:sz w:val="28"/>
                  <w:szCs w:val="28"/>
                  <w:lang w:bidi="fa-IR"/>
                </w:rPr>
                <m:t>1/3</m:t>
              </m:r>
            </m:sup>
          </m:sSup>
        </m:oMath>
      </m:oMathPara>
    </w:p>
    <w:p w:rsidR="00F8075B" w:rsidRDefault="00F8075B" w:rsidP="00F8075B">
      <w:pPr>
        <w:pStyle w:val="ListParagraph"/>
        <w:bidi/>
        <w:jc w:val="both"/>
        <w:rPr>
          <w:rFonts w:cs="B Nazanin"/>
          <w:sz w:val="28"/>
          <w:szCs w:val="28"/>
          <w:rtl/>
          <w:lang w:bidi="fa-IR"/>
        </w:rPr>
      </w:pPr>
    </w:p>
    <w:p w:rsidR="005D7E58" w:rsidRDefault="00F8075B" w:rsidP="00DB1E18">
      <w:pPr>
        <w:pStyle w:val="ListParagraph"/>
        <w:bidi/>
        <w:jc w:val="both"/>
        <w:rPr>
          <w:rFonts w:cs="B Nazanin"/>
          <w:sz w:val="20"/>
          <w:szCs w:val="20"/>
          <w:rtl/>
        </w:rPr>
      </w:pPr>
      <w:r>
        <w:rPr>
          <w:rFonts w:cs="B Nazanin" w:hint="cs"/>
          <w:sz w:val="28"/>
          <w:szCs w:val="28"/>
          <w:rtl/>
          <w:lang w:bidi="fa-IR"/>
        </w:rPr>
        <w:t xml:space="preserve">که در روابط فوق </w:t>
      </w:r>
      <m:oMath>
        <m:acc>
          <m:accPr>
            <m:chr m:val="̃"/>
            <m:ctrlPr>
              <w:rPr>
                <w:rFonts w:ascii="Cambria Math" w:hAnsi="Cambria Math" w:cs="B Nazanin"/>
                <w:i/>
                <w:sz w:val="28"/>
                <w:szCs w:val="28"/>
                <w:lang w:bidi="fa-IR"/>
              </w:rPr>
            </m:ctrlPr>
          </m:accPr>
          <m:e>
            <m:r>
              <w:rPr>
                <w:rFonts w:ascii="Cambria Math" w:hAnsi="Cambria Math" w:cs="B Nazanin"/>
                <w:sz w:val="28"/>
                <w:szCs w:val="28"/>
                <w:lang w:bidi="fa-IR"/>
              </w:rPr>
              <m:t>d</m:t>
            </m:r>
          </m:e>
        </m:acc>
      </m:oMath>
      <w:r>
        <w:rPr>
          <w:rFonts w:eastAsiaTheme="minorEastAsia" w:cs="B Nazanin" w:hint="cs"/>
          <w:sz w:val="28"/>
          <w:szCs w:val="28"/>
          <w:rtl/>
          <w:lang w:bidi="fa-IR"/>
        </w:rPr>
        <w:t xml:space="preserve"> </w:t>
      </w:r>
      <w:r>
        <w:rPr>
          <w:rFonts w:cs="B Nazanin" w:hint="cs"/>
          <w:sz w:val="28"/>
          <w:szCs w:val="28"/>
          <w:rtl/>
          <w:lang w:bidi="fa-IR"/>
        </w:rPr>
        <w:t xml:space="preserve">طول مشخصه و </w:t>
      </w:r>
      <m:oMath>
        <m:r>
          <w:rPr>
            <w:rFonts w:ascii="Cambria Math" w:hAnsi="Cambria Math" w:cs="Times New Roman" w:hint="cs"/>
            <w:sz w:val="28"/>
            <w:szCs w:val="28"/>
            <w:rtl/>
            <w:lang w:bidi="fa-IR"/>
          </w:rPr>
          <m:t>∆</m:t>
        </m:r>
      </m:oMath>
      <w:r>
        <w:rPr>
          <w:rFonts w:eastAsiaTheme="minorEastAsia" w:cs="B Nazanin" w:hint="cs"/>
          <w:sz w:val="28"/>
          <w:szCs w:val="28"/>
          <w:rtl/>
          <w:lang w:bidi="fa-IR"/>
        </w:rPr>
        <w:t xml:space="preserve"> مینیموم طول اضلاع یک سلول و </w:t>
      </w:r>
      <m:oMath>
        <m:r>
          <w:rPr>
            <w:rFonts w:ascii="Cambria Math" w:hAnsi="Cambria Math" w:cs="B Nazanin"/>
            <w:sz w:val="28"/>
            <w:szCs w:val="28"/>
            <w:lang w:bidi="fa-IR"/>
          </w:rPr>
          <m:t>d</m:t>
        </m:r>
      </m:oMath>
      <w:r>
        <w:rPr>
          <w:rFonts w:eastAsiaTheme="minorEastAsia" w:cs="B Nazanin" w:hint="cs"/>
          <w:sz w:val="28"/>
          <w:szCs w:val="28"/>
          <w:rtl/>
          <w:lang w:bidi="fa-IR"/>
        </w:rPr>
        <w:t xml:space="preserve"> فاصله مرکز سلول محاسباتی تا دیواره است و </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C</m:t>
            </m:r>
          </m:e>
          <m:sub>
            <m:r>
              <w:rPr>
                <w:rFonts w:ascii="Cambria Math" w:hAnsi="Cambria Math" w:cs="B Nazanin"/>
                <w:sz w:val="28"/>
                <w:szCs w:val="28"/>
                <w:lang w:bidi="fa-IR"/>
              </w:rPr>
              <m:t>DES</m:t>
            </m:r>
          </m:sub>
        </m:sSub>
      </m:oMath>
      <w:r>
        <w:rPr>
          <w:rFonts w:eastAsiaTheme="minorEastAsia" w:cs="B Nazanin" w:hint="cs"/>
          <w:sz w:val="28"/>
          <w:szCs w:val="28"/>
          <w:rtl/>
          <w:lang w:bidi="fa-IR"/>
        </w:rPr>
        <w:t xml:space="preserve"> یک عدد ثابت است. در صورتی که </w:t>
      </w:r>
      <m:oMath>
        <m:r>
          <w:rPr>
            <w:rFonts w:ascii="Cambria Math" w:hAnsi="Cambria Math" w:cs="B Nazanin"/>
            <w:sz w:val="28"/>
            <w:szCs w:val="28"/>
            <w:lang w:bidi="fa-IR"/>
          </w:rPr>
          <m:t>d&gt;</m:t>
        </m:r>
        <m:r>
          <w:rPr>
            <w:rFonts w:ascii="Cambria Math" w:hAnsi="Cambria Math" w:cs="Times New Roman" w:hint="cs"/>
            <w:sz w:val="28"/>
            <w:szCs w:val="28"/>
            <w:rtl/>
            <w:lang w:bidi="fa-IR"/>
          </w:rPr>
          <m:t>∆</m:t>
        </m:r>
      </m:oMath>
      <w:r>
        <w:rPr>
          <w:rFonts w:eastAsiaTheme="minorEastAsia" w:cs="B Nazanin" w:hint="cs"/>
          <w:sz w:val="28"/>
          <w:szCs w:val="28"/>
          <w:rtl/>
          <w:lang w:bidi="fa-IR"/>
        </w:rPr>
        <w:t xml:space="preserve"> بدان معناست که سلول محاسباتی در ناحیه دور از دیواره قرار گرفته است لذا معادلات توربولانسی مربوط به مدل </w:t>
      </w:r>
      <w:r>
        <w:rPr>
          <w:rFonts w:eastAsiaTheme="minorEastAsia" w:cs="B Nazanin"/>
          <w:sz w:val="28"/>
          <w:szCs w:val="28"/>
          <w:lang w:bidi="fa-IR"/>
        </w:rPr>
        <w:t>LES</w:t>
      </w:r>
      <w:r>
        <w:rPr>
          <w:rFonts w:eastAsiaTheme="minorEastAsia" w:cs="B Nazanin" w:hint="cs"/>
          <w:sz w:val="28"/>
          <w:szCs w:val="28"/>
          <w:rtl/>
          <w:lang w:bidi="fa-IR"/>
        </w:rPr>
        <w:t xml:space="preserve"> حل خواهد شد و در صورتی که </w:t>
      </w:r>
      <m:oMath>
        <m:r>
          <w:rPr>
            <w:rFonts w:ascii="Cambria Math" w:hAnsi="Cambria Math" w:cs="B Nazanin"/>
            <w:sz w:val="28"/>
            <w:szCs w:val="28"/>
            <w:lang w:bidi="fa-IR"/>
          </w:rPr>
          <m:t>d&lt;</m:t>
        </m:r>
        <m:r>
          <w:rPr>
            <w:rFonts w:ascii="Cambria Math" w:hAnsi="Cambria Math" w:cs="Times New Roman" w:hint="cs"/>
            <w:sz w:val="28"/>
            <w:szCs w:val="28"/>
            <w:rtl/>
            <w:lang w:bidi="fa-IR"/>
          </w:rPr>
          <m:t>∆</m:t>
        </m:r>
      </m:oMath>
      <w:r>
        <w:rPr>
          <w:rFonts w:eastAsiaTheme="minorEastAsia" w:cs="B Nazanin" w:hint="cs"/>
          <w:sz w:val="28"/>
          <w:szCs w:val="28"/>
          <w:rtl/>
          <w:lang w:bidi="fa-IR"/>
        </w:rPr>
        <w:t xml:space="preserve"> باشد بدان معناست که سلول محاسباتی در ناحیه نزدیک به دیواره قرار دارد و مدل </w:t>
      </w:r>
      <w:r>
        <w:rPr>
          <w:rFonts w:eastAsiaTheme="minorEastAsia" w:cs="B Nazanin"/>
          <w:sz w:val="28"/>
          <w:szCs w:val="28"/>
          <w:lang w:bidi="fa-IR"/>
        </w:rPr>
        <w:t xml:space="preserve">SA </w:t>
      </w:r>
      <w:r>
        <w:rPr>
          <w:rFonts w:eastAsiaTheme="minorEastAsia" w:cs="B Nazanin" w:hint="cs"/>
          <w:sz w:val="28"/>
          <w:szCs w:val="28"/>
          <w:rtl/>
          <w:lang w:bidi="fa-IR"/>
        </w:rPr>
        <w:t xml:space="preserve"> در این ناحیه حل خواهد شد. طبق سابروتینهای کد </w:t>
      </w:r>
      <w:r>
        <w:rPr>
          <w:rFonts w:eastAsiaTheme="minorEastAsia" w:cs="B Nazanin"/>
          <w:sz w:val="28"/>
          <w:szCs w:val="28"/>
          <w:lang w:bidi="fa-IR"/>
        </w:rPr>
        <w:t>Airflow</w:t>
      </w:r>
      <w:r>
        <w:rPr>
          <w:rFonts w:eastAsiaTheme="minorEastAsia" w:cs="B Nazanin" w:hint="cs"/>
          <w:sz w:val="28"/>
          <w:szCs w:val="28"/>
          <w:rtl/>
          <w:lang w:bidi="fa-IR"/>
        </w:rPr>
        <w:t xml:space="preserve">، محاسبات مربوط به بیشینه طول اضلاع از طریق سابروتین </w:t>
      </w:r>
      <w:r>
        <w:rPr>
          <w:rFonts w:eastAsiaTheme="minorEastAsia" w:cs="B Nazanin"/>
          <w:sz w:val="28"/>
          <w:szCs w:val="28"/>
          <w:lang w:bidi="fa-IR"/>
        </w:rPr>
        <w:t>GeoCal2D</w:t>
      </w:r>
      <w:r>
        <w:rPr>
          <w:rFonts w:eastAsiaTheme="minorEastAsia" w:cs="B Nazanin" w:hint="cs"/>
          <w:sz w:val="28"/>
          <w:szCs w:val="28"/>
          <w:rtl/>
          <w:lang w:bidi="fa-IR"/>
        </w:rPr>
        <w:t xml:space="preserve"> قابل محاسبه خواهد بود و تنها نکته لازم، تعریف یک حلقه شرطی </w:t>
      </w:r>
      <w:r>
        <w:rPr>
          <w:rFonts w:eastAsiaTheme="minorEastAsia" w:cs="B Nazanin"/>
          <w:sz w:val="28"/>
          <w:szCs w:val="28"/>
          <w:lang w:bidi="fa-IR"/>
        </w:rPr>
        <w:t>If</w:t>
      </w:r>
      <w:r>
        <w:rPr>
          <w:rFonts w:eastAsiaTheme="minorEastAsia" w:cs="B Nazanin" w:hint="cs"/>
          <w:sz w:val="28"/>
          <w:szCs w:val="28"/>
          <w:rtl/>
          <w:lang w:bidi="fa-IR"/>
        </w:rPr>
        <w:t xml:space="preserve"> در بدنه محاسبات مربوط به معادلات توبولانس است که شرط فوق را برای سلولهای دور و نزدیک به دیواره اجرا کند.</w:t>
      </w:r>
      <w:bookmarkStart w:id="0" w:name="_GoBack"/>
      <w:bookmarkEnd w:id="0"/>
    </w:p>
    <w:p w:rsidR="00D273A4" w:rsidRDefault="00D273A4" w:rsidP="005D7E58">
      <w:pPr>
        <w:jc w:val="center"/>
        <w:rPr>
          <w:rFonts w:cs="B Nazanin"/>
          <w:sz w:val="20"/>
          <w:szCs w:val="20"/>
          <w:rtl/>
        </w:rPr>
      </w:pPr>
    </w:p>
    <w:sdt>
      <w:sdtPr>
        <w:rPr>
          <w:rFonts w:asciiTheme="minorHAnsi" w:eastAsiaTheme="minorHAnsi" w:hAnsiTheme="minorHAnsi" w:cstheme="minorBidi"/>
          <w:color w:val="auto"/>
          <w:sz w:val="22"/>
          <w:szCs w:val="22"/>
        </w:rPr>
        <w:id w:val="-1901360595"/>
        <w:docPartObj>
          <w:docPartGallery w:val="Bibliographies"/>
          <w:docPartUnique/>
        </w:docPartObj>
      </w:sdtPr>
      <w:sdtEndPr/>
      <w:sdtContent>
        <w:p w:rsidR="00D273A4" w:rsidRDefault="00D273A4">
          <w:pPr>
            <w:pStyle w:val="Heading1"/>
          </w:pPr>
          <w:r>
            <w:t>Bibliography</w:t>
          </w:r>
        </w:p>
        <w:sdt>
          <w:sdtPr>
            <w:id w:val="111145805"/>
            <w:bibliography/>
          </w:sdtPr>
          <w:sdtEndPr/>
          <w:sdtContent>
            <w:p w:rsidR="00D273A4" w:rsidRDefault="00D273A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273A4">
                <w:trPr>
                  <w:divId w:val="405684384"/>
                  <w:tblCellSpacing w:w="15" w:type="dxa"/>
                </w:trPr>
                <w:tc>
                  <w:tcPr>
                    <w:tcW w:w="50" w:type="pct"/>
                    <w:hideMark/>
                  </w:tcPr>
                  <w:p w:rsidR="00D273A4" w:rsidRDefault="00D273A4">
                    <w:pPr>
                      <w:pStyle w:val="Bibliography"/>
                      <w:rPr>
                        <w:noProof/>
                        <w:sz w:val="24"/>
                        <w:szCs w:val="24"/>
                      </w:rPr>
                    </w:pPr>
                    <w:r>
                      <w:rPr>
                        <w:noProof/>
                      </w:rPr>
                      <w:t xml:space="preserve">[1] </w:t>
                    </w:r>
                  </w:p>
                </w:tc>
                <w:tc>
                  <w:tcPr>
                    <w:tcW w:w="0" w:type="auto"/>
                    <w:hideMark/>
                  </w:tcPr>
                  <w:p w:rsidR="00D273A4" w:rsidRDefault="00D273A4">
                    <w:pPr>
                      <w:pStyle w:val="Bibliography"/>
                      <w:rPr>
                        <w:noProof/>
                      </w:rPr>
                    </w:pPr>
                    <w:r>
                      <w:rPr>
                        <w:noProof/>
                      </w:rPr>
                      <w:t xml:space="preserve">P. S. a. W. J. a. M. S. a. S. Allmaras, "Comments on the Feasibility of LES for Wings and a Hybrid RANS/LES Approach," in </w:t>
                    </w:r>
                    <w:r>
                      <w:rPr>
                        <w:i/>
                        <w:iCs/>
                        <w:noProof/>
                      </w:rPr>
                      <w:t>Advances in DNS/LES</w:t>
                    </w:r>
                    <w:r>
                      <w:rPr>
                        <w:noProof/>
                      </w:rPr>
                      <w:t xml:space="preserve">, 1997. </w:t>
                    </w:r>
                  </w:p>
                </w:tc>
              </w:tr>
              <w:tr w:rsidR="00D273A4">
                <w:trPr>
                  <w:divId w:val="405684384"/>
                  <w:tblCellSpacing w:w="15" w:type="dxa"/>
                </w:trPr>
                <w:tc>
                  <w:tcPr>
                    <w:tcW w:w="50" w:type="pct"/>
                    <w:hideMark/>
                  </w:tcPr>
                  <w:p w:rsidR="00D273A4" w:rsidRDefault="00D273A4">
                    <w:pPr>
                      <w:pStyle w:val="Bibliography"/>
                      <w:rPr>
                        <w:noProof/>
                      </w:rPr>
                    </w:pPr>
                    <w:r>
                      <w:rPr>
                        <w:noProof/>
                      </w:rPr>
                      <w:t xml:space="preserve">[2] </w:t>
                    </w:r>
                  </w:p>
                </w:tc>
                <w:tc>
                  <w:tcPr>
                    <w:tcW w:w="0" w:type="auto"/>
                    <w:hideMark/>
                  </w:tcPr>
                  <w:p w:rsidR="00D273A4" w:rsidRDefault="00D273A4">
                    <w:pPr>
                      <w:pStyle w:val="Bibliography"/>
                      <w:rPr>
                        <w:noProof/>
                      </w:rPr>
                    </w:pPr>
                    <w:r>
                      <w:rPr>
                        <w:noProof/>
                      </w:rPr>
                      <w:t>S. M. a. J. Baeder, "Application of the Correlation-based g</w:t>
                    </w:r>
                    <w:r>
                      <w:rPr>
                        <w:rFonts w:ascii="Times New Roman" w:hAnsi="Times New Roman" w:cs="Times New Roman"/>
                        <w:noProof/>
                      </w:rPr>
                      <w:t>􀀀</w:t>
                    </w:r>
                    <w:r>
                      <w:rPr>
                        <w:noProof/>
                      </w:rPr>
                      <w:t xml:space="preserve">Reqt Transition Model to the Spalart-Allmaras Turbulence Model," </w:t>
                    </w:r>
                    <w:r>
                      <w:rPr>
                        <w:i/>
                        <w:iCs/>
                        <w:noProof/>
                      </w:rPr>
                      <w:t xml:space="preserve">20th AIAA Computational Fluid Dynamics Conference, </w:t>
                    </w:r>
                    <w:r>
                      <w:rPr>
                        <w:noProof/>
                      </w:rPr>
                      <w:t xml:space="preserve">27 - 30 June 2011. </w:t>
                    </w:r>
                  </w:p>
                </w:tc>
              </w:tr>
            </w:tbl>
            <w:p w:rsidR="00D273A4" w:rsidRDefault="00D273A4">
              <w:pPr>
                <w:divId w:val="405684384"/>
                <w:rPr>
                  <w:rFonts w:eastAsia="Times New Roman"/>
                  <w:noProof/>
                </w:rPr>
              </w:pPr>
            </w:p>
            <w:p w:rsidR="00D273A4" w:rsidRDefault="00D273A4">
              <w:r>
                <w:rPr>
                  <w:b/>
                  <w:bCs/>
                  <w:noProof/>
                </w:rPr>
                <w:fldChar w:fldCharType="end"/>
              </w:r>
            </w:p>
          </w:sdtContent>
        </w:sdt>
      </w:sdtContent>
    </w:sdt>
    <w:p w:rsidR="00D273A4" w:rsidRDefault="00D273A4" w:rsidP="005D7E58">
      <w:pPr>
        <w:jc w:val="center"/>
        <w:rPr>
          <w:rFonts w:cs="B Nazanin"/>
          <w:sz w:val="20"/>
          <w:szCs w:val="20"/>
          <w:rtl/>
        </w:rPr>
      </w:pPr>
    </w:p>
    <w:p w:rsidR="005D7E58" w:rsidRPr="005D7E58" w:rsidRDefault="005D7E58" w:rsidP="005D7E58">
      <w:pPr>
        <w:jc w:val="center"/>
      </w:pPr>
    </w:p>
    <w:sectPr w:rsidR="005D7E58" w:rsidRPr="005D7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1533B"/>
    <w:multiLevelType w:val="hybridMultilevel"/>
    <w:tmpl w:val="FDC8AD40"/>
    <w:lvl w:ilvl="0" w:tplc="C3DE8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F6A"/>
    <w:rsid w:val="001C2D54"/>
    <w:rsid w:val="001D3EFE"/>
    <w:rsid w:val="001E2B44"/>
    <w:rsid w:val="001E62BB"/>
    <w:rsid w:val="002016C8"/>
    <w:rsid w:val="0027783A"/>
    <w:rsid w:val="002E12A3"/>
    <w:rsid w:val="004F3F37"/>
    <w:rsid w:val="005D7E58"/>
    <w:rsid w:val="00676ABE"/>
    <w:rsid w:val="0068362C"/>
    <w:rsid w:val="006E7D0B"/>
    <w:rsid w:val="0080492B"/>
    <w:rsid w:val="00810863"/>
    <w:rsid w:val="0084086B"/>
    <w:rsid w:val="009417C9"/>
    <w:rsid w:val="00986986"/>
    <w:rsid w:val="00986F99"/>
    <w:rsid w:val="00A34D28"/>
    <w:rsid w:val="00A66F62"/>
    <w:rsid w:val="00A95D16"/>
    <w:rsid w:val="00AB0CEA"/>
    <w:rsid w:val="00B65522"/>
    <w:rsid w:val="00BB5F6A"/>
    <w:rsid w:val="00BF4CA7"/>
    <w:rsid w:val="00C30E9A"/>
    <w:rsid w:val="00C34F3A"/>
    <w:rsid w:val="00CA5CDE"/>
    <w:rsid w:val="00D273A4"/>
    <w:rsid w:val="00DB1E18"/>
    <w:rsid w:val="00E35844"/>
    <w:rsid w:val="00F53540"/>
    <w:rsid w:val="00F8075B"/>
    <w:rsid w:val="00F85265"/>
    <w:rsid w:val="00FA3D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F2217"/>
  <w15:chartTrackingRefBased/>
  <w15:docId w15:val="{EDC14EE0-35D5-46F3-B111-CE96FE65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3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540"/>
    <w:pPr>
      <w:ind w:left="720"/>
      <w:contextualSpacing/>
    </w:pPr>
  </w:style>
  <w:style w:type="character" w:styleId="PlaceholderText">
    <w:name w:val="Placeholder Text"/>
    <w:basedOn w:val="DefaultParagraphFont"/>
    <w:uiPriority w:val="99"/>
    <w:semiHidden/>
    <w:rsid w:val="00A34D28"/>
    <w:rPr>
      <w:color w:val="808080"/>
    </w:rPr>
  </w:style>
  <w:style w:type="paragraph" w:styleId="Caption">
    <w:name w:val="caption"/>
    <w:basedOn w:val="Normal"/>
    <w:next w:val="Normal"/>
    <w:uiPriority w:val="35"/>
    <w:unhideWhenUsed/>
    <w:qFormat/>
    <w:rsid w:val="001E62B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273A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D27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684384">
      <w:bodyDiv w:val="1"/>
      <w:marLeft w:val="0"/>
      <w:marRight w:val="0"/>
      <w:marTop w:val="0"/>
      <w:marBottom w:val="0"/>
      <w:divBdr>
        <w:top w:val="none" w:sz="0" w:space="0" w:color="auto"/>
        <w:left w:val="none" w:sz="0" w:space="0" w:color="auto"/>
        <w:bottom w:val="none" w:sz="0" w:space="0" w:color="auto"/>
        <w:right w:val="none" w:sz="0" w:space="0" w:color="auto"/>
      </w:divBdr>
    </w:div>
    <w:div w:id="795951255">
      <w:bodyDiv w:val="1"/>
      <w:marLeft w:val="0"/>
      <w:marRight w:val="0"/>
      <w:marTop w:val="0"/>
      <w:marBottom w:val="0"/>
      <w:divBdr>
        <w:top w:val="none" w:sz="0" w:space="0" w:color="auto"/>
        <w:left w:val="none" w:sz="0" w:space="0" w:color="auto"/>
        <w:bottom w:val="none" w:sz="0" w:space="0" w:color="auto"/>
        <w:right w:val="none" w:sz="0" w:space="0" w:color="auto"/>
      </w:divBdr>
    </w:div>
    <w:div w:id="149942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All97</b:Tag>
    <b:SourceType>ConferenceProceedings</b:SourceType>
    <b:Guid>{1C5686B9-2FF2-4F70-B743-897E2C89DBDD}</b:Guid>
    <b:Author>
      <b:Author>
        <b:NameList>
          <b:Person>
            <b:Last>Allmaras</b:Last>
            <b:First>P.R.</b:First>
            <b:Middle>Spalart and W.H. Jou and M. Strelets and S.R&gt;</b:Middle>
          </b:Person>
        </b:NameList>
      </b:Author>
    </b:Author>
    <b:Title>Comments on the Feasibility of LES for Wings and a Hybrid RANS/LES Approach</b:Title>
    <b:Year>1997</b:Year>
    <b:ConferenceName>Advances in DNS/LES</b:ConferenceName>
    <b:RefOrder>1</b:RefOrder>
  </b:Source>
  <b:Source>
    <b:Tag>Bae11</b:Tag>
    <b:SourceType>ArticleInAPeriodical</b:SourceType>
    <b:Guid>{86DCB19E-B26E-44DD-B407-A5251EEF512E}</b:Guid>
    <b:Title>Application of the Correlation-based g􀀀Reqt Transition Model to the Spalart-Allmaras Turbulence Model</b:Title>
    <b:Year>27 - 30 June 2011</b:Year>
    <b:Author>
      <b:Author>
        <b:NameList>
          <b:Person>
            <b:Last>Baeder</b:Last>
            <b:First>S.</b:First>
            <b:Middle>Medida and J.D.</b:Middle>
          </b:Person>
        </b:NameList>
      </b:Author>
    </b:Author>
    <b:PeriodicalTitle>20th AIAA Computational Fluid Dynamics Conference</b:PeriodicalTitle>
    <b:RefOrder>2</b:RefOrder>
  </b:Source>
</b:Sources>
</file>

<file path=customXml/itemProps1.xml><?xml version="1.0" encoding="utf-8"?>
<ds:datastoreItem xmlns:ds="http://schemas.openxmlformats.org/officeDocument/2006/customXml" ds:itemID="{40062BBF-08E0-460F-9809-BF3E43360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asus</cp:lastModifiedBy>
  <cp:revision>7</cp:revision>
  <dcterms:created xsi:type="dcterms:W3CDTF">2017-12-30T11:05:00Z</dcterms:created>
  <dcterms:modified xsi:type="dcterms:W3CDTF">2018-04-12T13:23:00Z</dcterms:modified>
</cp:coreProperties>
</file>