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4F23BD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4F23BD" w:rsidRPr="004F23BD">
        <w:rPr>
          <w:rFonts w:cs="B Titr"/>
          <w:b/>
          <w:bCs/>
          <w:color w:val="0070C0"/>
          <w:sz w:val="36"/>
          <w:szCs w:val="36"/>
        </w:rPr>
        <w:t>Weifang_TraSST_Source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2"/>
        <w:gridCol w:w="1731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942975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CC601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EF17C1">
              <w:rPr>
                <w:b/>
                <w:bCs/>
                <w:sz w:val="22"/>
                <w:szCs w:val="24"/>
              </w:rPr>
              <w:t>1</w:t>
            </w:r>
            <w:r w:rsidR="00CC6019">
              <w:rPr>
                <w:b/>
                <w:bCs/>
                <w:sz w:val="22"/>
                <w:szCs w:val="24"/>
              </w:rPr>
              <w:t>8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10226" w:type="dxa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9"/>
        <w:gridCol w:w="1703"/>
        <w:gridCol w:w="4638"/>
        <w:gridCol w:w="1496"/>
      </w:tblGrid>
      <w:tr w:rsidR="002D6B91" w:rsidRPr="002D6B91" w:rsidTr="00157009">
        <w:trPr>
          <w:trHeight w:val="432"/>
        </w:trPr>
        <w:tc>
          <w:tcPr>
            <w:tcW w:w="10226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157009" w:rsidP="00CC6019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157009">
              <w:rPr>
                <w:rFonts w:eastAsia="Calibri"/>
                <w:b/>
                <w:bCs/>
                <w:color w:val="0070C0"/>
                <w:sz w:val="22"/>
                <w:szCs w:val="24"/>
              </w:rPr>
              <w:lastRenderedPageBreak/>
              <w:t>SA_ProdDest(Dim,NC,A,Dw,MR,Cv1,Cb1,Cw1,Cw2,Cw3,Kei,WNP1,Mut,DUY,DVX,WTNP1,Dest,Prod)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638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03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49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626D4E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92466B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2466B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4"/>
                <w:rtl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pStyle w:val="-"/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2466B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92466B" w:rsidRPr="00DD243F" w:rsidRDefault="0092466B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92466B" w:rsidRPr="00DD243F" w:rsidRDefault="0092466B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92466B" w:rsidRPr="00DD243F" w:rsidRDefault="0092466B" w:rsidP="007B2F8E">
            <w:pPr>
              <w:pStyle w:val="-"/>
              <w:spacing w:after="0"/>
              <w:jc w:val="left"/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92466B" w:rsidRPr="00DD243F" w:rsidRDefault="0092466B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B7336" w:rsidRPr="00626D4E" w:rsidRDefault="00CC6019" w:rsidP="000D5102">
            <w:pPr>
              <w:pStyle w:val="-"/>
              <w:spacing w:after="0" w:line="240" w:lineRule="auto"/>
            </w:pPr>
            <w:r>
              <w:t>Destruction Term of Turbulence Model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B7336" w:rsidRPr="00626D4E" w:rsidRDefault="00CC6019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CC6019">
              <w:rPr>
                <w:rFonts w:asciiTheme="majorBidi" w:eastAsia="Calibri" w:hAnsiTheme="majorBidi" w:cstheme="majorBidi"/>
                <w:sz w:val="24"/>
                <w:szCs w:val="24"/>
              </w:rPr>
              <w:t>Dest</w:t>
            </w:r>
            <w:proofErr w:type="spellEnd"/>
          </w:p>
        </w:tc>
      </w:tr>
      <w:tr w:rsidR="00157009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57009" w:rsidRPr="001B7336" w:rsidRDefault="00157009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57009" w:rsidRPr="001B7336" w:rsidRDefault="00157009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57009" w:rsidRDefault="00157009" w:rsidP="000D5102">
            <w:pPr>
              <w:pStyle w:val="-"/>
              <w:spacing w:after="0" w:line="240" w:lineRule="auto"/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57009" w:rsidRPr="00CC6019" w:rsidRDefault="00157009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F175CD" w:rsidRDefault="00F175CD" w:rsidP="004F23BD">
      <w:pPr>
        <w:pStyle w:val="a9"/>
        <w:spacing w:line="360" w:lineRule="auto"/>
        <w:rPr>
          <w:rtl/>
        </w:rPr>
      </w:pPr>
      <w:r>
        <w:rPr>
          <w:rFonts w:hint="cs"/>
          <w:rtl/>
        </w:rPr>
        <w:t>در این زیربرنام</w:t>
      </w:r>
      <w:r w:rsidR="002B21C1">
        <w:rPr>
          <w:rFonts w:hint="cs"/>
          <w:rtl/>
        </w:rPr>
        <w:t>ه، مقدار ترم چشمه معادلات</w:t>
      </w:r>
      <w:r w:rsidR="004226D7">
        <w:rPr>
          <w:rFonts w:hint="cs"/>
          <w:rtl/>
        </w:rPr>
        <w:t xml:space="preserve"> مدل</w:t>
      </w:r>
      <w:r w:rsidR="002B21C1">
        <w:rPr>
          <w:rFonts w:hint="cs"/>
          <w:rtl/>
        </w:rPr>
        <w:t xml:space="preserve"> گذار</w:t>
      </w:r>
      <w:r w:rsidR="004226D7">
        <w:rPr>
          <w:rFonts w:hint="cs"/>
          <w:rtl/>
        </w:rPr>
        <w:t xml:space="preserve"> </w:t>
      </w:r>
      <w:proofErr w:type="spellStart"/>
      <w:r w:rsidR="004F23BD">
        <w:t>weifang</w:t>
      </w:r>
      <w:proofErr w:type="spellEnd"/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175CD" w:rsidRDefault="00F175CD" w:rsidP="00F175CD">
      <w:pPr>
        <w:pStyle w:val="-2"/>
        <w:numPr>
          <w:ilvl w:val="1"/>
          <w:numId w:val="12"/>
        </w:numPr>
        <w:rPr>
          <w:rtl/>
        </w:rPr>
      </w:pPr>
      <w:bookmarkStart w:id="0" w:name="_Toc439502889"/>
      <w:r>
        <w:rPr>
          <w:rFonts w:hint="cs"/>
          <w:rtl/>
        </w:rPr>
        <w:t>تئوری و الگوریتم</w:t>
      </w:r>
      <w:bookmarkEnd w:id="0"/>
    </w:p>
    <w:p w:rsidR="00F175CD" w:rsidRDefault="00224A66" w:rsidP="004F23BD">
      <w:pPr>
        <w:pStyle w:val="a9"/>
        <w:spacing w:line="360" w:lineRule="auto"/>
        <w:rPr>
          <w:rFonts w:hint="cs"/>
          <w:rtl/>
        </w:rPr>
      </w:pPr>
      <w:r>
        <w:rPr>
          <w:rFonts w:hint="cs"/>
          <w:rtl/>
        </w:rPr>
        <w:t>ترم چشمه در مدل آشفتگی</w:t>
      </w:r>
      <w:r w:rsidRPr="000356C8">
        <w:rPr>
          <w:position w:val="-6"/>
        </w:rPr>
        <w:object w:dxaOrig="15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5pt" o:ole="">
            <v:imagedata r:id="rId14" o:title=""/>
          </v:shape>
          <o:OLEObject Type="Embed" ProgID="Equation.DSMT4" ShapeID="_x0000_i1025" DrawAspect="Content" ObjectID="_1562410849" r:id="rId15"/>
        </w:object>
      </w:r>
      <w:r w:rsidR="00F175CD">
        <w:rPr>
          <w:rFonts w:hint="cs"/>
          <w:rtl/>
        </w:rPr>
        <w:t xml:space="preserve"> به صورت زیر می</w:t>
      </w:r>
      <w:r w:rsidR="00F175CD">
        <w:rPr>
          <w:rtl/>
        </w:rPr>
        <w:softHyphen/>
      </w:r>
      <w:r w:rsidR="00F175CD">
        <w:rPr>
          <w:rFonts w:hint="cs"/>
          <w:rtl/>
        </w:rPr>
        <w:t>باشد</w:t>
      </w:r>
      <w:r w:rsidR="002B21C1">
        <w:t xml:space="preserve"> </w:t>
      </w:r>
      <w:sdt>
        <w:sdtPr>
          <w:rPr>
            <w:rtl/>
          </w:rPr>
          <w:id w:val="1497076894"/>
          <w:citation/>
        </w:sdtPr>
        <w:sdtContent>
          <w:r w:rsidR="004F23BD">
            <w:rPr>
              <w:rtl/>
            </w:rPr>
            <w:fldChar w:fldCharType="begin"/>
          </w:r>
          <w:r w:rsidR="004F23BD">
            <w:instrText xml:space="preserve"> CITATION Xia151 \l 1033 </w:instrText>
          </w:r>
          <w:r w:rsidR="004F23BD">
            <w:rPr>
              <w:rtl/>
            </w:rPr>
            <w:fldChar w:fldCharType="separate"/>
          </w:r>
          <w:r w:rsidR="004F23BD" w:rsidRPr="004F23BD">
            <w:rPr>
              <w:noProof/>
            </w:rPr>
            <w:t>[1]</w:t>
          </w:r>
          <w:r w:rsidR="004F23BD">
            <w:rPr>
              <w:rtl/>
            </w:rPr>
            <w:fldChar w:fldCharType="end"/>
          </w:r>
        </w:sdtContent>
      </w:sdt>
      <w:r w:rsidR="004F23BD">
        <w:rPr>
          <w:rFonts w:hint="cs"/>
          <w:rtl/>
        </w:rPr>
        <w:t xml:space="preserve">: </w:t>
      </w:r>
    </w:p>
    <w:p w:rsidR="002B21C1" w:rsidRDefault="00676121" w:rsidP="002B21C1">
      <w:pPr>
        <w:pStyle w:val="a0"/>
        <w:tabs>
          <w:tab w:val="clear" w:pos="7938"/>
          <w:tab w:val="right" w:pos="8600"/>
        </w:tabs>
        <w:rPr>
          <w:rtl/>
        </w:rPr>
      </w:pPr>
      <w:r>
        <w:lastRenderedPageBreak/>
        <w:tab/>
        <w:t xml:space="preserve"> </w:t>
      </w:r>
      <w:bookmarkStart w:id="1" w:name="_Ref440304165"/>
      <w:bookmarkStart w:id="2" w:name="_Ref440366198"/>
      <w:bookmarkEnd w:id="1"/>
      <w:bookmarkEnd w:id="2"/>
      <w:r w:rsidR="004F23BD">
        <w:object w:dxaOrig="6180" w:dyaOrig="2180">
          <v:shape id="_x0000_i1032" type="#_x0000_t75" style="width:309pt;height:109.2pt" o:ole="">
            <v:imagedata r:id="rId16" o:title=""/>
          </v:shape>
          <o:OLEObject Type="Embed" ProgID="Equation.DSMT4" ShapeID="_x0000_i1032" DrawAspect="Content" ObjectID="_1562410850" r:id="rId17"/>
        </w:object>
      </w:r>
    </w:p>
    <w:p w:rsidR="00676121" w:rsidRDefault="00676121" w:rsidP="00676121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به منظور جلوگیری از افزایش غیرفیزیکی </w:t>
      </w:r>
      <w:r w:rsidRPr="00676121">
        <w:rPr>
          <w:position w:val="-6"/>
        </w:rPr>
        <w:object w:dxaOrig="220" w:dyaOrig="300">
          <v:shape id="_x0000_i1026" type="#_x0000_t75" style="width:10.8pt;height:15pt" o:ole="">
            <v:imagedata r:id="rId18" o:title=""/>
          </v:shape>
          <o:OLEObject Type="Embed" ProgID="Equation.DSMT4" ShapeID="_x0000_i1026" DrawAspect="Content" ObjectID="_1562410851" r:id="rId19"/>
        </w:object>
      </w:r>
      <w:r>
        <w:rPr>
          <w:rFonts w:hint="cs"/>
          <w:rtl/>
        </w:rPr>
        <w:t xml:space="preserve"> در نقاط سکون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>، منتر</w:t>
      </w:r>
      <w:r w:rsidR="0004689B"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پیشنهاد داده است که برای ترم </w:t>
      </w:r>
      <w:r w:rsidRPr="00FE4A0C">
        <w:rPr>
          <w:position w:val="-12"/>
        </w:rPr>
        <w:object w:dxaOrig="279" w:dyaOrig="360">
          <v:shape id="_x0000_i1027" type="#_x0000_t75" style="width:13.8pt;height:18pt" o:ole="">
            <v:imagedata r:id="rId20" o:title=""/>
          </v:shape>
          <o:OLEObject Type="Embed" ProgID="Equation.DSMT4" ShapeID="_x0000_i1027" DrawAspect="Content" ObjectID="_1562410852" r:id="rId21"/>
        </w:object>
      </w:r>
      <w:r w:rsidR="0004689B">
        <w:rPr>
          <w:rFonts w:hint="cs"/>
          <w:rtl/>
        </w:rPr>
        <w:t xml:space="preserve"> در معادله مربوط به </w:t>
      </w:r>
      <w:r w:rsidR="0004689B" w:rsidRPr="0004689B">
        <w:rPr>
          <w:position w:val="-6"/>
        </w:rPr>
        <w:object w:dxaOrig="220" w:dyaOrig="300">
          <v:shape id="_x0000_i1028" type="#_x0000_t75" style="width:10.8pt;height:15pt" o:ole="">
            <v:imagedata r:id="rId22" o:title=""/>
          </v:shape>
          <o:OLEObject Type="Embed" ProgID="Equation.DSMT4" ShapeID="_x0000_i1028" DrawAspect="Content" ObjectID="_1562410853" r:id="rId23"/>
        </w:object>
      </w:r>
      <w:r w:rsidR="0004689B">
        <w:rPr>
          <w:rFonts w:hint="cs"/>
          <w:rtl/>
        </w:rPr>
        <w:t xml:space="preserve">، </w:t>
      </w:r>
      <w:r>
        <w:rPr>
          <w:rFonts w:hint="cs"/>
          <w:rtl/>
        </w:rPr>
        <w:t>از یک محدود کننده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مطابق رابطه زیر استفاده شود</w:t>
      </w:r>
      <w:r w:rsidR="004226D7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391423236"/>
          <w:citation/>
        </w:sdtPr>
        <w:sdtEndPr/>
        <w:sdtContent>
          <w:r w:rsidR="004226D7">
            <w:rPr>
              <w:rtl/>
            </w:rPr>
            <w:fldChar w:fldCharType="begin"/>
          </w:r>
          <w:r w:rsidR="004226D7">
            <w:rPr>
              <w:rtl/>
            </w:rPr>
            <w:instrText xml:space="preserve"> </w:instrText>
          </w:r>
          <w:r w:rsidR="004226D7">
            <w:rPr>
              <w:rFonts w:hint="cs"/>
            </w:rPr>
            <w:instrText>CITATION</w:instrText>
          </w:r>
          <w:r w:rsidR="004226D7">
            <w:rPr>
              <w:rFonts w:hint="cs"/>
              <w:rtl/>
            </w:rPr>
            <w:instrText xml:space="preserve"> </w:instrText>
          </w:r>
          <w:r w:rsidR="004226D7">
            <w:rPr>
              <w:rFonts w:hint="cs"/>
            </w:rPr>
            <w:instrText>Two \l 1065</w:instrText>
          </w:r>
          <w:r w:rsidR="004226D7">
            <w:rPr>
              <w:rtl/>
            </w:rPr>
            <w:instrText xml:space="preserve"> </w:instrText>
          </w:r>
          <w:r w:rsidR="004226D7">
            <w:rPr>
              <w:rtl/>
            </w:rPr>
            <w:fldChar w:fldCharType="separate"/>
          </w:r>
          <w:r w:rsidR="002B21C1" w:rsidRPr="002B21C1">
            <w:rPr>
              <w:noProof/>
            </w:rPr>
            <w:t>[2]</w:t>
          </w:r>
          <w:r w:rsidR="004226D7"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676121" w:rsidRDefault="00676121" w:rsidP="00676121">
      <w:pPr>
        <w:pStyle w:val="a0"/>
        <w:tabs>
          <w:tab w:val="clear" w:pos="7938"/>
          <w:tab w:val="right" w:pos="8600"/>
        </w:tabs>
        <w:rPr>
          <w:rtl/>
        </w:rPr>
      </w:pPr>
      <w:r>
        <w:rPr>
          <w:rtl/>
        </w:rPr>
        <w:tab/>
      </w:r>
      <w:bookmarkStart w:id="3" w:name="_Ref440304171"/>
      <w:bookmarkStart w:id="4" w:name="_Ref440366180"/>
      <w:bookmarkEnd w:id="3"/>
      <w:bookmarkEnd w:id="4"/>
      <w:r>
        <w:object w:dxaOrig="2540" w:dyaOrig="480">
          <v:shape id="_x0000_i1029" type="#_x0000_t75" style="width:127.2pt;height:24pt" o:ole="">
            <v:imagedata r:id="rId24" o:title=""/>
          </v:shape>
          <o:OLEObject Type="Embed" ProgID="Equation.DSMT4" ShapeID="_x0000_i1029" DrawAspect="Content" ObjectID="_1562410854" r:id="rId25"/>
        </w:object>
      </w:r>
      <w:r>
        <w:rPr>
          <w:rtl/>
        </w:rPr>
        <w:t xml:space="preserve"> </w:t>
      </w:r>
    </w:p>
    <w:p w:rsidR="00F175CD" w:rsidRDefault="00F175CD" w:rsidP="002B21C1">
      <w:pPr>
        <w:pStyle w:val="a9"/>
        <w:spacing w:line="360" w:lineRule="auto"/>
        <w:rPr>
          <w:rtl/>
        </w:rPr>
      </w:pPr>
      <w:r>
        <w:rPr>
          <w:rFonts w:hint="cs"/>
          <w:rtl/>
        </w:rPr>
        <w:t>همانگونه که مشخص است در این زیربرنامه لازم است که مقادیر مشتق اول مولفه</w:t>
      </w:r>
      <w:r>
        <w:rPr>
          <w:rtl/>
        </w:rPr>
        <w:softHyphen/>
      </w:r>
      <w:r>
        <w:rPr>
          <w:rFonts w:hint="cs"/>
          <w:rtl/>
        </w:rPr>
        <w:t xml:space="preserve">های سرعت و همچنین متغیرهای آشفتگی در مرکز هر سلول معلوم باشد. محاسبه این مشتقات، در زیربرنامه </w:t>
      </w:r>
      <w:proofErr w:type="spellStart"/>
      <w:r w:rsidR="002B21C1">
        <w:t>TraSST_GradCell</w:t>
      </w:r>
      <w:proofErr w:type="spellEnd"/>
      <w:r>
        <w:rPr>
          <w:rFonts w:hint="cs"/>
          <w:rtl/>
        </w:rPr>
        <w:t xml:space="preserve"> صورت پذیرفته است و در این زیربرنامه از نتایج آن استفاده می</w:t>
      </w:r>
      <w:r>
        <w:rPr>
          <w:rtl/>
        </w:rPr>
        <w:softHyphen/>
      </w:r>
      <w:r>
        <w:rPr>
          <w:rFonts w:hint="cs"/>
          <w:rtl/>
        </w:rPr>
        <w:t>شود و به راحتی مقدار ترم چشمه در مرکز هر سلول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175CD" w:rsidRDefault="00F175CD" w:rsidP="00F175CD">
      <w:pPr>
        <w:pStyle w:val="-2"/>
        <w:ind w:left="864"/>
        <w:rPr>
          <w:rtl/>
        </w:rPr>
      </w:pPr>
      <w:bookmarkStart w:id="5" w:name="_Toc439502890"/>
      <w:r>
        <w:rPr>
          <w:rFonts w:hint="cs"/>
          <w:rtl/>
        </w:rPr>
        <w:t>بخش های زیربرنامه</w:t>
      </w:r>
      <w:bookmarkEnd w:id="5"/>
    </w:p>
    <w:p w:rsidR="00EC3E9A" w:rsidRDefault="00F175CD" w:rsidP="00EC3E9A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</w:t>
      </w:r>
      <w:r w:rsidR="00EC3E9A">
        <w:rPr>
          <w:rFonts w:hint="cs"/>
          <w:rtl/>
        </w:rPr>
        <w:t>.</w:t>
      </w:r>
    </w:p>
    <w:p w:rsidR="00EC3E9A" w:rsidRPr="00957AC8" w:rsidRDefault="00EC3E9A" w:rsidP="00EC3E9A">
      <w:pPr>
        <w:pStyle w:val="a2"/>
        <w:numPr>
          <w:ilvl w:val="0"/>
          <w:numId w:val="13"/>
        </w:numPr>
        <w:rPr>
          <w:rtl/>
        </w:rPr>
      </w:pPr>
      <w:r w:rsidRPr="00957AC8">
        <w:rPr>
          <w:rFonts w:hint="cs"/>
          <w:rtl/>
        </w:rPr>
        <w:t xml:space="preserve">مقداردهی اولیه به </w:t>
      </w:r>
      <w:r>
        <w:rPr>
          <w:rFonts w:hint="cs"/>
          <w:rtl/>
        </w:rPr>
        <w:t>آرایه مربوط به ذخیره ترم چشمه</w:t>
      </w:r>
    </w:p>
    <w:p w:rsidR="00EC3E9A" w:rsidRDefault="00EC3E9A" w:rsidP="00EC3E9A">
      <w:pPr>
        <w:pStyle w:val="a9"/>
        <w:rPr>
          <w:rtl/>
        </w:rPr>
      </w:pPr>
      <w:r>
        <w:rPr>
          <w:rFonts w:hint="cs"/>
          <w:rtl/>
        </w:rPr>
        <w:t>در این قسمت به آرایه</w:t>
      </w:r>
      <w:r>
        <w:rPr>
          <w:rtl/>
        </w:rPr>
        <w:softHyphen/>
      </w:r>
      <w:r>
        <w:rPr>
          <w:rFonts w:hint="cs"/>
          <w:rtl/>
        </w:rPr>
        <w:t>های مربوط به ترم چشمه مقدار اولیه صفر نسبت داده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EC3E9A" w:rsidRDefault="00EC3E9A" w:rsidP="00EC3E9A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تعیین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EC3E9A" w:rsidRDefault="00EC3E9A" w:rsidP="00EC3E9A">
      <w:pPr>
        <w:pStyle w:val="a9"/>
        <w:rPr>
          <w:rtl/>
        </w:rPr>
      </w:pPr>
      <w:r>
        <w:rPr>
          <w:rFonts w:hint="cs"/>
          <w:rtl/>
        </w:rPr>
        <w:t>در این قسمت،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EC3E9A" w:rsidRDefault="002B21C1" w:rsidP="00EC3E9A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ذخیره متغیرهای مدل گذار،</w:t>
      </w:r>
      <w:r w:rsidR="00EC3E9A">
        <w:rPr>
          <w:rFonts w:hint="cs"/>
          <w:rtl/>
        </w:rPr>
        <w:t xml:space="preserve"> چگالی</w:t>
      </w:r>
      <w:r>
        <w:rPr>
          <w:rFonts w:hint="cs"/>
          <w:rtl/>
        </w:rPr>
        <w:t xml:space="preserve"> و مولفه</w:t>
      </w:r>
      <w:r>
        <w:rPr>
          <w:rtl/>
        </w:rPr>
        <w:softHyphen/>
      </w:r>
      <w:r>
        <w:rPr>
          <w:rFonts w:hint="cs"/>
          <w:rtl/>
        </w:rPr>
        <w:t>های سرعت</w:t>
      </w:r>
      <w:r w:rsidR="00EC3E9A">
        <w:rPr>
          <w:rFonts w:hint="cs"/>
          <w:rtl/>
        </w:rPr>
        <w:t xml:space="preserve"> ضلع مورد بررسی</w:t>
      </w:r>
    </w:p>
    <w:p w:rsidR="00EC3E9A" w:rsidRDefault="002B21C1" w:rsidP="004F23BD">
      <w:pPr>
        <w:pStyle w:val="a9"/>
        <w:rPr>
          <w:rtl/>
        </w:rPr>
      </w:pPr>
      <w:r>
        <w:rPr>
          <w:rFonts w:hint="cs"/>
          <w:rtl/>
        </w:rPr>
        <w:t xml:space="preserve">متغیرهای مدل گذار </w:t>
      </w:r>
      <w:proofErr w:type="spellStart"/>
      <w:r w:rsidR="004F23BD">
        <w:t>weifang</w:t>
      </w:r>
      <w:bookmarkStart w:id="6" w:name="_GoBack"/>
      <w:bookmarkEnd w:id="6"/>
      <w:proofErr w:type="spellEnd"/>
      <w:r w:rsidR="00EC3E9A">
        <w:rPr>
          <w:rFonts w:hint="cs"/>
          <w:rtl/>
        </w:rPr>
        <w:t xml:space="preserve"> و</w:t>
      </w:r>
      <w:r>
        <w:rPr>
          <w:rFonts w:hint="cs"/>
          <w:rtl/>
        </w:rPr>
        <w:t xml:space="preserve"> همچنین</w:t>
      </w:r>
      <w:r w:rsidR="00EC3E9A">
        <w:rPr>
          <w:rFonts w:hint="cs"/>
          <w:rtl/>
        </w:rPr>
        <w:t xml:space="preserve"> چگالی</w:t>
      </w:r>
      <w:r>
        <w:rPr>
          <w:rFonts w:hint="cs"/>
          <w:rtl/>
        </w:rPr>
        <w:t xml:space="preserve"> و مولفه</w:t>
      </w:r>
      <w:r>
        <w:rPr>
          <w:rtl/>
        </w:rPr>
        <w:softHyphen/>
      </w:r>
      <w:r>
        <w:rPr>
          <w:rFonts w:hint="cs"/>
          <w:rtl/>
        </w:rPr>
        <w:t>های سرعت</w:t>
      </w:r>
      <w:r w:rsidR="00EC3E9A">
        <w:rPr>
          <w:rFonts w:hint="cs"/>
          <w:rtl/>
        </w:rPr>
        <w:t xml:space="preserve"> ضلع مورد بررسی ذخیره می</w:t>
      </w:r>
      <w:r w:rsidR="00EC3E9A">
        <w:rPr>
          <w:rtl/>
        </w:rPr>
        <w:softHyphen/>
      </w:r>
      <w:r w:rsidR="00EC3E9A">
        <w:rPr>
          <w:rFonts w:hint="cs"/>
          <w:rtl/>
        </w:rPr>
        <w:t>شوند.</w:t>
      </w:r>
    </w:p>
    <w:p w:rsidR="00EC3E9A" w:rsidRDefault="00EC3E9A" w:rsidP="00320853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lastRenderedPageBreak/>
        <w:t xml:space="preserve">محاسبه </w:t>
      </w:r>
      <w:r w:rsidR="002B21C1">
        <w:rPr>
          <w:rFonts w:hint="cs"/>
          <w:rtl/>
        </w:rPr>
        <w:t>اندازه نرخ تنش برشی</w:t>
      </w:r>
    </w:p>
    <w:p w:rsidR="00EC3E9A" w:rsidRDefault="00EC3E9A" w:rsidP="00EC3E9A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محاسبه ترم تولید انرژی جنبشی آشفتگی (</w:t>
      </w:r>
      <w:r w:rsidRPr="00EC3E9A">
        <w:rPr>
          <w:position w:val="-12"/>
        </w:rPr>
        <w:object w:dxaOrig="320" w:dyaOrig="360">
          <v:shape id="_x0000_i1030" type="#_x0000_t75" style="width:16.2pt;height:18pt" o:ole="">
            <v:imagedata r:id="rId26" o:title=""/>
          </v:shape>
          <o:OLEObject Type="Embed" ProgID="Equation.DSMT4" ShapeID="_x0000_i1030" DrawAspect="Content" ObjectID="_1562410855" r:id="rId27"/>
        </w:object>
      </w:r>
      <w:r>
        <w:rPr>
          <w:rFonts w:hint="cs"/>
          <w:rtl/>
        </w:rPr>
        <w:t>)</w:t>
      </w:r>
    </w:p>
    <w:p w:rsidR="00EC3E9A" w:rsidRDefault="00EC3E9A" w:rsidP="00EC3E9A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استفاده از محدود کننده</w:t>
      </w:r>
    </w:p>
    <w:p w:rsidR="00EC3E9A" w:rsidRDefault="00EC3E9A" w:rsidP="00EC3E9A">
      <w:pPr>
        <w:pStyle w:val="a9"/>
        <w:rPr>
          <w:rtl/>
        </w:rPr>
      </w:pPr>
      <w:r>
        <w:rPr>
          <w:rFonts w:hint="cs"/>
          <w:rtl/>
        </w:rPr>
        <w:t>با استفاده از محدودکننده</w:t>
      </w:r>
      <w:r w:rsidR="0004689B">
        <w:rPr>
          <w:rFonts w:hint="cs"/>
          <w:rtl/>
        </w:rPr>
        <w:t xml:space="preserve"> ارائه شده در رابطه </w:t>
      </w:r>
      <w:r w:rsidR="0004689B">
        <w:rPr>
          <w:rtl/>
        </w:rPr>
        <w:fldChar w:fldCharType="begin"/>
      </w:r>
      <w:r w:rsidR="0004689B">
        <w:rPr>
          <w:rtl/>
        </w:rPr>
        <w:instrText xml:space="preserve"> </w:instrText>
      </w:r>
      <w:r w:rsidR="0004689B">
        <w:rPr>
          <w:rFonts w:hint="cs"/>
        </w:rPr>
        <w:instrText>REF</w:instrText>
      </w:r>
      <w:r w:rsidR="0004689B">
        <w:rPr>
          <w:rFonts w:hint="cs"/>
          <w:rtl/>
        </w:rPr>
        <w:instrText xml:space="preserve"> _</w:instrText>
      </w:r>
      <w:r w:rsidR="0004689B">
        <w:rPr>
          <w:rFonts w:hint="cs"/>
        </w:rPr>
        <w:instrText>Ref440366180 \n \h</w:instrText>
      </w:r>
      <w:r w:rsidR="0004689B">
        <w:rPr>
          <w:rtl/>
        </w:rPr>
        <w:instrText xml:space="preserve"> </w:instrText>
      </w:r>
      <w:r w:rsidR="0004689B">
        <w:rPr>
          <w:rtl/>
        </w:rPr>
      </w:r>
      <w:r w:rsidR="0004689B">
        <w:rPr>
          <w:rtl/>
        </w:rPr>
        <w:fldChar w:fldCharType="separate"/>
      </w:r>
      <w:r w:rsidR="002B21C1">
        <w:rPr>
          <w:rtl/>
        </w:rPr>
        <w:t>‏(2)</w:t>
      </w:r>
      <w:r w:rsidR="0004689B">
        <w:rPr>
          <w:rtl/>
        </w:rPr>
        <w:fldChar w:fldCharType="end"/>
      </w:r>
      <w:r>
        <w:rPr>
          <w:rFonts w:hint="cs"/>
          <w:rtl/>
        </w:rPr>
        <w:t xml:space="preserve"> ترم تولید انرژی جنبشی آشفتگی مورد استفاده در معادله </w:t>
      </w:r>
      <w:r w:rsidRPr="00EC3E9A">
        <w:rPr>
          <w:position w:val="-6"/>
        </w:rPr>
        <w:object w:dxaOrig="220" w:dyaOrig="300">
          <v:shape id="_x0000_i1031" type="#_x0000_t75" style="width:10.8pt;height:15pt" o:ole="">
            <v:imagedata r:id="rId28" o:title=""/>
          </v:shape>
          <o:OLEObject Type="Embed" ProgID="Equation.DSMT4" ShapeID="_x0000_i1031" DrawAspect="Content" ObjectID="_1562410856" r:id="rId29"/>
        </w:object>
      </w:r>
      <w:r>
        <w:rPr>
          <w:rFonts w:hint="cs"/>
          <w:rtl/>
        </w:rPr>
        <w:t>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EC3E9A" w:rsidRDefault="00EC3E9A" w:rsidP="00EC3E9A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محاسبه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EC3E9A" w:rsidRDefault="0004689B" w:rsidP="00EC3E9A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Ref440366198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2B21C1">
        <w:rPr>
          <w:rtl/>
        </w:rPr>
        <w:t>‏(1)</w:t>
      </w:r>
      <w:r>
        <w:rPr>
          <w:rtl/>
        </w:rPr>
        <w:fldChar w:fldCharType="end"/>
      </w:r>
      <w:r w:rsidR="00EC3E9A">
        <w:rPr>
          <w:rFonts w:hint="cs"/>
          <w:rtl/>
        </w:rPr>
        <w:t>، ترم چشمه در تمامی سلول</w:t>
      </w:r>
      <w:r w:rsidR="00EC3E9A">
        <w:rPr>
          <w:rtl/>
        </w:rPr>
        <w:softHyphen/>
      </w:r>
      <w:r w:rsidR="00EC3E9A">
        <w:rPr>
          <w:rFonts w:hint="cs"/>
          <w:rtl/>
        </w:rPr>
        <w:t>ها محاسبه می</w:t>
      </w:r>
      <w:r w:rsidR="00EC3E9A">
        <w:rPr>
          <w:rtl/>
        </w:rPr>
        <w:softHyphen/>
      </w:r>
      <w:r w:rsidR="00EC3E9A">
        <w:rPr>
          <w:rFonts w:hint="cs"/>
          <w:rtl/>
        </w:rPr>
        <w:t>گردد.</w:t>
      </w:r>
    </w:p>
    <w:p w:rsidR="0004689B" w:rsidRDefault="0004689B">
      <w:pPr>
        <w:bidi w:val="0"/>
        <w:spacing w:after="160" w:line="259" w:lineRule="auto"/>
        <w:ind w:firstLine="0"/>
        <w:jc w:val="left"/>
        <w:rPr>
          <w:sz w:val="24"/>
          <w:szCs w:val="26"/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-899288685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04689B" w:rsidRDefault="0004689B" w:rsidP="0004689B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5556BE" w:rsidRDefault="0004689B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F. R. Menter, "Two-Equation Eddy-Viscosity Turbulence Models for Engineering Applications,"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32, pp. 1598-1605, 1994. </w:t>
                    </w:r>
                  </w:p>
                </w:tc>
              </w:tr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F. R. Menter, "Improved Two-Equation k-omega Turbulence Models for Aerodynamic Flows," </w:t>
                    </w:r>
                    <w:r>
                      <w:rPr>
                        <w:i/>
                        <w:iCs/>
                      </w:rPr>
                      <w:t xml:space="preserve">NASA TM 103975, </w:t>
                    </w:r>
                    <w:r>
                      <w:t xml:space="preserve">1992. </w:t>
                    </w:r>
                  </w:p>
                </w:tc>
              </w:tr>
            </w:tbl>
            <w:p w:rsidR="005556BE" w:rsidRDefault="005556BE">
              <w:pPr>
                <w:bidi w:val="0"/>
                <w:divId w:val="923997772"/>
                <w:rPr>
                  <w:rFonts w:eastAsia="Times New Roman"/>
                  <w:noProof/>
                </w:rPr>
              </w:pPr>
            </w:p>
            <w:p w:rsidR="0004689B" w:rsidRDefault="000468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C3E9A" w:rsidRDefault="00EC3E9A" w:rsidP="00EC3E9A">
      <w:pPr>
        <w:pStyle w:val="a9"/>
        <w:rPr>
          <w:rtl/>
        </w:rPr>
      </w:pPr>
    </w:p>
    <w:sectPr w:rsidR="00EC3E9A" w:rsidSect="00EC6CA5">
      <w:footerReference w:type="default" r:id="rId30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E8F" w:rsidRDefault="00CF7E8F" w:rsidP="00DB1DB0">
      <w:pPr>
        <w:spacing w:after="0" w:line="240" w:lineRule="auto"/>
      </w:pPr>
      <w:r>
        <w:separator/>
      </w:r>
    </w:p>
  </w:endnote>
  <w:endnote w:type="continuationSeparator" w:id="0">
    <w:p w:rsidR="00CF7E8F" w:rsidRDefault="00CF7E8F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23BD">
      <w:rPr>
        <w:noProof/>
        <w:rtl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E8F" w:rsidRDefault="00CF7E8F" w:rsidP="00DB1DB0">
      <w:pPr>
        <w:spacing w:after="0" w:line="240" w:lineRule="auto"/>
      </w:pPr>
      <w:r>
        <w:separator/>
      </w:r>
    </w:p>
  </w:footnote>
  <w:footnote w:type="continuationSeparator" w:id="0">
    <w:p w:rsidR="00CF7E8F" w:rsidRDefault="00CF7E8F" w:rsidP="00DB1DB0">
      <w:pPr>
        <w:spacing w:after="0" w:line="240" w:lineRule="auto"/>
      </w:pPr>
      <w:r>
        <w:continuationSeparator/>
      </w:r>
    </w:p>
  </w:footnote>
  <w:footnote w:id="1">
    <w:p w:rsidR="00676121" w:rsidRDefault="00676121" w:rsidP="0067612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Stagnation Point</w:t>
      </w:r>
    </w:p>
  </w:footnote>
  <w:footnote w:id="2">
    <w:p w:rsidR="0004689B" w:rsidRDefault="0004689B" w:rsidP="0004689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lang w:bidi="fa-IR"/>
        </w:rPr>
        <w:t>Menter</w:t>
      </w:r>
      <w:proofErr w:type="spellEnd"/>
    </w:p>
  </w:footnote>
  <w:footnote w:id="3">
    <w:p w:rsidR="00676121" w:rsidRDefault="00676121" w:rsidP="0067612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CF7E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CF7E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CF7E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>
    <w:nsid w:val="46282F68"/>
    <w:multiLevelType w:val="hybridMultilevel"/>
    <w:tmpl w:val="FAE0EE2A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7">
    <w:nsid w:val="5C2955D5"/>
    <w:multiLevelType w:val="hybridMultilevel"/>
    <w:tmpl w:val="05E6AC7E"/>
    <w:lvl w:ilvl="0" w:tplc="F9BC69B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59A6"/>
    <w:rsid w:val="00026166"/>
    <w:rsid w:val="00026C99"/>
    <w:rsid w:val="00026D1A"/>
    <w:rsid w:val="00027416"/>
    <w:rsid w:val="00027759"/>
    <w:rsid w:val="00030E7E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689B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1D86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009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A66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1C1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0F86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24CD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0853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26D7"/>
    <w:rsid w:val="004235E6"/>
    <w:rsid w:val="00425CF2"/>
    <w:rsid w:val="00425FB3"/>
    <w:rsid w:val="00426873"/>
    <w:rsid w:val="00427735"/>
    <w:rsid w:val="00427B29"/>
    <w:rsid w:val="00427C4B"/>
    <w:rsid w:val="00427D4A"/>
    <w:rsid w:val="004305A1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3755B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3BD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56BE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86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1FD3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5D2"/>
    <w:rsid w:val="00671312"/>
    <w:rsid w:val="0067319A"/>
    <w:rsid w:val="00673495"/>
    <w:rsid w:val="0067481B"/>
    <w:rsid w:val="00675FC9"/>
    <w:rsid w:val="00676121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0A55"/>
    <w:rsid w:val="0076110C"/>
    <w:rsid w:val="00761DD4"/>
    <w:rsid w:val="00761F91"/>
    <w:rsid w:val="007620C2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466B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60A9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17E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A7E7D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124D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05AB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5FBD"/>
    <w:rsid w:val="00C962A2"/>
    <w:rsid w:val="00C968AC"/>
    <w:rsid w:val="00C96E6C"/>
    <w:rsid w:val="00C96F86"/>
    <w:rsid w:val="00CA0A25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19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E8F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1FE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456A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0E33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1E1"/>
    <w:rsid w:val="00EB5EF6"/>
    <w:rsid w:val="00EB6102"/>
    <w:rsid w:val="00EB6EAE"/>
    <w:rsid w:val="00EC032E"/>
    <w:rsid w:val="00EC15D9"/>
    <w:rsid w:val="00EC2197"/>
    <w:rsid w:val="00EC3B01"/>
    <w:rsid w:val="00EC3E9A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5CD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605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685"/>
    <w:rsid w:val="00FB1729"/>
    <w:rsid w:val="00FB381C"/>
    <w:rsid w:val="00FB3AB2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009BA33B-F635-4BD3-94C9-147835B1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689B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9B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0.wmf"/><Relationship Id="rId10" Type="http://schemas.openxmlformats.org/officeDocument/2006/relationships/header" Target="header1.xml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7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Two</b:Tag>
    <b:SourceType>JournalArticle</b:SourceType>
    <b:Guid>{E6BE7570-B8DB-4318-BD49-F2CEEB9426F1}</b:Guid>
    <b:Title>Two-Equation Eddy-Viscosity Turbulence Models for Engineering Applications</b:Title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</b:JournalName>
    <b:Year>1994</b:Year>
    <b:Pages>1598-1605</b:Pages>
    <b:Volume>32</b:Volume>
    <b:RefOrder>2</b:RefOrder>
  </b:Source>
  <b:Source>
    <b:Tag>FRM92</b:Tag>
    <b:SourceType>JournalArticle</b:SourceType>
    <b:Guid>{AFDD9589-790F-4C25-BF6F-C670E49C5D20}</b:Guid>
    <b:Author>
      <b:Author>
        <b:NameList>
          <b:Person>
            <b:Last>Menter</b:Last>
            <b:First>F.</b:First>
            <b:Middle>R.</b:Middle>
          </b:Person>
        </b:NameList>
      </b:Author>
    </b:Author>
    <b:Title>Improved Two-Equation k-omega Turbulence Models for Aerodynamic Flows</b:Title>
    <b:JournalName>NASA TM 103975</b:JournalName>
    <b:Year>1992</b:Year>
    <b:RefOrder>3</b:RefOrder>
  </b:Source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4</b:RefOrder>
  </b:Source>
  <b:Source>
    <b:Tag>Xia151</b:Tag>
    <b:SourceType>JournalArticle</b:SourceType>
    <b:Guid>{12B489A5-ED2F-4C8A-8206-ABA9815A9856}</b:Guid>
    <b:Author>
      <b:Author>
        <b:NameList>
          <b:Person>
            <b:Last>Xia Chenchao</b:Last>
            <b:First>Chen</b:First>
            <b:Middle>Weifang</b:Middle>
          </b:Person>
        </b:NameList>
      </b:Author>
    </b:Author>
    <b:Title>Boundary-layer transition prediction using a simplified correlation-based model</b:Title>
    <b:JournalName>Chinese Society of Aeronautics and Astronautics</b:JournalName>
    <b:Year>2015</b:Year>
    <b:Pages>66-75</b:Pages>
    <b:RefOrder>1</b:RefOrder>
  </b:Source>
</b:Sources>
</file>

<file path=customXml/itemProps1.xml><?xml version="1.0" encoding="utf-8"?>
<ds:datastoreItem xmlns:ds="http://schemas.openxmlformats.org/officeDocument/2006/customXml" ds:itemID="{009C0028-DC74-4C5A-8208-3784BBE8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3</cp:revision>
  <cp:lastPrinted>2015-05-16T10:39:00Z</cp:lastPrinted>
  <dcterms:created xsi:type="dcterms:W3CDTF">2017-07-24T09:38:00Z</dcterms:created>
  <dcterms:modified xsi:type="dcterms:W3CDTF">2017-07-24T09:44:00Z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