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01F9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84DA350" wp14:editId="7A58A51B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A548A3" w:rsidP="00B97A56">
      <w:pPr>
        <w:pStyle w:val="a4"/>
        <w:rPr>
          <w:rtl/>
        </w:rPr>
      </w:pPr>
      <w:r w:rsidRPr="009B624E">
        <w:t>KwSST</w:t>
      </w:r>
      <w:r>
        <w:t>_V</w:t>
      </w:r>
      <w:r w:rsidRPr="009B624E">
        <w:t>_Source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A548A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محمدحسین سعادت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A548A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3CDE087E" wp14:editId="2CF8AEB4">
                  <wp:extent cx="967563" cy="967563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460" cy="964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548A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محمد حسین سعادت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3F096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F096D" w:rsidRPr="007146B2" w:rsidRDefault="003F096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F096D" w:rsidRPr="007146B2" w:rsidRDefault="003F096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A548A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A548A3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2F133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A548A3" w:rsidRDefault="00A548A3" w:rsidP="00A548A3">
      <w:pPr>
        <w:pStyle w:val="a5"/>
        <w:rPr>
          <w:rtl/>
        </w:rPr>
      </w:pPr>
      <w:r>
        <w:rPr>
          <w:rFonts w:hint="cs"/>
          <w:rtl/>
        </w:rPr>
        <w:t>در این زیربرنامه، مقدار ترم چشمه معادلات آشفتگی</w:t>
      </w:r>
      <w:r w:rsidRPr="009B624E">
        <w:rPr>
          <w:position w:val="-10"/>
        </w:rPr>
        <w:object w:dxaOrig="1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6.5pt" o:ole="">
            <v:imagedata r:id="rId15" o:title=""/>
          </v:shape>
          <o:OLEObject Type="Embed" ProgID="Equation.DSMT4" ShapeID="_x0000_i1025" DrawAspect="Content" ObjectID="_1587487695" r:id="rId16"/>
        </w:objec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A548A3" w:rsidRDefault="00A548A3" w:rsidP="00A548A3">
      <w:pPr>
        <w:pStyle w:val="1"/>
        <w:rPr>
          <w:rtl/>
        </w:rPr>
      </w:pPr>
      <w:bookmarkStart w:id="1" w:name="_Toc439502889"/>
      <w:r>
        <w:rPr>
          <w:rFonts w:hint="cs"/>
          <w:rtl/>
        </w:rPr>
        <w:t>تئوری و الگوریتم</w:t>
      </w:r>
      <w:bookmarkEnd w:id="1"/>
    </w:p>
    <w:p w:rsidR="00A548A3" w:rsidRDefault="00A548A3" w:rsidP="00A548A3">
      <w:pPr>
        <w:pStyle w:val="a5"/>
      </w:pPr>
      <w:r>
        <w:rPr>
          <w:rFonts w:hint="cs"/>
          <w:rtl/>
        </w:rPr>
        <w:t>ترم چشمه در مدل آشفتگی</w:t>
      </w:r>
      <w:r w:rsidRPr="009B624E">
        <w:rPr>
          <w:position w:val="-10"/>
        </w:rPr>
        <w:object w:dxaOrig="1820" w:dyaOrig="340">
          <v:shape id="_x0000_i1026" type="#_x0000_t75" style="width:90.75pt;height:16.5pt" o:ole="">
            <v:imagedata r:id="rId15" o:title=""/>
          </v:shape>
          <o:OLEObject Type="Embed" ProgID="Equation.DSMT4" ShapeID="_x0000_i1026" DrawAspect="Content" ObjectID="_1587487696" r:id="rId17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باشد [1] (توجه شود که فرم تنسوری این روابط در مستندات مدل توربولانسی حاضر آورده شده و در اینجا از فرم ماتریسی آن در مختصات کارتزین استفاده می 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A548A3" w:rsidTr="000025AF">
        <w:tc>
          <w:tcPr>
            <w:tcW w:w="764" w:type="dxa"/>
          </w:tcPr>
          <w:p w:rsidR="00A548A3" w:rsidRDefault="00A548A3" w:rsidP="000025AF">
            <w:pPr>
              <w:pStyle w:val="a2"/>
              <w:rPr>
                <w:rtl/>
              </w:rPr>
            </w:pPr>
            <w:bookmarkStart w:id="2" w:name="_Ref508463295"/>
          </w:p>
        </w:tc>
        <w:bookmarkEnd w:id="2"/>
        <w:tc>
          <w:tcPr>
            <w:tcW w:w="8478" w:type="dxa"/>
          </w:tcPr>
          <w:p w:rsidR="00A548A3" w:rsidRPr="00533226" w:rsidRDefault="00A548A3" w:rsidP="000025AF">
            <w:pPr>
              <w:rPr>
                <w:rtl/>
              </w:rPr>
            </w:pPr>
            <w:r w:rsidRPr="00A548A3">
              <w:rPr>
                <w:position w:val="-48"/>
              </w:rPr>
              <w:object w:dxaOrig="5460" w:dyaOrig="1080">
                <v:shape id="_x0000_i1027" type="#_x0000_t75" style="width:273pt;height:54.75pt" o:ole="">
                  <v:imagedata r:id="rId18" o:title=""/>
                </v:shape>
                <o:OLEObject Type="Embed" ProgID="Equation.DSMT4" ShapeID="_x0000_i1027" DrawAspect="Content" ObjectID="_1587487697" r:id="rId19"/>
              </w:object>
            </w:r>
          </w:p>
        </w:tc>
      </w:tr>
    </w:tbl>
    <w:p w:rsidR="00A548A3" w:rsidRDefault="00A548A3" w:rsidP="00A548A3">
      <w:pPr>
        <w:pStyle w:val="a5"/>
      </w:pPr>
      <w:r>
        <w:rPr>
          <w:rFonts w:hint="cs"/>
          <w:rtl/>
        </w:rPr>
        <w:t xml:space="preserve">در این رابطه، </w:t>
      </w:r>
      <w:r w:rsidRPr="00FE4A0C">
        <w:rPr>
          <w:position w:val="-12"/>
        </w:rPr>
        <w:object w:dxaOrig="279" w:dyaOrig="360">
          <v:shape id="_x0000_i1028" type="#_x0000_t75" style="width:13.5pt;height:18pt" o:ole="">
            <v:imagedata r:id="rId20" o:title=""/>
          </v:shape>
          <o:OLEObject Type="Embed" ProgID="Equation.DSMT4" ShapeID="_x0000_i1028" DrawAspect="Content" ObjectID="_1587487698" r:id="rId21"/>
        </w:object>
      </w:r>
      <w:r>
        <w:t xml:space="preserve"> </w:t>
      </w:r>
      <w:r>
        <w:rPr>
          <w:rFonts w:hint="cs"/>
          <w:rtl/>
        </w:rPr>
        <w:t>ترم تولید انرژی جنبشی آشفتگی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که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A548A3" w:rsidTr="000025AF">
        <w:tc>
          <w:tcPr>
            <w:tcW w:w="764" w:type="dxa"/>
          </w:tcPr>
          <w:p w:rsidR="00A548A3" w:rsidRDefault="00A548A3" w:rsidP="000025AF">
            <w:pPr>
              <w:pStyle w:val="a2"/>
              <w:rPr>
                <w:rtl/>
              </w:rPr>
            </w:pPr>
            <w:bookmarkStart w:id="3" w:name="_Ref508463280"/>
          </w:p>
        </w:tc>
        <w:bookmarkEnd w:id="3"/>
        <w:tc>
          <w:tcPr>
            <w:tcW w:w="8478" w:type="dxa"/>
          </w:tcPr>
          <w:p w:rsidR="00A548A3" w:rsidRPr="00533226" w:rsidRDefault="00A548A3" w:rsidP="000025AF">
            <w:pPr>
              <w:rPr>
                <w:rtl/>
              </w:rPr>
            </w:pPr>
            <w:r w:rsidRPr="00A548A3">
              <w:rPr>
                <w:position w:val="-28"/>
              </w:rPr>
              <w:object w:dxaOrig="3320" w:dyaOrig="680">
                <v:shape id="_x0000_i1029" type="#_x0000_t75" style="width:165.75pt;height:34.5pt" o:ole="">
                  <v:imagedata r:id="rId22" o:title=""/>
                </v:shape>
                <o:OLEObject Type="Embed" ProgID="Equation.DSMT4" ShapeID="_x0000_i1029" DrawAspect="Content" ObjectID="_1587487699" r:id="rId23"/>
              </w:object>
            </w:r>
          </w:p>
        </w:tc>
      </w:tr>
    </w:tbl>
    <w:p w:rsidR="00A548A3" w:rsidRDefault="00A548A3" w:rsidP="00A548A3">
      <w:pPr>
        <w:pStyle w:val="a5"/>
        <w:rPr>
          <w:rtl/>
        </w:rPr>
      </w:pPr>
      <w:r>
        <w:rPr>
          <w:rFonts w:hint="cs"/>
          <w:rtl/>
        </w:rPr>
        <w:t xml:space="preserve">و اندازه وورتیسیتی </w:t>
      </w:r>
      <w:r w:rsidRPr="004226D7">
        <w:rPr>
          <w:position w:val="-4"/>
        </w:rPr>
        <w:object w:dxaOrig="279" w:dyaOrig="260">
          <v:shape id="_x0000_i1030" type="#_x0000_t75" style="width:13.5pt;height:13.5pt" o:ole="">
            <v:imagedata r:id="rId24" o:title=""/>
          </v:shape>
          <o:OLEObject Type="Embed" ProgID="Equation.DSMT4" ShapeID="_x0000_i1030" DrawAspect="Content" ObjectID="_1587487700" r:id="rId2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نیز 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A548A3" w:rsidTr="000025AF">
        <w:tc>
          <w:tcPr>
            <w:tcW w:w="764" w:type="dxa"/>
          </w:tcPr>
          <w:p w:rsidR="00A548A3" w:rsidRDefault="00A548A3" w:rsidP="000025AF">
            <w:pPr>
              <w:pStyle w:val="a2"/>
              <w:rPr>
                <w:rtl/>
              </w:rPr>
            </w:pPr>
            <w:bookmarkStart w:id="4" w:name="_Ref508463271"/>
          </w:p>
        </w:tc>
        <w:bookmarkEnd w:id="4"/>
        <w:tc>
          <w:tcPr>
            <w:tcW w:w="8478" w:type="dxa"/>
          </w:tcPr>
          <w:p w:rsidR="00A548A3" w:rsidRPr="00533226" w:rsidRDefault="00A548A3" w:rsidP="000025AF">
            <w:pPr>
              <w:rPr>
                <w:rtl/>
              </w:rPr>
            </w:pPr>
            <w:r w:rsidRPr="00A548A3">
              <w:rPr>
                <w:position w:val="-30"/>
              </w:rPr>
              <w:object w:dxaOrig="1620" w:dyaOrig="740">
                <v:shape id="_x0000_i1031" type="#_x0000_t75" style="width:81pt;height:36.75pt" o:ole="">
                  <v:imagedata r:id="rId26" o:title=""/>
                </v:shape>
                <o:OLEObject Type="Embed" ProgID="Equation.DSMT4" ShapeID="_x0000_i1031" DrawAspect="Content" ObjectID="_1587487701" r:id="rId27"/>
              </w:object>
            </w:r>
          </w:p>
        </w:tc>
      </w:tr>
    </w:tbl>
    <w:p w:rsidR="00A548A3" w:rsidRDefault="00A548A3" w:rsidP="00A548A3">
      <w:pPr>
        <w:pStyle w:val="a5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32" type="#_x0000_t75" style="width:10.5pt;height:15pt" o:ole="">
            <v:imagedata r:id="rId28" o:title=""/>
          </v:shape>
          <o:OLEObject Type="Embed" ProgID="Equation.DSMT4" ShapeID="_x0000_i1032" DrawAspect="Content" ObjectID="_1587487702" r:id="rId29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، منتر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پیشنهاد داده است که برای ترم </w:t>
      </w:r>
      <w:r w:rsidRPr="00FE4A0C">
        <w:rPr>
          <w:position w:val="-12"/>
        </w:rPr>
        <w:object w:dxaOrig="279" w:dyaOrig="360">
          <v:shape id="_x0000_i1033" type="#_x0000_t75" style="width:13.5pt;height:18pt" o:ole="">
            <v:imagedata r:id="rId20" o:title=""/>
          </v:shape>
          <o:OLEObject Type="Embed" ProgID="Equation.DSMT4" ShapeID="_x0000_i1033" DrawAspect="Content" ObjectID="_1587487703" r:id="rId30"/>
        </w:object>
      </w:r>
      <w:r>
        <w:rPr>
          <w:rFonts w:hint="cs"/>
          <w:rtl/>
        </w:rPr>
        <w:t xml:space="preserve"> </w:t>
      </w:r>
      <w:r w:rsidRPr="008F194C">
        <w:rPr>
          <w:rFonts w:hint="cs"/>
          <w:u w:val="single"/>
          <w:rtl/>
        </w:rPr>
        <w:t xml:space="preserve">در معادله مربوط به </w:t>
      </w:r>
      <w:r w:rsidRPr="008F194C">
        <w:rPr>
          <w:position w:val="-6"/>
          <w:u w:val="single"/>
        </w:rPr>
        <w:object w:dxaOrig="220" w:dyaOrig="300">
          <v:shape id="_x0000_i1034" type="#_x0000_t75" style="width:10.5pt;height:15pt" o:ole="">
            <v:imagedata r:id="rId31" o:title=""/>
          </v:shape>
          <o:OLEObject Type="Embed" ProgID="Equation.DSMT4" ShapeID="_x0000_i1034" DrawAspect="Content" ObjectID="_1587487704" r:id="rId32"/>
        </w:object>
      </w:r>
      <w:r>
        <w:rPr>
          <w:rFonts w:hint="cs"/>
          <w:rtl/>
        </w:rPr>
        <w:t>، از یک محدود کننده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مطابق رابطه زیر استفاده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A548A3" w:rsidTr="000025AF">
        <w:tc>
          <w:tcPr>
            <w:tcW w:w="764" w:type="dxa"/>
          </w:tcPr>
          <w:p w:rsidR="00A548A3" w:rsidRDefault="00A548A3" w:rsidP="000025AF">
            <w:pPr>
              <w:pStyle w:val="a2"/>
              <w:rPr>
                <w:rtl/>
              </w:rPr>
            </w:pPr>
            <w:bookmarkStart w:id="5" w:name="_Ref508463288"/>
          </w:p>
        </w:tc>
        <w:bookmarkEnd w:id="5"/>
        <w:tc>
          <w:tcPr>
            <w:tcW w:w="8478" w:type="dxa"/>
          </w:tcPr>
          <w:p w:rsidR="00A548A3" w:rsidRPr="00533226" w:rsidRDefault="00A548A3" w:rsidP="000025AF">
            <w:pPr>
              <w:rPr>
                <w:rtl/>
              </w:rPr>
            </w:pPr>
            <w:r>
              <w:object w:dxaOrig="2540" w:dyaOrig="480">
                <v:shape id="_x0000_i1035" type="#_x0000_t75" style="width:127.5pt;height:24pt" o:ole="">
                  <v:imagedata r:id="rId33" o:title=""/>
                </v:shape>
                <o:OLEObject Type="Embed" ProgID="Equation.DSMT4" ShapeID="_x0000_i1035" DrawAspect="Content" ObjectID="_1587487705" r:id="rId34"/>
              </w:object>
            </w:r>
          </w:p>
        </w:tc>
      </w:tr>
    </w:tbl>
    <w:p w:rsidR="00A548A3" w:rsidRDefault="00A548A3" w:rsidP="00A548A3">
      <w:pPr>
        <w:pStyle w:val="a5"/>
        <w:rPr>
          <w:rtl/>
        </w:rPr>
      </w:pPr>
      <w:r>
        <w:rPr>
          <w:rFonts w:hint="cs"/>
          <w:rtl/>
        </w:rPr>
        <w:t>همانگونه که مشخص است در این زیربرنامه لازم است که مقادیر مشتق اول مولفه</w:t>
      </w:r>
      <w:r>
        <w:rPr>
          <w:rtl/>
        </w:rPr>
        <w:softHyphen/>
      </w:r>
      <w:r>
        <w:rPr>
          <w:rFonts w:hint="cs"/>
          <w:rtl/>
        </w:rPr>
        <w:t>های سرعت و همچنین متغیرهای آشفتگی در مرکز هر سلول معلوم باشد. محاسبه این مشتقات، در زیربرنامه های دیگر صورت پذیرفته است و در این زیربرنامه از نتایج آن استفاده می</w:t>
      </w:r>
      <w:r>
        <w:rPr>
          <w:rtl/>
        </w:rPr>
        <w:softHyphen/>
      </w:r>
      <w:r>
        <w:rPr>
          <w:rFonts w:hint="cs"/>
          <w:rtl/>
        </w:rPr>
        <w:t>شود و به راحتی مقدار ترم چشمه در مرکز هر سلول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A548A3" w:rsidRDefault="00A548A3" w:rsidP="00A548A3">
      <w:pPr>
        <w:pStyle w:val="1"/>
        <w:rPr>
          <w:rtl/>
        </w:rPr>
      </w:pPr>
      <w:bookmarkStart w:id="6" w:name="_Toc439502890"/>
      <w:r>
        <w:rPr>
          <w:rFonts w:hint="cs"/>
          <w:rtl/>
        </w:rPr>
        <w:t>بخش های زیربرنامه</w:t>
      </w:r>
      <w:bookmarkEnd w:id="6"/>
    </w:p>
    <w:p w:rsidR="00A548A3" w:rsidRDefault="00A548A3" w:rsidP="00A548A3">
      <w:pPr>
        <w:pStyle w:val="a5"/>
        <w:rPr>
          <w:rtl/>
        </w:rPr>
      </w:pPr>
      <w:r>
        <w:rPr>
          <w:rFonts w:hint="cs"/>
          <w:rtl/>
        </w:rPr>
        <w:lastRenderedPageBreak/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A548A3" w:rsidRDefault="00A548A3" w:rsidP="00A548A3">
      <w:pPr>
        <w:pStyle w:val="a"/>
        <w:rPr>
          <w:rtl/>
        </w:rPr>
      </w:pPr>
      <w:r>
        <w:rPr>
          <w:rFonts w:hint="cs"/>
          <w:rtl/>
        </w:rPr>
        <w:t>تعیین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A548A3" w:rsidRDefault="00A548A3" w:rsidP="00A548A3">
      <w:pPr>
        <w:pStyle w:val="a5"/>
        <w:rPr>
          <w:rtl/>
        </w:rPr>
      </w:pPr>
      <w:r>
        <w:rPr>
          <w:rFonts w:hint="cs"/>
          <w:rtl/>
        </w:rPr>
        <w:t>در این قسمت،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A548A3" w:rsidRDefault="00A548A3" w:rsidP="00A548A3">
      <w:pPr>
        <w:pStyle w:val="a"/>
        <w:rPr>
          <w:rtl/>
        </w:rPr>
      </w:pPr>
      <w:r>
        <w:rPr>
          <w:rFonts w:hint="cs"/>
          <w:rtl/>
        </w:rPr>
        <w:t>ذخیره متغیرهای آشفتگی و چگالی سلول مورد بررسی</w:t>
      </w:r>
    </w:p>
    <w:p w:rsidR="00A548A3" w:rsidRDefault="00A548A3" w:rsidP="00A548A3">
      <w:pPr>
        <w:pStyle w:val="a5"/>
        <w:rPr>
          <w:rtl/>
        </w:rPr>
      </w:pPr>
      <w:r>
        <w:rPr>
          <w:rFonts w:hint="cs"/>
          <w:rtl/>
        </w:rPr>
        <w:t xml:space="preserve">متغیرهای آشفتگی و چگالی </w:t>
      </w:r>
      <w:r w:rsidRPr="008F194C">
        <w:rPr>
          <w:rtl/>
        </w:rPr>
        <w:t xml:space="preserve">سلول </w:t>
      </w:r>
      <w:r>
        <w:rPr>
          <w:rFonts w:hint="cs"/>
          <w:rtl/>
        </w:rPr>
        <w:t>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A548A3" w:rsidRDefault="00A548A3" w:rsidP="00A548A3">
      <w:pPr>
        <w:pStyle w:val="a"/>
        <w:rPr>
          <w:rtl/>
        </w:rPr>
      </w:pPr>
      <w:r>
        <w:rPr>
          <w:rFonts w:hint="cs"/>
          <w:rtl/>
        </w:rPr>
        <w:t xml:space="preserve">محاسبه مولفه </w:t>
      </w:r>
      <w:r>
        <w:rPr>
          <w:rtl/>
        </w:rPr>
        <w:softHyphen/>
      </w:r>
      <w:r>
        <w:rPr>
          <w:rFonts w:hint="cs"/>
          <w:rtl/>
        </w:rPr>
        <w:t>های تنش</w:t>
      </w:r>
      <w:r>
        <w:rPr>
          <w:rtl/>
        </w:rPr>
        <w:softHyphen/>
      </w:r>
    </w:p>
    <w:p w:rsidR="00A548A3" w:rsidRPr="004A004C" w:rsidRDefault="00A548A3" w:rsidP="00A548A3">
      <w:pPr>
        <w:pStyle w:val="a5"/>
        <w:rPr>
          <w:rtl/>
        </w:rPr>
      </w:pPr>
      <w:r>
        <w:rPr>
          <w:rFonts w:hint="cs"/>
          <w:rtl/>
        </w:rPr>
        <w:t>مولفه</w:t>
      </w:r>
      <w:r>
        <w:rPr>
          <w:rtl/>
        </w:rPr>
        <w:softHyphen/>
      </w:r>
      <w:r>
        <w:rPr>
          <w:rFonts w:hint="cs"/>
          <w:rtl/>
        </w:rPr>
        <w:t xml:space="preserve">های تنش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Ref508463271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A548A3" w:rsidRDefault="00A548A3" w:rsidP="00A548A3">
      <w:pPr>
        <w:pStyle w:val="a"/>
        <w:rPr>
          <w:rtl/>
        </w:rPr>
      </w:pPr>
      <w:r>
        <w:rPr>
          <w:rFonts w:hint="cs"/>
          <w:rtl/>
        </w:rPr>
        <w:t>محاسبه ترم تولید انرژی جنبشی آشفتگی (</w:t>
      </w:r>
      <w:r w:rsidRPr="00EC3E9A">
        <w:rPr>
          <w:position w:val="-12"/>
        </w:rPr>
        <w:object w:dxaOrig="320" w:dyaOrig="360">
          <v:shape id="_x0000_i1036" type="#_x0000_t75" style="width:16.5pt;height:18pt" o:ole="">
            <v:imagedata r:id="rId35" o:title=""/>
          </v:shape>
          <o:OLEObject Type="Embed" ProgID="Equation.DSMT4" ShapeID="_x0000_i1036" DrawAspect="Content" ObjectID="_1587487706" r:id="rId36"/>
        </w:object>
      </w:r>
      <w:r>
        <w:rPr>
          <w:rFonts w:hint="cs"/>
          <w:rtl/>
        </w:rPr>
        <w:t>)</w:t>
      </w:r>
    </w:p>
    <w:p w:rsidR="00A548A3" w:rsidRDefault="00A548A3" w:rsidP="00A548A3">
      <w:pPr>
        <w:pStyle w:val="a5"/>
        <w:rPr>
          <w:rtl/>
        </w:rPr>
      </w:pPr>
      <w:r>
        <w:rPr>
          <w:rFonts w:hint="cs"/>
          <w:rtl/>
        </w:rPr>
        <w:t xml:space="preserve">ترم تولید انرژی جنبشی آشفتگی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Ref508463280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A548A3" w:rsidRDefault="00A548A3" w:rsidP="00A548A3">
      <w:pPr>
        <w:pStyle w:val="a"/>
        <w:rPr>
          <w:rtl/>
        </w:rPr>
      </w:pPr>
      <w:r>
        <w:rPr>
          <w:rFonts w:hint="cs"/>
          <w:rtl/>
        </w:rPr>
        <w:t>استفاده از محدود کننده</w:t>
      </w:r>
    </w:p>
    <w:p w:rsidR="00A548A3" w:rsidRPr="008F194C" w:rsidRDefault="00A548A3" w:rsidP="00A548A3">
      <w:pPr>
        <w:pStyle w:val="a5"/>
        <w:rPr>
          <w:rtl/>
        </w:rPr>
      </w:pPr>
      <w:r w:rsidRPr="008F194C">
        <w:rPr>
          <w:rFonts w:hint="cs"/>
          <w:rtl/>
        </w:rPr>
        <w:t xml:space="preserve">با استفاده از محدودکننده ارائه شده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Ref508463288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 w:rsidRPr="008F194C">
        <w:rPr>
          <w:rFonts w:hint="cs"/>
          <w:rtl/>
        </w:rPr>
        <w:t xml:space="preserve"> ترم تولید انرژی جنبشی آشفتگی مورد استفاده در معادله </w:t>
      </w:r>
      <w:r w:rsidRPr="008F194C">
        <w:object w:dxaOrig="220" w:dyaOrig="300">
          <v:shape id="_x0000_i1037" type="#_x0000_t75" style="width:10.5pt;height:15pt" o:ole="">
            <v:imagedata r:id="rId37" o:title=""/>
          </v:shape>
          <o:OLEObject Type="Embed" ProgID="Equation.DSMT4" ShapeID="_x0000_i1037" DrawAspect="Content" ObjectID="_1587487707" r:id="rId38"/>
        </w:object>
      </w:r>
      <w:r w:rsidRPr="008F194C">
        <w:rPr>
          <w:rFonts w:hint="cs"/>
          <w:rtl/>
        </w:rPr>
        <w:t>، محاسبه می</w:t>
      </w:r>
      <w:r w:rsidRPr="008F194C">
        <w:rPr>
          <w:rtl/>
        </w:rPr>
        <w:softHyphen/>
      </w:r>
      <w:r w:rsidRPr="008F194C">
        <w:rPr>
          <w:rFonts w:hint="cs"/>
          <w:rtl/>
        </w:rPr>
        <w:t xml:space="preserve">گردد. توجه شود که این مقدار در </w:t>
      </w:r>
      <w:r w:rsidRPr="008F194C">
        <w:rPr>
          <w:position w:val="-12"/>
        </w:rPr>
        <w:object w:dxaOrig="320" w:dyaOrig="360">
          <v:shape id="_x0000_i1038" type="#_x0000_t75" style="width:16.5pt;height:18pt" o:ole="">
            <v:imagedata r:id="rId39" o:title=""/>
          </v:shape>
          <o:OLEObject Type="Embed" ProgID="Equation.DSMT4" ShapeID="_x0000_i1038" DrawAspect="Content" ObjectID="_1587487708" r:id="rId40"/>
        </w:object>
      </w:r>
      <w:r w:rsidRPr="008F194C">
        <w:rPr>
          <w:rFonts w:hint="cs"/>
          <w:rtl/>
        </w:rPr>
        <w:t xml:space="preserve"> ذخیره می شود.</w:t>
      </w:r>
    </w:p>
    <w:p w:rsidR="00A548A3" w:rsidRDefault="00A548A3" w:rsidP="00A548A3">
      <w:pPr>
        <w:pStyle w:val="a"/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A548A3" w:rsidRDefault="00A548A3" w:rsidP="00A548A3">
      <w:pPr>
        <w:pStyle w:val="a5"/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Ref508463295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 توجه شود در ایجا بدلیل انتگرال گیری انجام شده در روش حجم محدود باید مساحت سلول ها در بخش چشمه ضرب شود که در اینجا اینکار انجام می شود.</w:t>
      </w:r>
    </w:p>
    <w:p w:rsidR="00972B02" w:rsidRPr="00972B02" w:rsidRDefault="00972B02" w:rsidP="00BD0C7F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F3611F" w:rsidRPr="00902B50" w:rsidRDefault="00F3611F" w:rsidP="00A548A3">
      <w:pPr>
        <w:pStyle w:val="a9"/>
        <w:bidi w:val="0"/>
        <w:rPr>
          <w:shd w:val="clear" w:color="auto" w:fill="FFFFFF"/>
        </w:rPr>
      </w:pPr>
      <w:r w:rsidRPr="007B2164">
        <w:rPr>
          <w:b/>
          <w:bCs/>
        </w:rPr>
        <w:t>1.</w:t>
      </w:r>
      <w:r w:rsidR="000F649A">
        <w:t xml:space="preserve"> </w:t>
      </w:r>
      <w:r w:rsidR="00A548A3">
        <w:t xml:space="preserve">F. R. Menter, "Two-Equation Eddy-Viscosity Turbulence Models for Engineering Applications," </w:t>
      </w:r>
      <w:r w:rsidR="00A548A3">
        <w:rPr>
          <w:i/>
          <w:iCs/>
        </w:rPr>
        <w:t xml:space="preserve">AIAA Journal, </w:t>
      </w:r>
      <w:r w:rsidR="00A548A3">
        <w:t>vol. 32, pp. 1598-1605, 1994.</w:t>
      </w: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334" w:rsidRDefault="00C21334" w:rsidP="00B927DE">
      <w:pPr>
        <w:spacing w:after="0" w:line="240" w:lineRule="auto"/>
      </w:pPr>
      <w:r>
        <w:separator/>
      </w:r>
    </w:p>
  </w:endnote>
  <w:endnote w:type="continuationSeparator" w:id="0">
    <w:p w:rsidR="00C21334" w:rsidRDefault="00C2133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01F9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334" w:rsidRDefault="00C21334" w:rsidP="00B927DE">
      <w:pPr>
        <w:spacing w:after="0" w:line="240" w:lineRule="auto"/>
      </w:pPr>
      <w:r>
        <w:separator/>
      </w:r>
    </w:p>
  </w:footnote>
  <w:footnote w:type="continuationSeparator" w:id="0">
    <w:p w:rsidR="00C21334" w:rsidRDefault="00C21334" w:rsidP="00B927DE">
      <w:pPr>
        <w:spacing w:after="0" w:line="240" w:lineRule="auto"/>
      </w:pPr>
      <w:r>
        <w:continuationSeparator/>
      </w:r>
    </w:p>
  </w:footnote>
  <w:footnote w:id="1">
    <w:p w:rsidR="00A548A3" w:rsidRDefault="00A548A3" w:rsidP="00A548A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Production of Turbulent Kinetic Energy</w:t>
      </w:r>
    </w:p>
  </w:footnote>
  <w:footnote w:id="2">
    <w:p w:rsidR="00A548A3" w:rsidRDefault="00A548A3" w:rsidP="00A548A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3">
    <w:p w:rsidR="00A548A3" w:rsidRDefault="00A548A3" w:rsidP="00A548A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Menter</w:t>
      </w:r>
    </w:p>
  </w:footnote>
  <w:footnote w:id="4">
    <w:p w:rsidR="00A548A3" w:rsidRDefault="00A548A3" w:rsidP="00A548A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A548A3" w:rsidRDefault="00902B50" w:rsidP="00A548A3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A548A3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A548A3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01F9A" w:rsidRPr="00701F9A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KwSST_V_Source</w:t>
                                </w:r>
                                <w:r w:rsidR="00637C9C" w:rsidRPr="00A548A3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A548A3" w:rsidRDefault="00902B50" w:rsidP="00A548A3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A548A3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A548A3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01F9A" w:rsidRPr="00701F9A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KwSST_V_Source</w:t>
                          </w:r>
                          <w:r w:rsidR="00637C9C" w:rsidRPr="00A548A3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6CA200C8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FAE0EE2A"/>
    <w:lvl w:ilvl="0" w:tplc="47C22D5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3F096D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474D8"/>
    <w:rsid w:val="00556F62"/>
    <w:rsid w:val="00590581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1F9A"/>
    <w:rsid w:val="00702E8E"/>
    <w:rsid w:val="00713868"/>
    <w:rsid w:val="007146B2"/>
    <w:rsid w:val="007602BE"/>
    <w:rsid w:val="00794322"/>
    <w:rsid w:val="007D3687"/>
    <w:rsid w:val="007F030B"/>
    <w:rsid w:val="008014EA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548A3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97A56"/>
    <w:rsid w:val="00BA62A3"/>
    <w:rsid w:val="00BB7E06"/>
    <w:rsid w:val="00BD0C7F"/>
    <w:rsid w:val="00BF32BB"/>
    <w:rsid w:val="00C21334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F26F3C-AB70-4FAD-B288-FB368A96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B97A5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B97A56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A548A3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a"/>
    <w:next w:val="aa"/>
    <w:qFormat/>
    <w:rsid w:val="00A548A3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A548A3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A548A3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A548A3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A548A3"/>
    <w:rPr>
      <w:rFonts w:ascii="Times New Roman" w:hAnsi="Times New Roman" w:cs="B Nazanin"/>
      <w:sz w:val="24"/>
      <w:szCs w:val="26"/>
    </w:rPr>
  </w:style>
  <w:style w:type="character" w:customStyle="1" w:styleId="-2Char">
    <w:name w:val="ع-سطح 2 Char"/>
    <w:basedOn w:val="DefaultParagraphFont"/>
    <w:link w:val="-2"/>
    <w:rsid w:val="00A548A3"/>
    <w:rPr>
      <w:rFonts w:ascii="Times New Roman" w:hAnsi="Times New Roman" w:cs="B Nazanin"/>
      <w:b/>
      <w:bCs/>
      <w:sz w:val="32"/>
      <w:szCs w:val="32"/>
    </w:rPr>
  </w:style>
  <w:style w:type="paragraph" w:customStyle="1" w:styleId="a0">
    <w:name w:val="بخش زیربرنامه"/>
    <w:basedOn w:val="-2"/>
    <w:link w:val="Char9"/>
    <w:qFormat/>
    <w:rsid w:val="00A548A3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A548A3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4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90D295-1B35-41B1-B62F-CF43AEC3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2018-05-10T14:06:00Z</dcterms:modified>
</cp:coreProperties>
</file>