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B284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AD9BC24" wp14:editId="5B0AD5F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86CF4" w:rsidP="00010D13">
      <w:pPr>
        <w:pStyle w:val="a4"/>
        <w:rPr>
          <w:rtl/>
        </w:rPr>
      </w:pPr>
      <w:r w:rsidRPr="00E86002">
        <w:t>KwWilcox_Source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E86C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حامد نظری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86C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 w:rsidRPr="00CF1F85">
              <w:rPr>
                <w:noProof/>
                <w:sz w:val="24"/>
                <w:szCs w:val="24"/>
                <w:rtl/>
              </w:rPr>
              <w:drawing>
                <wp:inline distT="0" distB="0" distL="0" distR="0" wp14:anchorId="642A1236" wp14:editId="3D097DB4">
                  <wp:extent cx="857250" cy="854710"/>
                  <wp:effectExtent l="0" t="0" r="0" b="0"/>
                  <wp:docPr id="5" name="Picture 5" descr="a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86C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، حامد نظری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 w:rsidP="00E86C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86CF4" w:rsidP="00E86C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E86CF4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E86CF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2F110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E86CF4" w:rsidRPr="00CF1F85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>در این زیربرنامه، مقدار ترم چشمه معادلات آشفتگی</w:t>
      </w:r>
      <w:r w:rsidRPr="00CF1F85">
        <w:rPr>
          <w:position w:val="-10"/>
        </w:rPr>
        <w:object w:dxaOrig="1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6.5pt" o:ole="">
            <v:imagedata r:id="rId15" o:title=""/>
          </v:shape>
          <o:OLEObject Type="Embed" ProgID="Equation.DSMT4" ShapeID="_x0000_i1025" DrawAspect="Content" ObjectID="_1587488389" r:id="rId16"/>
        </w:object>
      </w:r>
      <w:r w:rsidRPr="00CF1F85">
        <w:rPr>
          <w:rFonts w:hint="cs"/>
          <w:rtl/>
        </w:rPr>
        <w:t xml:space="preserve">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گردد.</w:t>
      </w:r>
    </w:p>
    <w:p w:rsidR="00E86CF4" w:rsidRPr="00CF1F85" w:rsidRDefault="00E86CF4" w:rsidP="00E86CF4">
      <w:pPr>
        <w:pStyle w:val="1"/>
        <w:rPr>
          <w:rtl/>
        </w:rPr>
      </w:pPr>
      <w:bookmarkStart w:id="1" w:name="_Toc439502889"/>
      <w:r w:rsidRPr="00CF1F85">
        <w:rPr>
          <w:rFonts w:hint="cs"/>
          <w:rtl/>
        </w:rPr>
        <w:t>تئوری و الگوریتم</w:t>
      </w:r>
      <w:bookmarkEnd w:id="1"/>
    </w:p>
    <w:p w:rsidR="00E86CF4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 xml:space="preserve">ترم چشمه در مدل آشفتگی </w:t>
      </w:r>
      <w:r w:rsidRPr="00CF1F85">
        <w:rPr>
          <w:position w:val="-6"/>
        </w:rPr>
        <w:object w:dxaOrig="1440" w:dyaOrig="300">
          <v:shape id="_x0000_i1026" type="#_x0000_t75" style="width:1in;height:15pt" o:ole="">
            <v:imagedata r:id="rId17" o:title=""/>
          </v:shape>
          <o:OLEObject Type="Embed" ProgID="Equation.DSMT4" ShapeID="_x0000_i1026" DrawAspect="Content" ObjectID="_1587488390" r:id="rId18"/>
        </w:object>
      </w:r>
      <w:r w:rsidRPr="00CF1F85">
        <w:rPr>
          <w:rFonts w:hint="cs"/>
          <w:rtl/>
        </w:rPr>
        <w:t xml:space="preserve"> به صورت زیر </w:t>
      </w:r>
      <w:r w:rsidRPr="00E86002">
        <w:rPr>
          <w:rFonts w:hint="cs"/>
          <w:rtl/>
        </w:rPr>
        <w:t>می</w:t>
      </w:r>
      <w:r w:rsidRPr="00E86002">
        <w:rPr>
          <w:rtl/>
        </w:rPr>
        <w:softHyphen/>
      </w:r>
      <w:r w:rsidRPr="00E86002">
        <w:rPr>
          <w:rFonts w:hint="cs"/>
          <w:rtl/>
        </w:rPr>
        <w:t xml:space="preserve">باشد </w:t>
      </w:r>
      <w:r w:rsidRPr="00E86002">
        <w:rPr>
          <w:rFonts w:cs="Times New Roman"/>
          <w:rtl/>
        </w:rPr>
        <w:t>[</w:t>
      </w:r>
      <w:r w:rsidRPr="00E86002">
        <w:rPr>
          <w:rFonts w:hint="cs"/>
          <w:rtl/>
        </w:rPr>
        <w:t>1</w:t>
      </w:r>
      <w:r w:rsidRPr="00E86002">
        <w:rPr>
          <w:rFonts w:cs="Times New Roman"/>
          <w:rtl/>
        </w:rPr>
        <w:t>]</w:t>
      </w:r>
      <w:r w:rsidRPr="00CF1F85">
        <w:rPr>
          <w:rFonts w:hint="cs"/>
          <w:rtl/>
        </w:rPr>
        <w:t xml:space="preserve"> (توجه شود که فرم تنسوری این روابط در مستندات مدل توربولانسی حاضر آورده شده و در اینجا از فرم ماتریسی آن در مختصات کارتزین استفاده می 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E86CF4" w:rsidTr="00074922">
        <w:tc>
          <w:tcPr>
            <w:tcW w:w="764" w:type="dxa"/>
          </w:tcPr>
          <w:p w:rsidR="00E86CF4" w:rsidRDefault="00E86CF4" w:rsidP="00074922">
            <w:pPr>
              <w:pStyle w:val="a2"/>
              <w:rPr>
                <w:rtl/>
              </w:rPr>
            </w:pPr>
            <w:bookmarkStart w:id="2" w:name="_Ref508471539"/>
          </w:p>
        </w:tc>
        <w:bookmarkEnd w:id="2"/>
        <w:tc>
          <w:tcPr>
            <w:tcW w:w="8478" w:type="dxa"/>
          </w:tcPr>
          <w:p w:rsidR="00E86CF4" w:rsidRPr="00533226" w:rsidRDefault="00E86CF4" w:rsidP="00074922">
            <w:pPr>
              <w:rPr>
                <w:rtl/>
              </w:rPr>
            </w:pPr>
            <w:r w:rsidRPr="00CF1F85">
              <w:rPr>
                <w:position w:val="-42"/>
                <w:szCs w:val="24"/>
              </w:rPr>
              <w:object w:dxaOrig="2439" w:dyaOrig="960">
                <v:shape id="_x0000_i1027" type="#_x0000_t75" style="width:122.25pt;height:48.75pt" o:ole="">
                  <v:imagedata r:id="rId19" o:title=""/>
                </v:shape>
                <o:OLEObject Type="Embed" ProgID="Equation.DSMT4" ShapeID="_x0000_i1027" DrawAspect="Content" ObjectID="_1587488391" r:id="rId20"/>
              </w:object>
            </w:r>
          </w:p>
        </w:tc>
      </w:tr>
    </w:tbl>
    <w:p w:rsidR="00E86CF4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 xml:space="preserve">در این رابطه، </w:t>
      </w:r>
      <w:r w:rsidRPr="00CF1F85">
        <w:rPr>
          <w:position w:val="-12"/>
        </w:rPr>
        <w:object w:dxaOrig="279" w:dyaOrig="360">
          <v:shape id="_x0000_i1028" type="#_x0000_t75" style="width:13.5pt;height:18.75pt" o:ole="">
            <v:imagedata r:id="rId21" o:title=""/>
          </v:shape>
          <o:OLEObject Type="Embed" ProgID="Equation.DSMT4" ShapeID="_x0000_i1028" DrawAspect="Content" ObjectID="_1587488392" r:id="rId22"/>
        </w:object>
      </w:r>
      <w:r w:rsidRPr="00CF1F85">
        <w:t xml:space="preserve"> </w:t>
      </w:r>
      <w:r w:rsidRPr="00CF1F85">
        <w:rPr>
          <w:rFonts w:hint="cs"/>
          <w:rtl/>
        </w:rPr>
        <w:t>ترم تولید انرژی جنبشی آشفتگی</w:t>
      </w:r>
      <w:r w:rsidRPr="00CF1F85">
        <w:rPr>
          <w:rStyle w:val="FootnoteReference"/>
          <w:szCs w:val="24"/>
          <w:rtl/>
        </w:rPr>
        <w:footnoteReference w:id="1"/>
      </w:r>
      <w:r w:rsidRPr="00CF1F85">
        <w:rPr>
          <w:rFonts w:hint="cs"/>
          <w:rtl/>
        </w:rPr>
        <w:t xml:space="preserve"> می</w:t>
      </w:r>
      <w:r w:rsidRPr="00CF1F85">
        <w:rPr>
          <w:rtl/>
        </w:rPr>
        <w:softHyphen/>
      </w:r>
      <w:r w:rsidRPr="00CF1F85">
        <w:rPr>
          <w:rFonts w:hint="cs"/>
          <w:rtl/>
        </w:rPr>
        <w:t>باشد که با استفاده از رابطه زیر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E86CF4" w:rsidTr="00074922">
        <w:tc>
          <w:tcPr>
            <w:tcW w:w="764" w:type="dxa"/>
          </w:tcPr>
          <w:p w:rsidR="00E86CF4" w:rsidRDefault="00E86CF4" w:rsidP="00074922">
            <w:pPr>
              <w:pStyle w:val="a2"/>
              <w:rPr>
                <w:rtl/>
              </w:rPr>
            </w:pPr>
            <w:bookmarkStart w:id="3" w:name="_Ref508471523"/>
          </w:p>
        </w:tc>
        <w:bookmarkEnd w:id="3"/>
        <w:tc>
          <w:tcPr>
            <w:tcW w:w="8478" w:type="dxa"/>
          </w:tcPr>
          <w:p w:rsidR="00E86CF4" w:rsidRPr="00533226" w:rsidRDefault="00E86CF4" w:rsidP="00074922">
            <w:pPr>
              <w:rPr>
                <w:rtl/>
              </w:rPr>
            </w:pPr>
            <w:r w:rsidRPr="00CF1F85">
              <w:rPr>
                <w:position w:val="-30"/>
                <w:szCs w:val="24"/>
              </w:rPr>
              <w:object w:dxaOrig="3660" w:dyaOrig="720">
                <v:shape id="_x0000_i1029" type="#_x0000_t75" style="width:183pt;height:36.75pt" o:ole="">
                  <v:imagedata r:id="rId23" o:title=""/>
                </v:shape>
                <o:OLEObject Type="Embed" ProgID="Equation.DSMT4" ShapeID="_x0000_i1029" DrawAspect="Content" ObjectID="_1587488393" r:id="rId24"/>
              </w:object>
            </w:r>
          </w:p>
        </w:tc>
      </w:tr>
    </w:tbl>
    <w:p w:rsidR="00E86CF4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>و مولفه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تنش نیز پس از ساده سازی با استفاده از رابطه زیر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E86CF4" w:rsidTr="00074922">
        <w:tc>
          <w:tcPr>
            <w:tcW w:w="764" w:type="dxa"/>
          </w:tcPr>
          <w:p w:rsidR="00E86CF4" w:rsidRDefault="00E86CF4" w:rsidP="00074922">
            <w:pPr>
              <w:pStyle w:val="a2"/>
              <w:rPr>
                <w:rtl/>
              </w:rPr>
            </w:pPr>
            <w:bookmarkStart w:id="4" w:name="_Ref508471515"/>
          </w:p>
        </w:tc>
        <w:bookmarkEnd w:id="4"/>
        <w:tc>
          <w:tcPr>
            <w:tcW w:w="8478" w:type="dxa"/>
          </w:tcPr>
          <w:p w:rsidR="00E86CF4" w:rsidRPr="00533226" w:rsidRDefault="00E86CF4" w:rsidP="00074922">
            <w:pPr>
              <w:rPr>
                <w:rtl/>
              </w:rPr>
            </w:pPr>
            <w:r w:rsidRPr="00CF1F85">
              <w:rPr>
                <w:position w:val="-106"/>
                <w:szCs w:val="24"/>
              </w:rPr>
              <w:object w:dxaOrig="4340" w:dyaOrig="2240">
                <v:shape id="_x0000_i1030" type="#_x0000_t75" style="width:216.75pt;height:112.5pt" o:ole="">
                  <v:imagedata r:id="rId25" o:title=""/>
                </v:shape>
                <o:OLEObject Type="Embed" ProgID="Equation.DSMT4" ShapeID="_x0000_i1030" DrawAspect="Content" ObjectID="_1587488394" r:id="rId26"/>
              </w:object>
            </w:r>
          </w:p>
        </w:tc>
      </w:tr>
    </w:tbl>
    <w:p w:rsidR="00E86CF4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 xml:space="preserve">به منظور جلوگیری از افزایش غیرفیزیکی </w:t>
      </w:r>
      <w:r w:rsidRPr="00CF1F85">
        <w:rPr>
          <w:position w:val="-6"/>
        </w:rPr>
        <w:object w:dxaOrig="220" w:dyaOrig="300">
          <v:shape id="_x0000_i1031" type="#_x0000_t75" style="width:11.25pt;height:15pt" o:ole="">
            <v:imagedata r:id="rId27" o:title=""/>
          </v:shape>
          <o:OLEObject Type="Embed" ProgID="Equation.DSMT4" ShapeID="_x0000_i1031" DrawAspect="Content" ObjectID="_1587488395" r:id="rId28"/>
        </w:object>
      </w:r>
      <w:r w:rsidRPr="00CF1F85">
        <w:rPr>
          <w:rFonts w:hint="cs"/>
          <w:rtl/>
        </w:rPr>
        <w:t xml:space="preserve"> در نقاط سکون</w:t>
      </w:r>
      <w:r w:rsidRPr="00CF1F85">
        <w:rPr>
          <w:rStyle w:val="FootnoteReference"/>
          <w:szCs w:val="24"/>
          <w:rtl/>
        </w:rPr>
        <w:footnoteReference w:id="2"/>
      </w:r>
      <w:r w:rsidRPr="00CF1F85">
        <w:rPr>
          <w:rFonts w:hint="cs"/>
          <w:rtl/>
        </w:rPr>
        <w:t>، منتر</w:t>
      </w:r>
      <w:r w:rsidRPr="00CF1F85">
        <w:rPr>
          <w:rStyle w:val="FootnoteReference"/>
          <w:szCs w:val="24"/>
          <w:rtl/>
        </w:rPr>
        <w:footnoteReference w:id="3"/>
      </w:r>
      <w:r w:rsidRPr="00CF1F85">
        <w:rPr>
          <w:rFonts w:hint="cs"/>
          <w:rtl/>
        </w:rPr>
        <w:t xml:space="preserve"> پیشنهاد داده است که برای ترم </w:t>
      </w:r>
      <w:r w:rsidRPr="00CF1F85">
        <w:rPr>
          <w:position w:val="-12"/>
        </w:rPr>
        <w:object w:dxaOrig="279" w:dyaOrig="360">
          <v:shape id="_x0000_i1032" type="#_x0000_t75" style="width:13.5pt;height:18.75pt" o:ole="">
            <v:imagedata r:id="rId21" o:title=""/>
          </v:shape>
          <o:OLEObject Type="Embed" ProgID="Equation.DSMT4" ShapeID="_x0000_i1032" DrawAspect="Content" ObjectID="_1587488396" r:id="rId29"/>
        </w:object>
      </w:r>
      <w:r w:rsidRPr="00CF1F85">
        <w:rPr>
          <w:rFonts w:hint="cs"/>
          <w:rtl/>
        </w:rPr>
        <w:t xml:space="preserve"> </w:t>
      </w:r>
      <w:r w:rsidRPr="00CF1F85">
        <w:rPr>
          <w:rFonts w:hint="cs"/>
          <w:u w:val="single"/>
          <w:rtl/>
        </w:rPr>
        <w:t xml:space="preserve">در معادله مربوط به </w:t>
      </w:r>
      <w:r w:rsidRPr="00CF1F85">
        <w:rPr>
          <w:position w:val="-6"/>
          <w:u w:val="single"/>
        </w:rPr>
        <w:object w:dxaOrig="220" w:dyaOrig="300">
          <v:shape id="_x0000_i1033" type="#_x0000_t75" style="width:11.25pt;height:15pt" o:ole="">
            <v:imagedata r:id="rId30" o:title=""/>
          </v:shape>
          <o:OLEObject Type="Embed" ProgID="Equation.DSMT4" ShapeID="_x0000_i1033" DrawAspect="Content" ObjectID="_1587488397" r:id="rId31"/>
        </w:object>
      </w:r>
      <w:r w:rsidRPr="00CF1F85">
        <w:rPr>
          <w:rFonts w:hint="cs"/>
          <w:rtl/>
        </w:rPr>
        <w:t>، از یک محدود کننده</w:t>
      </w:r>
      <w:r w:rsidRPr="00CF1F85">
        <w:rPr>
          <w:rStyle w:val="FootnoteReference"/>
          <w:szCs w:val="24"/>
          <w:rtl/>
        </w:rPr>
        <w:footnoteReference w:id="4"/>
      </w:r>
      <w:r w:rsidRPr="00CF1F85"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E86CF4" w:rsidTr="00074922">
        <w:tc>
          <w:tcPr>
            <w:tcW w:w="764" w:type="dxa"/>
          </w:tcPr>
          <w:p w:rsidR="00E86CF4" w:rsidRDefault="00E86CF4" w:rsidP="00074922">
            <w:pPr>
              <w:pStyle w:val="a2"/>
              <w:rPr>
                <w:rtl/>
              </w:rPr>
            </w:pPr>
            <w:bookmarkStart w:id="5" w:name="_Ref508471530"/>
          </w:p>
        </w:tc>
        <w:bookmarkEnd w:id="5"/>
        <w:tc>
          <w:tcPr>
            <w:tcW w:w="8478" w:type="dxa"/>
          </w:tcPr>
          <w:p w:rsidR="00E86CF4" w:rsidRPr="00533226" w:rsidRDefault="00E86CF4" w:rsidP="00074922">
            <w:pPr>
              <w:rPr>
                <w:rtl/>
              </w:rPr>
            </w:pPr>
            <w:r w:rsidRPr="00CF1F85">
              <w:rPr>
                <w:position w:val="-16"/>
                <w:szCs w:val="24"/>
              </w:rPr>
              <w:object w:dxaOrig="2460" w:dyaOrig="440">
                <v:shape id="_x0000_i1034" type="#_x0000_t75" style="width:123.75pt;height:21.75pt" o:ole="">
                  <v:imagedata r:id="rId32" o:title=""/>
                </v:shape>
                <o:OLEObject Type="Embed" ProgID="Equation.DSMT4" ShapeID="_x0000_i1034" DrawAspect="Content" ObjectID="_1587488398" r:id="rId33"/>
              </w:object>
            </w:r>
          </w:p>
        </w:tc>
      </w:tr>
    </w:tbl>
    <w:p w:rsidR="00E86CF4" w:rsidRPr="00CF1F85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>همانگونه که مشخص است در این زیربرنامه لازم است که مقادیر مشتق اول مولفه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سرعت و همچنین متغیرهای آشفتگی در مرکز هر سلول معلوم باشد. محاسبه این مشتقات، در زیربرنامه های دیگر صورت پذیرفته است و در این زیربرنامه از نتایج آن استفاده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شود و به راحتی مقدار ترم چشمه در مرکز هر سلول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lastRenderedPageBreak/>
        <w:t>گردد.</w:t>
      </w:r>
    </w:p>
    <w:p w:rsidR="00E86CF4" w:rsidRPr="00CF1F85" w:rsidRDefault="00E86CF4" w:rsidP="00E86CF4">
      <w:pPr>
        <w:pStyle w:val="1"/>
        <w:rPr>
          <w:rtl/>
        </w:rPr>
      </w:pPr>
      <w:bookmarkStart w:id="6" w:name="_Toc439502890"/>
      <w:r w:rsidRPr="00CF1F85">
        <w:rPr>
          <w:rFonts w:hint="cs"/>
          <w:rtl/>
        </w:rPr>
        <w:t>بخش های زیربرنامه</w:t>
      </w:r>
      <w:bookmarkEnd w:id="6"/>
    </w:p>
    <w:p w:rsidR="00E86CF4" w:rsidRPr="00CF1F85" w:rsidRDefault="00E86CF4" w:rsidP="00E86CF4">
      <w:pPr>
        <w:pStyle w:val="a5"/>
      </w:pPr>
      <w:r w:rsidRPr="00CF1F85">
        <w:rPr>
          <w:rFonts w:hint="cs"/>
          <w:rtl/>
        </w:rPr>
        <w:t>در این قسمت، تمامی بخش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زیربرنامه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 مطابق با شماره</w:t>
      </w:r>
      <w:r w:rsidRPr="00CF1F85">
        <w:rPr>
          <w:rtl/>
        </w:rPr>
        <w:softHyphen/>
      </w:r>
      <w:r w:rsidRPr="00CF1F85">
        <w:rPr>
          <w:rFonts w:hint="cs"/>
          <w:rtl/>
        </w:rPr>
        <w:t>گذاری موجود در برنامه کامپیوتری ارائه شده است.</w:t>
      </w:r>
    </w:p>
    <w:p w:rsidR="00E86CF4" w:rsidRPr="00CF1F85" w:rsidRDefault="00E86CF4" w:rsidP="00E86CF4">
      <w:pPr>
        <w:pStyle w:val="a"/>
        <w:rPr>
          <w:rtl/>
        </w:rPr>
      </w:pPr>
      <w:r w:rsidRPr="00CF1F85">
        <w:rPr>
          <w:rFonts w:hint="cs"/>
          <w:rtl/>
        </w:rPr>
        <w:t>تعیین ترم چشمه در تمام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</w:t>
      </w:r>
    </w:p>
    <w:p w:rsidR="00E86CF4" w:rsidRPr="00CF1F85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>در این قسمت، ترم چشمه در تمامی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گردد.</w:t>
      </w:r>
    </w:p>
    <w:p w:rsidR="00E86CF4" w:rsidRPr="00CF1F85" w:rsidRDefault="00E86CF4" w:rsidP="00E86CF4">
      <w:pPr>
        <w:pStyle w:val="a"/>
        <w:rPr>
          <w:rtl/>
        </w:rPr>
      </w:pPr>
      <w:r w:rsidRPr="00CF1F85">
        <w:rPr>
          <w:rFonts w:hint="cs"/>
          <w:rtl/>
        </w:rPr>
        <w:t>ذخیره متغیرهای آشفتگی و چگالی سلول مورد بررسی</w:t>
      </w:r>
    </w:p>
    <w:p w:rsidR="00E86CF4" w:rsidRPr="00CF1F85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 xml:space="preserve">متغیرهای آشفتگی و چگالی </w:t>
      </w:r>
      <w:r w:rsidRPr="00CF1F85">
        <w:rPr>
          <w:rtl/>
        </w:rPr>
        <w:t xml:space="preserve">سلول </w:t>
      </w:r>
      <w:r w:rsidRPr="00CF1F85">
        <w:rPr>
          <w:rFonts w:hint="cs"/>
          <w:rtl/>
        </w:rPr>
        <w:t>مورد بررسی در پارامترهای محلی ذخیره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شوند.</w:t>
      </w:r>
    </w:p>
    <w:p w:rsidR="00E86CF4" w:rsidRPr="00CF1F85" w:rsidRDefault="00E86CF4" w:rsidP="00E86CF4">
      <w:pPr>
        <w:pStyle w:val="a"/>
        <w:rPr>
          <w:rtl/>
        </w:rPr>
      </w:pPr>
      <w:r w:rsidRPr="00CF1F85">
        <w:rPr>
          <w:rFonts w:hint="cs"/>
          <w:rtl/>
        </w:rPr>
        <w:t xml:space="preserve">محاسبه مولفه 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تنش</w:t>
      </w:r>
      <w:r w:rsidRPr="00CF1F85">
        <w:rPr>
          <w:rtl/>
        </w:rPr>
        <w:softHyphen/>
      </w:r>
    </w:p>
    <w:p w:rsidR="00E86CF4" w:rsidRPr="00CF1F85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>مولفه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های تنش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Ref508471515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 w:rsidRPr="00CF1F85">
        <w:rPr>
          <w:rFonts w:hint="cs"/>
          <w:rtl/>
        </w:rPr>
        <w:t xml:space="preserve">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گردند.</w:t>
      </w:r>
    </w:p>
    <w:p w:rsidR="00E86CF4" w:rsidRPr="00CF1F85" w:rsidRDefault="00E86CF4" w:rsidP="00E86CF4">
      <w:pPr>
        <w:pStyle w:val="a"/>
        <w:rPr>
          <w:rtl/>
        </w:rPr>
      </w:pPr>
      <w:r w:rsidRPr="00CF1F85">
        <w:rPr>
          <w:rFonts w:hint="cs"/>
          <w:rtl/>
        </w:rPr>
        <w:t>محاسبه ترم تولید انرژی جنبشی آشفتگی (</w:t>
      </w:r>
      <w:r w:rsidRPr="00CF1F85">
        <w:rPr>
          <w:position w:val="-12"/>
        </w:rPr>
        <w:object w:dxaOrig="320" w:dyaOrig="360">
          <v:shape id="_x0000_i1035" type="#_x0000_t75" style="width:16.5pt;height:18.75pt" o:ole="">
            <v:imagedata r:id="rId34" o:title=""/>
          </v:shape>
          <o:OLEObject Type="Embed" ProgID="Equation.DSMT4" ShapeID="_x0000_i1035" DrawAspect="Content" ObjectID="_1587488399" r:id="rId35"/>
        </w:object>
      </w:r>
      <w:r w:rsidRPr="00CF1F85">
        <w:rPr>
          <w:rFonts w:hint="cs"/>
          <w:rtl/>
        </w:rPr>
        <w:t>)</w:t>
      </w:r>
    </w:p>
    <w:p w:rsidR="00E86CF4" w:rsidRPr="00CF1F85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 xml:space="preserve">ترم تولید انرژی جنبشی آشفتگی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Ref508471523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 w:rsidRPr="00CF1F85">
        <w:rPr>
          <w:rFonts w:hint="cs"/>
          <w:rtl/>
        </w:rPr>
        <w:t xml:space="preserve">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گردد. </w:t>
      </w:r>
    </w:p>
    <w:p w:rsidR="00E86CF4" w:rsidRPr="00CF1F85" w:rsidRDefault="00E86CF4" w:rsidP="00E86CF4">
      <w:pPr>
        <w:pStyle w:val="a"/>
        <w:rPr>
          <w:rtl/>
        </w:rPr>
      </w:pPr>
      <w:r w:rsidRPr="00CF1F85">
        <w:rPr>
          <w:rFonts w:hint="cs"/>
          <w:rtl/>
        </w:rPr>
        <w:t>استفاده از محدود کننده</w:t>
      </w:r>
    </w:p>
    <w:p w:rsidR="00E86CF4" w:rsidRPr="00CF1F85" w:rsidRDefault="00E86CF4" w:rsidP="00E86CF4">
      <w:pPr>
        <w:pStyle w:val="a5"/>
        <w:rPr>
          <w:rtl/>
        </w:rPr>
      </w:pPr>
      <w:r w:rsidRPr="00CF1F85">
        <w:rPr>
          <w:rFonts w:hint="cs"/>
          <w:rtl/>
        </w:rPr>
        <w:t xml:space="preserve">با استفاده از محدودکننده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Ref508471530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 w:rsidRPr="00CF1F85">
        <w:rPr>
          <w:rFonts w:hint="cs"/>
          <w:rtl/>
        </w:rPr>
        <w:t xml:space="preserve"> ترم تولید انرژی جنبشی آشفتگی مورد استفاده در معادله </w:t>
      </w:r>
      <w:r w:rsidRPr="00CF1F85">
        <w:object w:dxaOrig="220" w:dyaOrig="300">
          <v:shape id="_x0000_i1036" type="#_x0000_t75" style="width:11.25pt;height:15pt" o:ole="">
            <v:imagedata r:id="rId36" o:title=""/>
          </v:shape>
          <o:OLEObject Type="Embed" ProgID="Equation.DSMT4" ShapeID="_x0000_i1036" DrawAspect="Content" ObjectID="_1587488400" r:id="rId37"/>
        </w:object>
      </w:r>
      <w:r w:rsidRPr="00CF1F85">
        <w:rPr>
          <w:rFonts w:hint="cs"/>
          <w:rtl/>
        </w:rPr>
        <w:t>،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گردد. توجه شود که این مقدار در </w:t>
      </w:r>
      <w:r w:rsidRPr="00CF1F85">
        <w:rPr>
          <w:position w:val="-12"/>
        </w:rPr>
        <w:object w:dxaOrig="320" w:dyaOrig="360">
          <v:shape id="_x0000_i1037" type="#_x0000_t75" style="width:16.5pt;height:18.75pt" o:ole="">
            <v:imagedata r:id="rId38" o:title=""/>
          </v:shape>
          <o:OLEObject Type="Embed" ProgID="Equation.DSMT4" ShapeID="_x0000_i1037" DrawAspect="Content" ObjectID="_1587488401" r:id="rId39"/>
        </w:object>
      </w:r>
      <w:r w:rsidRPr="00CF1F85">
        <w:rPr>
          <w:rFonts w:hint="cs"/>
          <w:rtl/>
        </w:rPr>
        <w:t xml:space="preserve"> ذخیره می شود.</w:t>
      </w:r>
    </w:p>
    <w:p w:rsidR="00E86CF4" w:rsidRPr="00CF1F85" w:rsidRDefault="00E86CF4" w:rsidP="00E86CF4">
      <w:pPr>
        <w:pStyle w:val="a"/>
        <w:rPr>
          <w:rtl/>
        </w:rPr>
      </w:pPr>
      <w:r w:rsidRPr="00CF1F85">
        <w:rPr>
          <w:rFonts w:hint="cs"/>
          <w:rtl/>
        </w:rPr>
        <w:t>محاسبه ترم چشمه در تمام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</w:t>
      </w:r>
    </w:p>
    <w:p w:rsidR="00E86CF4" w:rsidRPr="00703B0A" w:rsidRDefault="00E86CF4" w:rsidP="00E86CF4">
      <w:pPr>
        <w:pStyle w:val="a5"/>
      </w:pPr>
      <w:r w:rsidRPr="00CF1F85"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Ref508471539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CF1F85">
        <w:rPr>
          <w:rFonts w:hint="cs"/>
          <w:rtl/>
        </w:rPr>
        <w:t>، ترم چشمه در تمامی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گردد. توجه شود در اینجا بدلیل انتگرال گیری انجام شده در روش حجم محدود باید مساحت سلول ها در بخش چشمه ضرب </w:t>
      </w:r>
      <w:r>
        <w:rPr>
          <w:rFonts w:hint="cs"/>
          <w:rtl/>
        </w:rPr>
        <w:t>شود که در اینجا اینکار انجام می‌</w:t>
      </w:r>
      <w:r w:rsidRPr="00CF1F85">
        <w:rPr>
          <w:rFonts w:hint="cs"/>
          <w:rtl/>
        </w:rPr>
        <w:t>شود.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E86CF4" w:rsidRPr="002D5A0B" w:rsidRDefault="00F3611F" w:rsidP="00E86CF4">
      <w:pPr>
        <w:pStyle w:val="a9"/>
        <w:bidi w:val="0"/>
        <w:rPr>
          <w:rtl/>
        </w:rPr>
      </w:pPr>
      <w:r w:rsidRPr="007B2164">
        <w:rPr>
          <w:b/>
          <w:bCs/>
        </w:rPr>
        <w:t>1.</w:t>
      </w:r>
      <w:r w:rsidR="000F649A">
        <w:t xml:space="preserve"> </w:t>
      </w:r>
      <w:r w:rsidR="00E86CF4" w:rsidRPr="000829EA">
        <w:t>Wilcox, D. C., “Reassessment of the Scale-Determining Equation for Advanced Turbulence Models”. AIAA JOURNAL, 26, 1988.</w:t>
      </w:r>
    </w:p>
    <w:p w:rsidR="00F3611F" w:rsidRPr="00902B50" w:rsidRDefault="00F3611F" w:rsidP="00E86CF4">
      <w:pPr>
        <w:pStyle w:val="a9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DCE" w:rsidRDefault="00BF5DCE" w:rsidP="00B927DE">
      <w:pPr>
        <w:spacing w:after="0" w:line="240" w:lineRule="auto"/>
      </w:pPr>
      <w:r>
        <w:separator/>
      </w:r>
    </w:p>
  </w:endnote>
  <w:endnote w:type="continuationSeparator" w:id="0">
    <w:p w:rsidR="00BF5DCE" w:rsidRDefault="00BF5DC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B284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DCE" w:rsidRDefault="00BF5DCE" w:rsidP="00B927DE">
      <w:pPr>
        <w:spacing w:after="0" w:line="240" w:lineRule="auto"/>
      </w:pPr>
      <w:r>
        <w:separator/>
      </w:r>
    </w:p>
  </w:footnote>
  <w:footnote w:type="continuationSeparator" w:id="0">
    <w:p w:rsidR="00BF5DCE" w:rsidRDefault="00BF5DCE" w:rsidP="00B927DE">
      <w:pPr>
        <w:spacing w:after="0" w:line="240" w:lineRule="auto"/>
      </w:pPr>
      <w:r>
        <w:continuationSeparator/>
      </w:r>
    </w:p>
  </w:footnote>
  <w:footnote w:id="1">
    <w:p w:rsidR="00E86CF4" w:rsidRPr="000829EA" w:rsidRDefault="00E86CF4" w:rsidP="00E86CF4">
      <w:pPr>
        <w:pStyle w:val="FootnoteText"/>
        <w:bidi w:val="0"/>
        <w:rPr>
          <w:i/>
          <w:iCs/>
        </w:rPr>
      </w:pPr>
      <w:r w:rsidRPr="000829EA">
        <w:rPr>
          <w:rStyle w:val="FootnoteReference"/>
          <w:i/>
          <w:iCs/>
        </w:rPr>
        <w:footnoteRef/>
      </w:r>
      <w:r w:rsidRPr="000829EA">
        <w:rPr>
          <w:i/>
          <w:iCs/>
          <w:rtl/>
        </w:rPr>
        <w:t xml:space="preserve"> </w:t>
      </w:r>
      <w:r w:rsidRPr="000829EA">
        <w:rPr>
          <w:i/>
          <w:iCs/>
        </w:rPr>
        <w:t>Production of Turbulent Kinetic Energy</w:t>
      </w:r>
    </w:p>
  </w:footnote>
  <w:footnote w:id="2">
    <w:p w:rsidR="00E86CF4" w:rsidRPr="000829EA" w:rsidRDefault="00E86CF4" w:rsidP="00E86CF4">
      <w:pPr>
        <w:pStyle w:val="FootnoteText"/>
        <w:bidi w:val="0"/>
        <w:rPr>
          <w:i/>
          <w:iCs/>
          <w:lang w:bidi="fa-IR"/>
        </w:rPr>
      </w:pPr>
      <w:r w:rsidRPr="000829EA">
        <w:rPr>
          <w:rStyle w:val="FootnoteReference"/>
          <w:i/>
          <w:iCs/>
        </w:rPr>
        <w:footnoteRef/>
      </w:r>
      <w:r w:rsidRPr="000829EA">
        <w:rPr>
          <w:i/>
          <w:iCs/>
          <w:rtl/>
        </w:rPr>
        <w:t xml:space="preserve"> </w:t>
      </w:r>
      <w:r w:rsidRPr="000829EA">
        <w:rPr>
          <w:i/>
          <w:iCs/>
        </w:rPr>
        <w:t>Stagnation Point</w:t>
      </w:r>
    </w:p>
  </w:footnote>
  <w:footnote w:id="3">
    <w:p w:rsidR="00E86CF4" w:rsidRPr="000829EA" w:rsidRDefault="00E86CF4" w:rsidP="00E86CF4">
      <w:pPr>
        <w:pStyle w:val="FootnoteText"/>
        <w:bidi w:val="0"/>
        <w:rPr>
          <w:i/>
          <w:iCs/>
          <w:lang w:bidi="fa-IR"/>
        </w:rPr>
      </w:pPr>
      <w:r w:rsidRPr="000829EA">
        <w:rPr>
          <w:rStyle w:val="FootnoteReference"/>
          <w:i/>
          <w:iCs/>
        </w:rPr>
        <w:footnoteRef/>
      </w:r>
      <w:r w:rsidRPr="000829EA">
        <w:rPr>
          <w:i/>
          <w:iCs/>
          <w:rtl/>
        </w:rPr>
        <w:t xml:space="preserve"> </w:t>
      </w:r>
      <w:r w:rsidRPr="000829EA">
        <w:rPr>
          <w:i/>
          <w:iCs/>
          <w:lang w:bidi="fa-IR"/>
        </w:rPr>
        <w:t>Menter</w:t>
      </w:r>
    </w:p>
  </w:footnote>
  <w:footnote w:id="4">
    <w:p w:rsidR="00E86CF4" w:rsidRDefault="00E86CF4" w:rsidP="00E86CF4">
      <w:pPr>
        <w:pStyle w:val="FootnoteText"/>
        <w:bidi w:val="0"/>
        <w:rPr>
          <w:lang w:bidi="fa-IR"/>
        </w:rPr>
      </w:pPr>
      <w:r w:rsidRPr="000829EA">
        <w:rPr>
          <w:rStyle w:val="FootnoteReference"/>
          <w:i/>
          <w:iCs/>
        </w:rPr>
        <w:footnoteRef/>
      </w:r>
      <w:r w:rsidRPr="000829EA">
        <w:rPr>
          <w:i/>
          <w:iCs/>
          <w:rtl/>
        </w:rPr>
        <w:t xml:space="preserve"> </w:t>
      </w:r>
      <w:r w:rsidRPr="000829EA">
        <w:rPr>
          <w:i/>
          <w:iCs/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E86CF4" w:rsidRDefault="00902B50" w:rsidP="00E86CF4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E86CF4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E86CF4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B2848" w:rsidRPr="00DB2848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KwWilcox_Source</w:t>
                                </w:r>
                                <w:r w:rsidR="00637C9C" w:rsidRPr="00E86CF4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E86CF4" w:rsidRDefault="00902B50" w:rsidP="00E86CF4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E86CF4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E86CF4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B2848" w:rsidRPr="00DB2848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KwWilcox_Source</w:t>
                          </w:r>
                          <w:r w:rsidR="00637C9C" w:rsidRPr="00E86CF4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FAE0EE2A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0D13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150EB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BF5DCE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B2848"/>
    <w:rsid w:val="00DF5650"/>
    <w:rsid w:val="00E107BE"/>
    <w:rsid w:val="00E30668"/>
    <w:rsid w:val="00E45AE9"/>
    <w:rsid w:val="00E61E10"/>
    <w:rsid w:val="00E75309"/>
    <w:rsid w:val="00E86AAB"/>
    <w:rsid w:val="00E86CF4"/>
    <w:rsid w:val="00E94FD5"/>
    <w:rsid w:val="00EA3DA9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F3591C-6D5A-4C57-8540-3B2B568C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10D13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10D13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E86CF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a"/>
    <w:next w:val="aa"/>
    <w:qFormat/>
    <w:rsid w:val="00E86CF4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E86CF4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E86CF4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E86CF4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E86CF4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E86CF4"/>
    <w:rPr>
      <w:rFonts w:ascii="Times New Roman" w:hAnsi="Times New Roman" w:cs="B Nazanin"/>
      <w:b/>
      <w:bCs/>
      <w:sz w:val="32"/>
      <w:szCs w:val="32"/>
    </w:rPr>
  </w:style>
  <w:style w:type="paragraph" w:customStyle="1" w:styleId="a0">
    <w:name w:val="بخش زیربرنامه"/>
    <w:basedOn w:val="-2"/>
    <w:link w:val="Char9"/>
    <w:qFormat/>
    <w:rsid w:val="00E86CF4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E86CF4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image" Target="media/image15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3B591B-A0A7-4560-B980-14A286EB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2018-05-10T14:07:00Z</dcterms:modified>
</cp:coreProperties>
</file>