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DC4EU Work Package 9 (WP9) Survey Analysis</w:t>
      </w:r>
    </w:p>
    <w:p>
      <w:pPr>
        <w:pStyle w:val="Author"/>
      </w:pPr>
      <w:r>
        <w:t xml:space="preserve">DC4EU Project - Work Package 9</w:t>
      </w:r>
    </w:p>
    <w:p>
      <w:pPr>
        <w:pStyle w:val="Date"/>
      </w:pPr>
      <w:r>
        <w:t xml:space="preserve">2025-07-30</w:t>
      </w:r>
    </w:p>
    <w:p>
      <w:pPr>
        <w:pStyle w:val="AbstractTitle"/>
      </w:pPr>
      <w:r>
        <w:t xml:space="preserve">Abstract</w:t>
      </w:r>
    </w:p>
    <w:p>
      <w:pPr>
        <w:pStyle w:val="Abstract"/>
      </w:pPr>
      <w:r>
        <w:t xml:space="preserve">Comprehensive analysis of the DC4EU Warsaw workshop survey conducted by Work Package 9, focusing on strategic consultation for post-project sustainability and eIDAS2 preparation. This document includes the complete survey framework, methodology, questions, and detailed results analysis from the 27 June 2025 Warsaw workshop with 26 piloting agents and consortium members.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9" w:name="dc4eu-work-package-9-wp9-survey-analysis"/>
    <w:p>
      <w:pPr>
        <w:pStyle w:val="Heading1"/>
      </w:pPr>
      <w:r>
        <w:rPr>
          <w:rStyle w:val="SectionNumber"/>
        </w:rPr>
        <w:t xml:space="preserve">1</w:t>
      </w:r>
      <w:r>
        <w:tab/>
      </w:r>
      <w:r>
        <w:t xml:space="preserve">DC4EU Work Package 9 (WP9) Survey Analysis</w:t>
      </w:r>
    </w:p>
    <w:p>
      <w:pPr>
        <w:pStyle w:val="FirstParagraph"/>
      </w:pPr>
      <w:r>
        <w:rPr>
          <w:b/>
          <w:bCs/>
        </w:rPr>
        <w:t xml:space="preserve">Strategic Consultation for Post-Project Sustainability and eIDAS2 Preparation</w:t>
      </w:r>
    </w:p>
    <w:p>
      <w:pPr>
        <w:pStyle w:val="BodyText"/>
      </w:pPr>
      <w:r>
        <w:rPr>
          <w:b/>
          <w:bCs/>
        </w:rPr>
        <w:t xml:space="preserve">Generated on:</w:t>
      </w:r>
      <w:r>
        <w:t xml:space="preserve"> </w:t>
      </w:r>
      <w:r>
        <w:t xml:space="preserve">30 July 2025</w:t>
      </w:r>
    </w:p>
    <w:p>
      <w:pPr>
        <w:pStyle w:val="BodyText"/>
      </w:pPr>
      <w:r>
        <w:rPr>
          <w:b/>
          <w:bCs/>
        </w:rPr>
        <w:t xml:space="preserve">Document Version:</w:t>
      </w:r>
      <w:r>
        <w:t xml:space="preserve"> </w:t>
      </w:r>
      <w:r>
        <w:t xml:space="preserve">Complete WP9 Survey Analysis and Results</w:t>
      </w:r>
    </w:p>
    <w:p>
      <w:pPr>
        <w:pStyle w:val="BodyText"/>
      </w:pPr>
      <w:r>
        <w:t xml:space="preserve">ewpage</w:t>
      </w:r>
    </w:p>
    <w:bookmarkEnd w:id="9"/>
    <w:bookmarkStart w:id="83" w:name="wp9-survey-framework-and-context"/>
    <w:p>
      <w:pPr>
        <w:pStyle w:val="Heading1"/>
      </w:pPr>
      <w:r>
        <w:rPr>
          <w:rStyle w:val="SectionNumber"/>
        </w:rPr>
        <w:t xml:space="preserve">2</w:t>
      </w:r>
      <w:r>
        <w:tab/>
      </w:r>
      <w:r>
        <w:t xml:space="preserve">WP9 Survey Framework and Context</w:t>
      </w:r>
    </w:p>
    <w:bookmarkStart w:id="37" w:name="X3a05c37a923b28a77b3d10e21354457431b06aa"/>
    <w:p>
      <w:pPr>
        <w:pStyle w:val="Heading2"/>
      </w:pPr>
      <w:r>
        <w:rPr>
          <w:rStyle w:val="SectionNumber"/>
        </w:rPr>
        <w:t xml:space="preserve">2.1</w:t>
      </w:r>
      <w:r>
        <w:tab/>
      </w:r>
      <w:r>
        <w:rPr>
          <w:b/>
          <w:bCs/>
        </w:rPr>
        <w:t xml:space="preserve">Strategic Consultation for Post-Project Sustainability and eIDAS2 Preparation</w:t>
      </w:r>
    </w:p>
    <w:bookmarkStart w:id="10" w:name="wp9-survey-context-and-purpose"/>
    <w:p>
      <w:pPr>
        <w:pStyle w:val="Heading6"/>
      </w:pPr>
      <w:r>
        <w:rPr>
          <w:rStyle w:val="SectionNumber"/>
        </w:rPr>
        <w:t xml:space="preserve">2.1.0.0.0.1</w:t>
      </w:r>
      <w:r>
        <w:tab/>
      </w:r>
      <w:r>
        <w:t xml:space="preserve">WP9 Survey Context and Purpose</w:t>
      </w:r>
    </w:p>
    <w:p>
      <w:pPr>
        <w:pStyle w:val="FirstParagraph"/>
      </w:pPr>
      <w:r>
        <w:t xml:space="preserve">Work Package 9 conducted a comprehensive strategic consultation survey during the DC4EU Warsaw workshop to assess institutional readiness for the transition beyond the formal project conclusion. This survey represents a critical evaluation of production readiness, institutional dynamics, post-project commitment, and strategic vision for the future European digital credential ecosystem.</w:t>
      </w:r>
    </w:p>
    <w:bookmarkEnd w:id="10"/>
    <w:bookmarkStart w:id="11" w:name="survey-context"/>
    <w:p>
      <w:pPr>
        <w:pStyle w:val="Heading6"/>
      </w:pPr>
      <w:r>
        <w:rPr>
          <w:rStyle w:val="SectionNumber"/>
        </w:rPr>
        <w:t xml:space="preserve">2.1.0.0.0.2</w:t>
      </w:r>
      <w:r>
        <w:tab/>
      </w:r>
      <w:r>
        <w:t xml:space="preserve">Survey Context</w:t>
      </w:r>
    </w:p>
    <w:p>
      <w:pPr>
        <w:pStyle w:val="FirstParagraph"/>
      </w:pPr>
      <w:r>
        <w:t xml:space="preserve">The WP9 survey was specifically designed to capture honest assessments from piloting agents about the transition from the DC4EU project (ending 31st July 2025) to sustainable, community-driven continuation of digital credential initiatives. The survey addressed the practical realities of production deployment, eIDAS2 compliance preparation, and institutional commitment to ongoing digital credential adoption.</w:t>
      </w:r>
    </w:p>
    <w:p>
      <w:pPr>
        <w:pStyle w:val="BodyText"/>
      </w:pPr>
      <w:r>
        <w:rPr>
          <w:b/>
          <w:bCs/>
        </w:rPr>
        <w:t xml:space="preserve">Survey characteristics:</w:t>
      </w:r>
      <w:r>
        <w:t xml:space="preserve"> </w:t>
      </w:r>
      <w:r>
        <w:t xml:space="preserve">-</w:t>
      </w:r>
      <w:r>
        <w:t xml:space="preserve"> </w:t>
      </w:r>
      <w:r>
        <w:rPr>
          <w:b/>
          <w:bCs/>
        </w:rPr>
        <w:t xml:space="preserve">Strategic focus:</w:t>
      </w:r>
      <w:r>
        <w:t xml:space="preserve"> </w:t>
      </w:r>
      <w:r>
        <w:t xml:space="preserve">Post-project sustainability and production readiness assessment</w:t>
      </w:r>
      <w:r>
        <w:t xml:space="preserve"> </w:t>
      </w:r>
      <w:r>
        <w:t xml:space="preserve">-</w:t>
      </w:r>
      <w:r>
        <w:t xml:space="preserve"> </w:t>
      </w:r>
      <w:r>
        <w:rPr>
          <w:b/>
          <w:bCs/>
        </w:rPr>
        <w:t xml:space="preserve">Real-time data collection:</w:t>
      </w:r>
      <w:r>
        <w:t xml:space="preserve"> </w:t>
      </w:r>
      <w:r>
        <w:t xml:space="preserve">Interactive workshop format using menti.com platform</w:t>
      </w:r>
      <w:r>
        <w:t xml:space="preserve"> </w:t>
      </w:r>
      <w:r>
        <w:t xml:space="preserve">-</w:t>
      </w:r>
      <w:r>
        <w:t xml:space="preserve"> </w:t>
      </w:r>
      <w:r>
        <w:rPr>
          <w:b/>
          <w:bCs/>
        </w:rPr>
        <w:t xml:space="preserve">Honest evaluation approach:</w:t>
      </w:r>
      <w:r>
        <w:t xml:space="preserve"> </w:t>
      </w:r>
      <w:r>
        <w:t xml:space="preserve">Designed to capture genuine institutional perspectives rather than aspirational responses</w:t>
      </w:r>
      <w:r>
        <w:t xml:space="preserve"> </w:t>
      </w:r>
      <w:r>
        <w:t xml:space="preserve">-</w:t>
      </w:r>
      <w:r>
        <w:t xml:space="preserve"> </w:t>
      </w:r>
      <w:r>
        <w:rPr>
          <w:b/>
          <w:bCs/>
        </w:rPr>
        <w:t xml:space="preserve">Future-oriented analysis:</w:t>
      </w:r>
      <w:r>
        <w:t xml:space="preserve"> </w:t>
      </w:r>
      <w:r>
        <w:t xml:space="preserve">Assessment of long-term commitment and strategic vision</w:t>
      </w:r>
    </w:p>
    <w:p>
      <w:r>
        <w:pict>
          <v:rect style="width:0;height:1.5pt" o:hralign="center" o:hrstd="t" o:hr="t"/>
        </w:pict>
      </w:r>
    </w:p>
    <w:bookmarkEnd w:id="11"/>
    <w:bookmarkStart w:id="12" w:name="survey-implementation-and-methodology"/>
    <w:p>
      <w:pPr>
        <w:pStyle w:val="Heading6"/>
      </w:pPr>
      <w:r>
        <w:rPr>
          <w:rStyle w:val="SectionNumber"/>
        </w:rPr>
        <w:t xml:space="preserve">2.1.0.0.0.3</w:t>
      </w:r>
      <w:r>
        <w:tab/>
      </w:r>
      <w:r>
        <w:t xml:space="preserve">Survey Implementation and Methodology</w:t>
      </w:r>
    </w:p>
    <w:bookmarkEnd w:id="12"/>
    <w:bookmarkStart w:id="13" w:name="dc4eu-warsaw-workshop-consultation"/>
    <w:p>
      <w:pPr>
        <w:pStyle w:val="Heading6"/>
      </w:pPr>
      <w:r>
        <w:rPr>
          <w:rStyle w:val="SectionNumber"/>
        </w:rPr>
        <w:t xml:space="preserve">2.1.0.0.0.4</w:t>
      </w:r>
      <w:r>
        <w:tab/>
      </w:r>
      <w:r>
        <w:t xml:space="preserve">DC4EU Warsaw Workshop Consultation</w:t>
      </w:r>
    </w:p>
    <w:p>
      <w:pPr>
        <w:pStyle w:val="FirstParagraph"/>
      </w:pPr>
      <w:r>
        <w:t xml:space="preserve">The survey was conducted during the DC4EU Warsaw workshop on 27 June 2025, using a guided presentation format with real-time response collection. This interactive approach ensured high engagement and honest feedback from consortium members and piloting agents.</w:t>
      </w:r>
    </w:p>
    <w:p>
      <w:pPr>
        <w:pStyle w:val="BodyText"/>
      </w:pPr>
      <w:r>
        <w:rPr>
          <w:b/>
          <w:bCs/>
        </w:rPr>
        <w:t xml:space="preserve">Implementation details:</w:t>
      </w:r>
      <w:r>
        <w:t xml:space="preserve"> </w:t>
      </w:r>
      <w:r>
        <w:t xml:space="preserve">-</w:t>
      </w:r>
      <w:r>
        <w:t xml:space="preserve"> </w:t>
      </w:r>
      <w:r>
        <w:rPr>
          <w:b/>
          <w:bCs/>
        </w:rPr>
        <w:t xml:space="preserve">Participants:</w:t>
      </w:r>
      <w:r>
        <w:t xml:space="preserve"> </w:t>
      </w:r>
      <w:r>
        <w:t xml:space="preserve">26 DC4EU piloting agents and consortium members</w:t>
      </w:r>
      <w:r>
        <w:t xml:space="preserve"> </w:t>
      </w:r>
      <w:r>
        <w:t xml:space="preserve">-</w:t>
      </w:r>
      <w:r>
        <w:t xml:space="preserve"> </w:t>
      </w:r>
      <w:r>
        <w:rPr>
          <w:b/>
          <w:bCs/>
        </w:rPr>
        <w:t xml:space="preserve">Data collection method:</w:t>
      </w:r>
      <w:r>
        <w:t xml:space="preserve"> </w:t>
      </w:r>
      <w:r>
        <w:t xml:space="preserve">Real-time via menti.com during structured workshop session</w:t>
      </w:r>
      <w:r>
        <w:t xml:space="preserve"> </w:t>
      </w:r>
      <w:r>
        <w:t xml:space="preserve">-</w:t>
      </w:r>
      <w:r>
        <w:t xml:space="preserve"> </w:t>
      </w:r>
      <w:r>
        <w:rPr>
          <w:b/>
          <w:bCs/>
        </w:rPr>
        <w:t xml:space="preserve">Response quality:</w:t>
      </w:r>
      <w:r>
        <w:t xml:space="preserve"> </w:t>
      </w:r>
      <w:r>
        <w:t xml:space="preserve">High engagement with 60-80% response rate across all questions</w:t>
      </w:r>
      <w:r>
        <w:t xml:space="preserve"> </w:t>
      </w:r>
      <w:r>
        <w:t xml:space="preserve">-</w:t>
      </w:r>
      <w:r>
        <w:t xml:space="preserve"> </w:t>
      </w:r>
      <w:r>
        <w:rPr>
          <w:b/>
          <w:bCs/>
        </w:rPr>
        <w:t xml:space="preserve">Survey structure:</w:t>
      </w:r>
      <w:r>
        <w:t xml:space="preserve"> </w:t>
      </w:r>
      <w:r>
        <w:t xml:space="preserve">Four thematic evaluation blocks designed for comprehensive assessment</w:t>
      </w:r>
    </w:p>
    <w:bookmarkEnd w:id="13"/>
    <w:bookmarkStart w:id="14" w:name="survey-structure-and-assessment-areas"/>
    <w:p>
      <w:pPr>
        <w:pStyle w:val="Heading6"/>
      </w:pPr>
      <w:r>
        <w:rPr>
          <w:rStyle w:val="SectionNumber"/>
        </w:rPr>
        <w:t xml:space="preserve">2.1.0.0.0.5</w:t>
      </w:r>
      <w:r>
        <w:tab/>
      </w:r>
      <w:r>
        <w:t xml:space="preserve">Survey Structure and Assessment Areas</w:t>
      </w:r>
    </w:p>
    <w:bookmarkEnd w:id="14"/>
    <w:bookmarkStart w:id="15" w:name="block-1-production-readiness-assessment"/>
    <w:p>
      <w:pPr>
        <w:pStyle w:val="Heading6"/>
      </w:pPr>
      <w:r>
        <w:rPr>
          <w:rStyle w:val="SectionNumber"/>
        </w:rPr>
        <w:t xml:space="preserve">2.1.0.0.0.6</w:t>
      </w:r>
      <w:r>
        <w:tab/>
      </w:r>
      <w:r>
        <w:t xml:space="preserve">Block 1: Production Readiness Assessment</w:t>
      </w:r>
    </w:p>
    <w:p>
      <w:pPr>
        <w:pStyle w:val="FirstParagraph"/>
      </w:pPr>
      <w:r>
        <w:t xml:space="preserve">Evaluation of current readiness for real-world deployment of DC4EU solutions, including challenge identification and priority assessment.</w:t>
      </w:r>
    </w:p>
    <w:bookmarkEnd w:id="15"/>
    <w:bookmarkStart w:id="16" w:name="block-2-internal-eidas2eudiw-perceptions"/>
    <w:p>
      <w:pPr>
        <w:pStyle w:val="Heading6"/>
      </w:pPr>
      <w:r>
        <w:rPr>
          <w:rStyle w:val="SectionNumber"/>
        </w:rPr>
        <w:t xml:space="preserve">2.1.0.0.0.7</w:t>
      </w:r>
      <w:r>
        <w:tab/>
      </w:r>
      <w:r>
        <w:t xml:space="preserve">Block 2: Internal eIDAS2/EUDIW Perceptions</w:t>
      </w:r>
    </w:p>
    <w:p>
      <w:pPr>
        <w:pStyle w:val="FirstParagraph"/>
      </w:pPr>
      <w:r>
        <w:t xml:space="preserve">Analysis of institutional awareness, management buy-in, and internal dynamics regarding eIDAS2 implementation and investment requirements.</w:t>
      </w:r>
    </w:p>
    <w:bookmarkEnd w:id="16"/>
    <w:bookmarkStart w:id="17" w:name="block-3-post-project-commitment"/>
    <w:p>
      <w:pPr>
        <w:pStyle w:val="Heading6"/>
      </w:pPr>
      <w:r>
        <w:rPr>
          <w:rStyle w:val="SectionNumber"/>
        </w:rPr>
        <w:t xml:space="preserve">2.1.0.0.0.8</w:t>
      </w:r>
      <w:r>
        <w:tab/>
      </w:r>
      <w:r>
        <w:t xml:space="preserve">Block 3: Post-Project Commitment</w:t>
      </w:r>
    </w:p>
    <w:p>
      <w:pPr>
        <w:pStyle w:val="FirstParagraph"/>
      </w:pPr>
      <w:r>
        <w:t xml:space="preserve">Critical assessment of genuine willingness and capacity to continue digital credential work beyond the formal project conclusion.</w:t>
      </w:r>
    </w:p>
    <w:bookmarkEnd w:id="17"/>
    <w:bookmarkStart w:id="18" w:name="block-4-strategic-vision"/>
    <w:p>
      <w:pPr>
        <w:pStyle w:val="Heading6"/>
      </w:pPr>
      <w:r>
        <w:rPr>
          <w:rStyle w:val="SectionNumber"/>
        </w:rPr>
        <w:t xml:space="preserve">2.1.0.0.0.9</w:t>
      </w:r>
      <w:r>
        <w:tab/>
      </w:r>
      <w:r>
        <w:t xml:space="preserve">Block 4: Strategic Vision</w:t>
      </w:r>
    </w:p>
    <w:p>
      <w:pPr>
        <w:pStyle w:val="FirstParagraph"/>
      </w:pPr>
      <w:r>
        <w:t xml:space="preserve">Evaluation of preferred future scenarios and architectural priorities for European digital credential ecosystem development.</w:t>
      </w:r>
    </w:p>
    <w:p>
      <w:r>
        <w:pict>
          <v:rect style="width:0;height:1.5pt" o:hralign="center" o:hrstd="t" o:hr="t"/>
        </w:pict>
      </w:r>
    </w:p>
    <w:bookmarkEnd w:id="18"/>
    <w:bookmarkStart w:id="19" w:name="survey-documentation-and-results"/>
    <w:p>
      <w:pPr>
        <w:pStyle w:val="Heading6"/>
      </w:pPr>
      <w:r>
        <w:rPr>
          <w:rStyle w:val="SectionNumber"/>
        </w:rPr>
        <w:t xml:space="preserve">2.1.0.0.0.10</w:t>
      </w:r>
      <w:r>
        <w:tab/>
      </w:r>
      <w:r>
        <w:t xml:space="preserve">Survey Documentation and Results</w:t>
      </w:r>
    </w:p>
    <w:bookmarkEnd w:id="19"/>
    <w:bookmarkStart w:id="20" w:name="survey-instrument"/>
    <w:p>
      <w:pPr>
        <w:pStyle w:val="Heading6"/>
      </w:pPr>
      <w:r>
        <w:rPr>
          <w:rStyle w:val="SectionNumber"/>
        </w:rPr>
        <w:t xml:space="preserve">2.1.0.0.0.11</w:t>
      </w:r>
      <w:r>
        <w:tab/>
      </w:r>
      <w:r>
        <w:t xml:space="preserve">Survey Instrument</w:t>
      </w:r>
    </w:p>
    <w:p>
      <w:pPr>
        <w:pStyle w:val="FirstParagraph"/>
      </w:pPr>
      <w:r>
        <w:rPr>
          <w:b/>
          <w:bCs/>
        </w:rPr>
        <w:t xml:space="preserve">[DC4EU Warsaw Workshop Survey Questions[Local: dc4eu_warsaw_survey.md]</w:t>
      </w:r>
      <w:r>
        <w:t xml:space="preserve"> </w:t>
      </w:r>
      <w:r>
        <w:t xml:space="preserve">- Complete survey instrument with all questions, instructions, and implementation details across four thematic blocks</w:t>
      </w:r>
    </w:p>
    <w:p>
      <w:pPr>
        <w:pStyle w:val="BodyText"/>
      </w:pPr>
      <w:r>
        <w:rPr>
          <w:i/>
          <w:iCs/>
        </w:rPr>
        <w:t xml:space="preserve">Content overview:</w:t>
      </w:r>
      <w:r>
        <w:t xml:space="preserve"> </w:t>
      </w:r>
      <w:r>
        <w:t xml:space="preserve">Structured questionnaire covering production readiness, institutional perceptions, post-project commitment, and strategic vision with detailed instructions for each assessment area.</w:t>
      </w:r>
    </w:p>
    <w:bookmarkEnd w:id="20"/>
    <w:bookmarkStart w:id="21" w:name="survey-results-and-analysis"/>
    <w:p>
      <w:pPr>
        <w:pStyle w:val="Heading6"/>
      </w:pPr>
      <w:r>
        <w:rPr>
          <w:rStyle w:val="SectionNumber"/>
        </w:rPr>
        <w:t xml:space="preserve">2.1.0.0.0.12</w:t>
      </w:r>
      <w:r>
        <w:tab/>
      </w:r>
      <w:r>
        <w:t xml:space="preserve">Survey Results and Analysis</w:t>
      </w:r>
    </w:p>
    <w:p>
      <w:pPr>
        <w:pStyle w:val="FirstParagraph"/>
      </w:pPr>
      <w:r>
        <w:rPr>
          <w:b/>
          <w:bCs/>
        </w:rPr>
        <w:t xml:space="preserve">[DC4EU Warsaw Workshop Survey Results[Local: dc4eu_warsaw_survey_responses.md]</w:t>
      </w:r>
      <w:r>
        <w:t xml:space="preserve"> </w:t>
      </w:r>
      <w:r>
        <w:t xml:space="preserve">- Comprehensive analysis of survey responses with detailed findings and strategic implications</w:t>
      </w:r>
    </w:p>
    <w:p>
      <w:pPr>
        <w:pStyle w:val="BodyText"/>
      </w:pPr>
      <w:r>
        <w:rPr>
          <w:i/>
          <w:iCs/>
        </w:rPr>
        <w:t xml:space="preserve">Key findings:</w:t>
      </w:r>
      <w:r>
        <w:t xml:space="preserve"> </w:t>
      </w:r>
      <w:r>
        <w:t xml:space="preserve">-</w:t>
      </w:r>
      <w:r>
        <w:t xml:space="preserve"> </w:t>
      </w:r>
      <w:r>
        <w:rPr>
          <w:b/>
          <w:bCs/>
        </w:rPr>
        <w:t xml:space="preserve">65% positive readiness sentiment</w:t>
      </w:r>
      <w:r>
        <w:t xml:space="preserve"> </w:t>
      </w:r>
      <w:r>
        <w:t xml:space="preserve">with clear challenge identification</w:t>
      </w:r>
      <w:r>
        <w:t xml:space="preserve"> </w:t>
      </w:r>
      <w:r>
        <w:t xml:space="preserve">-</w:t>
      </w:r>
      <w:r>
        <w:t xml:space="preserve"> </w:t>
      </w:r>
      <w:r>
        <w:rPr>
          <w:b/>
          <w:bCs/>
        </w:rPr>
        <w:t xml:space="preserve">Regulatory compliance prioritised</w:t>
      </w:r>
      <w:r>
        <w:t xml:space="preserve"> </w:t>
      </w:r>
      <w:r>
        <w:t xml:space="preserve">as highest implementation challenge (30.5% priority allocation)</w:t>
      </w:r>
      <w:r>
        <w:t xml:space="preserve"> </w:t>
      </w:r>
      <w:r>
        <w:t xml:space="preserve">-</w:t>
      </w:r>
      <w:r>
        <w:t xml:space="preserve"> </w:t>
      </w:r>
      <w:r>
        <w:rPr>
          <w:b/>
          <w:bCs/>
        </w:rPr>
        <w:t xml:space="preserve">75% continuation willingness</w:t>
      </w:r>
      <w:r>
        <w:t xml:space="preserve"> </w:t>
      </w:r>
      <w:r>
        <w:t xml:space="preserve">dependent on funding and institutional support</w:t>
      </w:r>
      <w:r>
        <w:t xml:space="preserve"> </w:t>
      </w:r>
      <w:r>
        <w:t xml:space="preserve">-</w:t>
      </w:r>
      <w:r>
        <w:t xml:space="preserve"> </w:t>
      </w:r>
      <w:r>
        <w:rPr>
          <w:b/>
          <w:bCs/>
        </w:rPr>
        <w:t xml:space="preserve">Significant eIDAS2 awareness gaps</w:t>
      </w:r>
      <w:r>
        <w:t xml:space="preserve"> </w:t>
      </w:r>
      <w:r>
        <w:t xml:space="preserve">requiring institutional education initiatives</w:t>
      </w:r>
    </w:p>
    <w:p>
      <w:r>
        <w:pict>
          <v:rect style="width:0;height:1.5pt" o:hralign="center" o:hrstd="t" o:hr="t"/>
        </w:pict>
      </w:r>
    </w:p>
    <w:bookmarkEnd w:id="21"/>
    <w:bookmarkStart w:id="22" w:name="X817fc6323cb1ddf8911ab8fa3f12bfe446cd380"/>
    <w:p>
      <w:pPr>
        <w:pStyle w:val="Heading6"/>
      </w:pPr>
      <w:r>
        <w:rPr>
          <w:rStyle w:val="SectionNumber"/>
        </w:rPr>
        <w:t xml:space="preserve">2.1.0.0.0.13</w:t>
      </w:r>
      <w:r>
        <w:tab/>
      </w:r>
      <w:r>
        <w:t xml:space="preserve">Strategic Survey Outcomes and Implications</w:t>
      </w:r>
    </w:p>
    <w:bookmarkEnd w:id="22"/>
    <w:bookmarkStart w:id="23" w:name="production-readiness-assessment-results"/>
    <w:p>
      <w:pPr>
        <w:pStyle w:val="Heading6"/>
      </w:pPr>
      <w:r>
        <w:rPr>
          <w:rStyle w:val="SectionNumber"/>
        </w:rPr>
        <w:t xml:space="preserve">2.1.0.0.0.14</w:t>
      </w:r>
      <w:r>
        <w:tab/>
      </w:r>
      <w:r>
        <w:t xml:space="preserve">Production Readiness Assessment Results</w:t>
      </w:r>
    </w:p>
    <w:p>
      <w:pPr>
        <w:pStyle w:val="FirstParagraph"/>
      </w:pPr>
      <w:r>
        <w:t xml:space="preserve">The survey revealed a predominantly positive readiness sentiment (65% confident/prepared responses) whilst identifying specific deployment challenges:</w:t>
      </w:r>
    </w:p>
    <w:p>
      <w:pPr>
        <w:pStyle w:val="BodyText"/>
      </w:pPr>
      <w:r>
        <w:rPr>
          <w:b/>
          <w:bCs/>
        </w:rPr>
        <w:t xml:space="preserve">Primary challenge categories:</w:t>
      </w:r>
      <w:r>
        <w:t xml:space="preserve"> </w:t>
      </w:r>
      <w:r>
        <w:t xml:space="preserve">1.</w:t>
      </w:r>
      <w:r>
        <w:t xml:space="preserve"> </w:t>
      </w:r>
      <w:r>
        <w:rPr>
          <w:b/>
          <w:bCs/>
        </w:rPr>
        <w:t xml:space="preserve">Regulatory/legal issues</w:t>
      </w:r>
      <w:r>
        <w:t xml:space="preserve"> </w:t>
      </w:r>
      <w:r>
        <w:t xml:space="preserve">(highest priority - 30.5% allocation)</w:t>
      </w:r>
      <w:r>
        <w:t xml:space="preserve"> </w:t>
      </w:r>
      <w:r>
        <w:t xml:space="preserve">2.</w:t>
      </w:r>
      <w:r>
        <w:t xml:space="preserve"> </w:t>
      </w:r>
      <w:r>
        <w:rPr>
          <w:b/>
          <w:bCs/>
        </w:rPr>
        <w:t xml:space="preserve">Resource constraints</w:t>
      </w:r>
      <w:r>
        <w:t xml:space="preserve"> </w:t>
      </w:r>
      <w:r>
        <w:t xml:space="preserve">(24.5% priority allocation)</w:t>
      </w:r>
      <w:r>
        <w:br/>
      </w:r>
      <w:r>
        <w:t xml:space="preserve">3.</w:t>
      </w:r>
      <w:r>
        <w:t xml:space="preserve"> </w:t>
      </w:r>
      <w:r>
        <w:rPr>
          <w:b/>
          <w:bCs/>
        </w:rPr>
        <w:t xml:space="preserve">Organisational resistance</w:t>
      </w:r>
      <w:r>
        <w:t xml:space="preserve"> </w:t>
      </w:r>
      <w:r>
        <w:t xml:space="preserve">(21.3% priority allocation)</w:t>
      </w:r>
      <w:r>
        <w:t xml:space="preserve"> </w:t>
      </w:r>
      <w:r>
        <w:t xml:space="preserve">4.</w:t>
      </w:r>
      <w:r>
        <w:t xml:space="preserve"> </w:t>
      </w:r>
      <w:r>
        <w:rPr>
          <w:b/>
          <w:bCs/>
        </w:rPr>
        <w:t xml:space="preserve">Technical obstacles</w:t>
      </w:r>
      <w:r>
        <w:t xml:space="preserve"> </w:t>
      </w:r>
      <w:r>
        <w:t xml:space="preserve">(lowest priority but still significant)</w:t>
      </w:r>
    </w:p>
    <w:bookmarkEnd w:id="23"/>
    <w:bookmarkStart w:id="24" w:name="post-project-sustainability-insights"/>
    <w:p>
      <w:pPr>
        <w:pStyle w:val="Heading6"/>
      </w:pPr>
      <w:r>
        <w:rPr>
          <w:rStyle w:val="SectionNumber"/>
        </w:rPr>
        <w:t xml:space="preserve">2.1.0.0.0.15</w:t>
      </w:r>
      <w:r>
        <w:tab/>
      </w:r>
      <w:r>
        <w:t xml:space="preserve">Post-Project Sustainability Insights</w:t>
      </w:r>
    </w:p>
    <w:p>
      <w:pPr>
        <w:pStyle w:val="FirstParagraph"/>
      </w:pPr>
      <w:r>
        <w:t xml:space="preserve">Critical findings for continuation planning:</w:t>
      </w:r>
      <w:r>
        <w:t xml:space="preserve"> </w:t>
      </w:r>
      <w:r>
        <w:t xml:space="preserve">-</w:t>
      </w:r>
      <w:r>
        <w:t xml:space="preserve"> </w:t>
      </w:r>
      <w:r>
        <w:rPr>
          <w:b/>
          <w:bCs/>
        </w:rPr>
        <w:t xml:space="preserve">75% willingness</w:t>
      </w:r>
      <w:r>
        <w:t xml:space="preserve"> </w:t>
      </w:r>
      <w:r>
        <w:t xml:space="preserve">to continue beyond project conclusion</w:t>
      </w:r>
      <w:r>
        <w:t xml:space="preserve"> </w:t>
      </w:r>
      <w:r>
        <w:t xml:space="preserve">-</w:t>
      </w:r>
      <w:r>
        <w:t xml:space="preserve"> </w:t>
      </w:r>
      <w:r>
        <w:rPr>
          <w:b/>
          <w:bCs/>
        </w:rPr>
        <w:t xml:space="preserve">Funding dependency</w:t>
      </w:r>
      <w:r>
        <w:t xml:space="preserve"> </w:t>
      </w:r>
      <w:r>
        <w:t xml:space="preserve">as primary sustainability constraint</w:t>
      </w:r>
      <w:r>
        <w:t xml:space="preserve"> </w:t>
      </w:r>
      <w:r>
        <w:t xml:space="preserve">-</w:t>
      </w:r>
      <w:r>
        <w:t xml:space="preserve"> </w:t>
      </w:r>
      <w:r>
        <w:rPr>
          <w:b/>
          <w:bCs/>
        </w:rPr>
        <w:t xml:space="preserve">Institutional leadership commitment</w:t>
      </w:r>
      <w:r>
        <w:t xml:space="preserve"> </w:t>
      </w:r>
      <w:r>
        <w:t xml:space="preserve">required for successful transition</w:t>
      </w:r>
      <w:r>
        <w:t xml:space="preserve"> </w:t>
      </w:r>
      <w:r>
        <w:t xml:space="preserve">-</w:t>
      </w:r>
      <w:r>
        <w:t xml:space="preserve"> </w:t>
      </w:r>
      <w:r>
        <w:rPr>
          <w:b/>
          <w:bCs/>
        </w:rPr>
        <w:t xml:space="preserve">Scenario 2 preference</w:t>
      </w:r>
      <w:r>
        <w:t xml:space="preserve"> </w:t>
      </w:r>
      <w:r>
        <w:t xml:space="preserve">as practical starting point for implementation</w:t>
      </w:r>
    </w:p>
    <w:bookmarkEnd w:id="24"/>
    <w:bookmarkStart w:id="25" w:name="strategic-vision-consensus"/>
    <w:p>
      <w:pPr>
        <w:pStyle w:val="Heading6"/>
      </w:pPr>
      <w:r>
        <w:rPr>
          <w:rStyle w:val="SectionNumber"/>
        </w:rPr>
        <w:t xml:space="preserve">2.1.0.0.0.16</w:t>
      </w:r>
      <w:r>
        <w:tab/>
      </w:r>
      <w:r>
        <w:t xml:space="preserve">Strategic Vision Consensus</w:t>
      </w:r>
    </w:p>
    <w:p>
      <w:pPr>
        <w:pStyle w:val="FirstParagraph"/>
      </w:pPr>
      <w:r>
        <w:t xml:space="preserve">The survey established consensus around pragmatic implementation approach:</w:t>
      </w:r>
      <w:r>
        <w:t xml:space="preserve"> </w:t>
      </w:r>
      <w:r>
        <w:t xml:space="preserve">-</w:t>
      </w:r>
      <w:r>
        <w:t xml:space="preserve"> </w:t>
      </w:r>
      <w:r>
        <w:rPr>
          <w:b/>
          <w:bCs/>
        </w:rPr>
        <w:t xml:space="preserve">Scenario 2 implementation focus</w:t>
      </w:r>
      <w:r>
        <w:t xml:space="preserve"> </w:t>
      </w:r>
      <w:r>
        <w:t xml:space="preserve">as realistic foundation</w:t>
      </w:r>
      <w:r>
        <w:t xml:space="preserve"> </w:t>
      </w:r>
      <w:r>
        <w:t xml:space="preserve">-</w:t>
      </w:r>
      <w:r>
        <w:t xml:space="preserve"> </w:t>
      </w:r>
      <w:r>
        <w:rPr>
          <w:b/>
          <w:bCs/>
        </w:rPr>
        <w:t xml:space="preserve">Progressive evolution</w:t>
      </w:r>
      <w:r>
        <w:t xml:space="preserve"> </w:t>
      </w:r>
      <w:r>
        <w:t xml:space="preserve">towards more comprehensive scenarios</w:t>
      </w:r>
      <w:r>
        <w:t xml:space="preserve"> </w:t>
      </w:r>
      <w:r>
        <w:t xml:space="preserve">-</w:t>
      </w:r>
      <w:r>
        <w:t xml:space="preserve"> </w:t>
      </w:r>
      <w:r>
        <w:rPr>
          <w:b/>
          <w:bCs/>
        </w:rPr>
        <w:t xml:space="preserve">Community-driven development</w:t>
      </w:r>
      <w:r>
        <w:t xml:space="preserve"> </w:t>
      </w:r>
      <w:r>
        <w:t xml:space="preserve">model for ongoing collaboration</w:t>
      </w:r>
      <w:r>
        <w:t xml:space="preserve"> </w:t>
      </w:r>
      <w:r>
        <w:t xml:space="preserve">-</w:t>
      </w:r>
      <w:r>
        <w:t xml:space="preserve"> </w:t>
      </w:r>
      <w:r>
        <w:rPr>
          <w:b/>
          <w:bCs/>
        </w:rPr>
        <w:t xml:space="preserve">eIDAS2 preparation</w:t>
      </w:r>
      <w:r>
        <w:t xml:space="preserve"> </w:t>
      </w:r>
      <w:r>
        <w:t xml:space="preserve">as key strategic priority</w:t>
      </w:r>
    </w:p>
    <w:p>
      <w:r>
        <w:pict>
          <v:rect style="width:0;height:1.5pt" o:hralign="center" o:hrstd="t" o:hr="t"/>
        </w:pict>
      </w:r>
    </w:p>
    <w:bookmarkEnd w:id="25"/>
    <w:bookmarkStart w:id="26" w:name="survey-applications-and-strategic-value"/>
    <w:p>
      <w:pPr>
        <w:pStyle w:val="Heading6"/>
      </w:pPr>
      <w:r>
        <w:rPr>
          <w:rStyle w:val="SectionNumber"/>
        </w:rPr>
        <w:t xml:space="preserve">2.1.0.0.0.17</w:t>
      </w:r>
      <w:r>
        <w:tab/>
      </w:r>
      <w:r>
        <w:t xml:space="preserve">Survey Applications and Strategic Value</w:t>
      </w:r>
    </w:p>
    <w:bookmarkEnd w:id="26"/>
    <w:bookmarkStart w:id="27" w:name="transition-planning-support"/>
    <w:p>
      <w:pPr>
        <w:pStyle w:val="Heading6"/>
      </w:pPr>
      <w:r>
        <w:rPr>
          <w:rStyle w:val="SectionNumber"/>
        </w:rPr>
        <w:t xml:space="preserve">2.1.0.0.0.18</w:t>
      </w:r>
      <w:r>
        <w:tab/>
      </w:r>
      <w:r>
        <w:t xml:space="preserve">Transition Planning Support</w:t>
      </w:r>
    </w:p>
    <w:p>
      <w:pPr>
        <w:pStyle w:val="FirstParagraph"/>
      </w:pPr>
      <w:r>
        <w:t xml:space="preserve">Survey results provide evidence-based guidance for managing the transition from formal project conclusion to sustainable community-driven initiatives. Findings inform resource allocation, institutional engagement strategies, and timeline planning for post-project activities.</w:t>
      </w:r>
    </w:p>
    <w:bookmarkEnd w:id="27"/>
    <w:bookmarkStart w:id="28" w:name="policy-and-regulatory-preparation"/>
    <w:p>
      <w:pPr>
        <w:pStyle w:val="Heading6"/>
      </w:pPr>
      <w:r>
        <w:rPr>
          <w:rStyle w:val="SectionNumber"/>
        </w:rPr>
        <w:t xml:space="preserve">2.1.0.0.0.19</w:t>
      </w:r>
      <w:r>
        <w:tab/>
      </w:r>
      <w:r>
        <w:t xml:space="preserve">Policy and Regulatory Preparation</w:t>
      </w:r>
    </w:p>
    <w:p>
      <w:pPr>
        <w:pStyle w:val="FirstParagraph"/>
      </w:pPr>
      <w:r>
        <w:t xml:space="preserve">Survey insights inform eIDAS2 implementation strategies, regulatory compliance approaches, and institutional readiness assessment. The comprehensive feedback provides evidence for policy guidance development and regulatory framework preparation.</w:t>
      </w:r>
    </w:p>
    <w:bookmarkEnd w:id="28"/>
    <w:bookmarkStart w:id="29" w:name="institutional-engagement-strategy"/>
    <w:p>
      <w:pPr>
        <w:pStyle w:val="Heading6"/>
      </w:pPr>
      <w:r>
        <w:rPr>
          <w:rStyle w:val="SectionNumber"/>
        </w:rPr>
        <w:t xml:space="preserve">2.1.0.0.0.20</w:t>
      </w:r>
      <w:r>
        <w:tab/>
      </w:r>
      <w:r>
        <w:t xml:space="preserve">Institutional Engagement Strategy</w:t>
      </w:r>
    </w:p>
    <w:p>
      <w:pPr>
        <w:pStyle w:val="FirstParagraph"/>
      </w:pPr>
      <w:r>
        <w:t xml:space="preserve">Results guide institutional awareness programmes, leadership engagement approaches, and change management strategies. The survey identifies specific areas requiring institutional education and support for successful digital credential adoption.</w:t>
      </w:r>
    </w:p>
    <w:p>
      <w:r>
        <w:pict>
          <v:rect style="width:0;height:1.5pt" o:hralign="center" o:hrstd="t" o:hr="t"/>
        </w:pict>
      </w:r>
    </w:p>
    <w:bookmarkEnd w:id="29"/>
    <w:bookmarkStart w:id="30" w:name="related-strategic-documentation"/>
    <w:p>
      <w:pPr>
        <w:pStyle w:val="Heading6"/>
      </w:pPr>
      <w:r>
        <w:rPr>
          <w:rStyle w:val="SectionNumber"/>
        </w:rPr>
        <w:t xml:space="preserve">2.1.0.0.0.21</w:t>
      </w:r>
      <w:r>
        <w:tab/>
      </w:r>
      <w:r>
        <w:t xml:space="preserve">Related Strategic Documentation</w:t>
      </w:r>
    </w:p>
    <w:bookmarkEnd w:id="30"/>
    <w:bookmarkStart w:id="31" w:name="post-project-planning"/>
    <w:p>
      <w:pPr>
        <w:pStyle w:val="Heading6"/>
      </w:pPr>
      <w:r>
        <w:rPr>
          <w:rStyle w:val="SectionNumber"/>
        </w:rPr>
        <w:t xml:space="preserve">2.1.0.0.0.22</w:t>
      </w:r>
      <w:r>
        <w:tab/>
      </w:r>
      <w:r>
        <w:t xml:space="preserve">Post-Project Planning</w:t>
      </w:r>
    </w:p>
    <w:p>
      <w:pPr>
        <w:pStyle w:val="Compact"/>
        <w:numPr>
          <w:ilvl w:val="0"/>
          <w:numId w:val="1001"/>
        </w:numPr>
      </w:pPr>
      <w:r>
        <w:rPr>
          <w:b/>
          <w:bCs/>
        </w:rPr>
        <w:t xml:space="preserve">[Warsaw Workshop Outcomes[Local: warsaw-workshop-outcomes.md]</w:t>
      </w:r>
      <w:r>
        <w:t xml:space="preserve"> </w:t>
      </w:r>
      <w:r>
        <w:t xml:space="preserve">- Workshop conclusions and action items</w:t>
      </w:r>
    </w:p>
    <w:p>
      <w:pPr>
        <w:pStyle w:val="Compact"/>
        <w:numPr>
          <w:ilvl w:val="0"/>
          <w:numId w:val="1001"/>
        </w:numPr>
      </w:pPr>
      <w:r>
        <w:rPr>
          <w:b/>
          <w:bCs/>
        </w:rPr>
        <w:t xml:space="preserve">[Madrid Workshop Preparation[Local: madrid-workshop-preparation.md]</w:t>
      </w:r>
      <w:r>
        <w:t xml:space="preserve"> </w:t>
      </w:r>
      <w:r>
        <w:t xml:space="preserve">- Follow-up workshop planning based on survey insights</w:t>
      </w:r>
    </w:p>
    <w:bookmarkEnd w:id="31"/>
    <w:bookmarkStart w:id="32" w:name="implementation-guidance"/>
    <w:p>
      <w:pPr>
        <w:pStyle w:val="Heading6"/>
      </w:pPr>
      <w:r>
        <w:rPr>
          <w:rStyle w:val="SectionNumber"/>
        </w:rPr>
        <w:t xml:space="preserve">2.1.0.0.0.23</w:t>
      </w:r>
      <w:r>
        <w:tab/>
      </w:r>
      <w:r>
        <w:t xml:space="preserve">Implementation Guidance</w:t>
      </w:r>
    </w:p>
    <w:p>
      <w:pPr>
        <w:pStyle w:val="Compact"/>
        <w:numPr>
          <w:ilvl w:val="0"/>
          <w:numId w:val="1002"/>
        </w:numPr>
      </w:pPr>
      <w:r>
        <w:rPr>
          <w:b/>
          <w:bCs/>
        </w:rPr>
        <w:t xml:space="preserve">[WP5 Survey Results[Local: WP5/README.md]</w:t>
      </w:r>
      <w:r>
        <w:t xml:space="preserve"> </w:t>
      </w:r>
      <w:r>
        <w:t xml:space="preserve">- Complementary user experience and institutional feedback</w:t>
      </w:r>
    </w:p>
    <w:p>
      <w:pPr>
        <w:pStyle w:val="Compact"/>
        <w:numPr>
          <w:ilvl w:val="0"/>
          <w:numId w:val="1002"/>
        </w:numPr>
      </w:pPr>
      <w:r>
        <w:rPr>
          <w:b/>
          <w:bCs/>
        </w:rPr>
        <w:t xml:space="preserve">[Pilot Implementation Results[Local: ../pilot1/README.md]</w:t>
      </w:r>
      <w:r>
        <w:t xml:space="preserve"> </w:t>
      </w:r>
      <w:r>
        <w:t xml:space="preserve">- Technical implementation outcomes and lessons learned</w:t>
      </w:r>
    </w:p>
    <w:p>
      <w:r>
        <w:pict>
          <v:rect style="width:0;height:1.5pt" o:hralign="center" o:hrstd="t" o:hr="t"/>
        </w:pict>
      </w:r>
    </w:p>
    <w:bookmarkEnd w:id="32"/>
    <w:bookmarkStart w:id="33" w:name="using-wp9-survey-results"/>
    <w:p>
      <w:pPr>
        <w:pStyle w:val="Heading6"/>
      </w:pPr>
      <w:r>
        <w:rPr>
          <w:rStyle w:val="SectionNumber"/>
        </w:rPr>
        <w:t xml:space="preserve">2.1.0.0.0.24</w:t>
      </w:r>
      <w:r>
        <w:tab/>
      </w:r>
      <w:r>
        <w:t xml:space="preserve">Using WP9 Survey Results</w:t>
      </w:r>
    </w:p>
    <w:bookmarkEnd w:id="33"/>
    <w:bookmarkStart w:id="34" w:name="for-project-leadership"/>
    <w:p>
      <w:pPr>
        <w:pStyle w:val="Heading6"/>
      </w:pPr>
      <w:r>
        <w:rPr>
          <w:rStyle w:val="SectionNumber"/>
        </w:rPr>
        <w:t xml:space="preserve">2.1.0.0.0.25</w:t>
      </w:r>
      <w:r>
        <w:tab/>
      </w:r>
      <w:r>
        <w:t xml:space="preserve">For Project Leadership</w:t>
      </w:r>
    </w:p>
    <w:bookmarkEnd w:id="34"/>
    <w:bookmarkStart w:id="35" w:name="for-institutional-planning"/>
    <w:p>
      <w:pPr>
        <w:pStyle w:val="Heading6"/>
      </w:pPr>
      <w:r>
        <w:rPr>
          <w:rStyle w:val="SectionNumber"/>
        </w:rPr>
        <w:t xml:space="preserve">2.1.0.0.0.26</w:t>
      </w:r>
      <w:r>
        <w:tab/>
      </w:r>
      <w:r>
        <w:t xml:space="preserve">For Institutional Planning</w:t>
      </w:r>
    </w:p>
    <w:bookmarkEnd w:id="35"/>
    <w:bookmarkStart w:id="36" w:name="for-policy-development"/>
    <w:p>
      <w:pPr>
        <w:pStyle w:val="Heading6"/>
      </w:pPr>
      <w:r>
        <w:rPr>
          <w:rStyle w:val="SectionNumber"/>
        </w:rPr>
        <w:t xml:space="preserve">2.1.0.0.0.27</w:t>
      </w:r>
      <w:r>
        <w:tab/>
      </w:r>
      <w:r>
        <w:t xml:space="preserve">For Policy Development</w:t>
      </w:r>
    </w:p>
    <w:p>
      <w:r>
        <w:pict>
          <v:rect style="width:0;height:1.5pt" o:hralign="center" o:hrstd="t" o:hr="t"/>
        </w:pict>
      </w:r>
    </w:p>
    <w:p>
      <w:pPr>
        <w:pStyle w:val="FirstParagraph"/>
      </w:pPr>
      <w:r>
        <w:rPr>
          <w:b/>
          <w:bCs/>
        </w:rPr>
        <w:t xml:space="preserve">Survey Date</w:t>
      </w:r>
      <w:r>
        <w:t xml:space="preserve">: 27 June 2025 (Warsaw Workshop)</w:t>
      </w:r>
      <w:r>
        <w:br/>
      </w:r>
      <w:r>
        <w:rPr>
          <w:b/>
          <w:bCs/>
        </w:rPr>
        <w:t xml:space="preserve">Analysis Version</w:t>
      </w:r>
      <w:r>
        <w:t xml:space="preserve">: Complete strategic assessment</w:t>
      </w:r>
      <w:r>
        <w:br/>
      </w:r>
      <w:r>
        <w:rPr>
          <w:b/>
          <w:bCs/>
        </w:rPr>
        <w:t xml:space="preserve">Contact</w:t>
      </w:r>
      <w:r>
        <w:t xml:space="preserve">: DC4EU project office for detailed survey analysis and transition planning guidance</w:t>
      </w:r>
    </w:p>
    <w:p>
      <w:r>
        <w:pict>
          <v:rect style="width:0;height:1.5pt" o:hralign="center" o:hrstd="t" o:hr="t"/>
        </w:pict>
      </w:r>
    </w:p>
    <w:bookmarkEnd w:id="36"/>
    <w:bookmarkEnd w:id="37"/>
    <w:bookmarkStart w:id="58" w:name="survey-methodology-and-questions"/>
    <w:p>
      <w:pPr>
        <w:pStyle w:val="Heading2"/>
      </w:pPr>
      <w:r>
        <w:rPr>
          <w:rStyle w:val="SectionNumber"/>
        </w:rPr>
        <w:t xml:space="preserve">2.2</w:t>
      </w:r>
      <w:r>
        <w:tab/>
      </w:r>
      <w:r>
        <w:t xml:space="preserve">Survey Methodology and Questions</w:t>
      </w:r>
    </w:p>
    <w:bookmarkStart w:id="38" w:name="introduction"/>
    <w:p>
      <w:pPr>
        <w:pStyle w:val="Heading6"/>
      </w:pPr>
      <w:r>
        <w:rPr>
          <w:rStyle w:val="SectionNumber"/>
        </w:rPr>
        <w:t xml:space="preserve">2.2.0.0.0.1</w:t>
      </w:r>
      <w:r>
        <w:tab/>
      </w:r>
      <w:r>
        <w:t xml:space="preserve">Introduction</w:t>
      </w:r>
    </w:p>
    <w:p>
      <w:pPr>
        <w:pStyle w:val="FirstParagraph"/>
      </w:pPr>
      <w:r>
        <w:t xml:space="preserve">This survey was conducted during the DC4EU Warsaw workshop by Work Package 9 (WP9) using a guided presentation format with menti.com for real-time response collection. The survey focused on assessing the current state of DC4EU solutions and evaluating aspects related to the future beyond the project’s end on 31st July 2025.</w:t>
      </w:r>
    </w:p>
    <w:p>
      <w:pPr>
        <w:pStyle w:val="BodyText"/>
      </w:pPr>
      <w:r>
        <w:t xml:space="preserve">The survey was structured around four critical evaluation blocks designed to capture honest assessments from piloting agents about production readiness, institutional dynamics, post-project commitment, and strategic vision.</w:t>
      </w:r>
    </w:p>
    <w:p>
      <w:r>
        <w:pict>
          <v:rect style="width:0;height:1.5pt" o:hralign="center" o:hrstd="t" o:hr="t"/>
        </w:pict>
      </w:r>
    </w:p>
    <w:bookmarkEnd w:id="38"/>
    <w:bookmarkStart w:id="39" w:name="survey-structure-and-questions"/>
    <w:p>
      <w:pPr>
        <w:pStyle w:val="Heading6"/>
      </w:pPr>
      <w:r>
        <w:rPr>
          <w:rStyle w:val="SectionNumber"/>
        </w:rPr>
        <w:t xml:space="preserve">2.2.0.0.0.2</w:t>
      </w:r>
      <w:r>
        <w:tab/>
      </w:r>
      <w:r>
        <w:t xml:space="preserve">Survey Structure and Questions</w:t>
      </w:r>
    </w:p>
    <w:bookmarkEnd w:id="39"/>
    <w:bookmarkStart w:id="43" w:name="Xe22ad11a7f2a3df60f23b0d7cfc01957b8dbc14"/>
    <w:p>
      <w:pPr>
        <w:pStyle w:val="Heading5"/>
      </w:pPr>
      <w:r>
        <w:rPr>
          <w:rStyle w:val="SectionNumber"/>
        </w:rPr>
        <w:t xml:space="preserve">2.2.0.0.1</w:t>
      </w:r>
      <w:r>
        <w:tab/>
      </w:r>
      <w:r>
        <w:rPr>
          <w:b/>
          <w:bCs/>
        </w:rPr>
        <w:t xml:space="preserve">Block 1: Production Readiness Assessment</w:t>
      </w:r>
    </w:p>
    <w:p>
      <w:pPr>
        <w:pStyle w:val="FirstParagraph"/>
      </w:pPr>
      <w:r>
        <w:rPr>
          <w:i/>
          <w:iCs/>
        </w:rPr>
        <w:t xml:space="preserve">“We want your honest assessment of where our current DC4EU solutions stand in terms of real-world deployment.”</w:t>
      </w:r>
    </w:p>
    <w:bookmarkStart w:id="40" w:name="question-1-initial-pulse-check"/>
    <w:p>
      <w:pPr>
        <w:pStyle w:val="Heading6"/>
      </w:pPr>
      <w:r>
        <w:rPr>
          <w:rStyle w:val="SectionNumber"/>
        </w:rPr>
        <w:t xml:space="preserve">2.2.0.0.1.1</w:t>
      </w:r>
      <w:r>
        <w:tab/>
      </w:r>
      <w:r>
        <w:t xml:space="preserve">Question 1: Initial Pulse Check</w:t>
      </w:r>
    </w:p>
    <w:p>
      <w:pPr>
        <w:pStyle w:val="FirstParagraph"/>
      </w:pPr>
      <w:r>
        <w:rPr>
          <w:b/>
          <w:bCs/>
        </w:rPr>
        <w:t xml:space="preserve">Format:</w:t>
      </w:r>
      <w:r>
        <w:t xml:space="preserve"> </w:t>
      </w:r>
      <w:r>
        <w:t xml:space="preserve">Single word response for word cloud generation</w:t>
      </w:r>
    </w:p>
    <w:p>
      <w:pPr>
        <w:pStyle w:val="BodyText"/>
      </w:pPr>
      <w:r>
        <w:rPr>
          <w:b/>
          <w:bCs/>
        </w:rPr>
        <w:t xml:space="preserve">Question:</w:t>
      </w:r>
      <w:r>
        <w:t xml:space="preserve"> </w:t>
      </w:r>
      <w:r>
        <w:t xml:space="preserve">What is one word that describes your current readiness for the DC4EU solutions?</w:t>
      </w:r>
    </w:p>
    <w:p>
      <w:pPr>
        <w:pStyle w:val="BodyText"/>
      </w:pPr>
      <w:r>
        <w:rPr>
          <w:b/>
          <w:bCs/>
        </w:rPr>
        <w:t xml:space="preserve">Instructions:</w:t>
      </w:r>
    </w:p>
    <w:p>
      <w:r>
        <w:pict>
          <v:rect style="width:0;height:1.5pt" o:hralign="center" o:hrstd="t" o:hr="t"/>
        </w:pict>
      </w:r>
    </w:p>
    <w:bookmarkEnd w:id="40"/>
    <w:bookmarkStart w:id="41" w:name="X96839bda4c76bcf749313fd6eff57016a7dff5a"/>
    <w:p>
      <w:pPr>
        <w:pStyle w:val="Heading6"/>
      </w:pPr>
      <w:r>
        <w:rPr>
          <w:rStyle w:val="SectionNumber"/>
        </w:rPr>
        <w:t xml:space="preserve">2.2.0.0.1.2</w:t>
      </w:r>
      <w:r>
        <w:tab/>
      </w:r>
      <w:r>
        <w:t xml:space="preserve">Question 2: Specific Deployment Challenges</w:t>
      </w:r>
    </w:p>
    <w:p>
      <w:pPr>
        <w:pStyle w:val="FirstParagraph"/>
      </w:pPr>
      <w:r>
        <w:rPr>
          <w:b/>
          <w:bCs/>
        </w:rPr>
        <w:t xml:space="preserve">Format:</w:t>
      </w:r>
      <w:r>
        <w:t xml:space="preserve"> </w:t>
      </w:r>
      <w:r>
        <w:t xml:space="preserve">Open text response</w:t>
      </w:r>
    </w:p>
    <w:p>
      <w:pPr>
        <w:pStyle w:val="BodyText"/>
      </w:pPr>
      <w:r>
        <w:rPr>
          <w:b/>
          <w:bCs/>
        </w:rPr>
        <w:t xml:space="preserve">Question:</w:t>
      </w:r>
      <w:r>
        <w:t xml:space="preserve"> </w:t>
      </w:r>
      <w:r>
        <w:t xml:space="preserve">What challenges do you foresee in moving DC4EU solutions to production?</w:t>
      </w:r>
    </w:p>
    <w:p>
      <w:pPr>
        <w:pStyle w:val="BodyText"/>
      </w:pPr>
      <w:r>
        <w:rPr>
          <w:b/>
          <w:bCs/>
        </w:rPr>
        <w:t xml:space="preserve">Context:</w:t>
      </w:r>
      <w:r>
        <w:t xml:space="preserve"> </w:t>
      </w:r>
      <w:r>
        <w:t xml:space="preserve">Think about your real-world context: your institution’s infrastructure, your team’s capacity, regulatory requirements, funding constraints, technical integration needs.</w:t>
      </w:r>
    </w:p>
    <w:p>
      <w:pPr>
        <w:pStyle w:val="BodyText"/>
      </w:pPr>
      <w:r>
        <w:rPr>
          <w:b/>
          <w:bCs/>
        </w:rPr>
        <w:t xml:space="preserve">Examples of challenge types:</w:t>
      </w:r>
    </w:p>
    <w:p>
      <w:pPr>
        <w:pStyle w:val="BodyText"/>
      </w:pPr>
      <w:r>
        <w:rPr>
          <w:b/>
          <w:bCs/>
        </w:rPr>
        <w:t xml:space="preserve">Instructions:</w:t>
      </w:r>
      <w:r>
        <w:t xml:space="preserve"> </w:t>
      </w:r>
      <w:r>
        <w:t xml:space="preserve">Be specific - instead of just</w:t>
      </w:r>
      <w:r>
        <w:t xml:space="preserve"> </w:t>
      </w:r>
      <w:r>
        <w:t xml:space="preserve">‘technical challenges’</w:t>
      </w:r>
      <w:r>
        <w:t xml:space="preserve">, what kind? Instead of</w:t>
      </w:r>
      <w:r>
        <w:t xml:space="preserve"> </w:t>
      </w:r>
      <w:r>
        <w:t xml:space="preserve">‘funding’</w:t>
      </w:r>
      <w:r>
        <w:t xml:space="preserve">, what specific funding gaps?</w:t>
      </w:r>
    </w:p>
    <w:p>
      <w:r>
        <w:pict>
          <v:rect style="width:0;height:1.5pt" o:hralign="center" o:hrstd="t" o:hr="t"/>
        </w:pict>
      </w:r>
    </w:p>
    <w:bookmarkEnd w:id="41"/>
    <w:bookmarkStart w:id="42" w:name="question-3-challenge-prioritisation"/>
    <w:p>
      <w:pPr>
        <w:pStyle w:val="Heading6"/>
      </w:pPr>
      <w:r>
        <w:rPr>
          <w:rStyle w:val="SectionNumber"/>
        </w:rPr>
        <w:t xml:space="preserve">2.2.0.0.1.3</w:t>
      </w:r>
      <w:r>
        <w:tab/>
      </w:r>
      <w:r>
        <w:t xml:space="preserve">Question 3: Challenge Prioritisation</w:t>
      </w:r>
    </w:p>
    <w:p>
      <w:pPr>
        <w:pStyle w:val="FirstParagraph"/>
      </w:pPr>
      <w:r>
        <w:rPr>
          <w:b/>
          <w:bCs/>
        </w:rPr>
        <w:t xml:space="preserve">Format:</w:t>
      </w:r>
      <w:r>
        <w:t xml:space="preserve"> </w:t>
      </w:r>
      <w:r>
        <w:t xml:space="preserve">Ranking exercise (1-4 priority order)</w:t>
      </w:r>
    </w:p>
    <w:p>
      <w:pPr>
        <w:pStyle w:val="BodyText"/>
      </w:pPr>
      <w:r>
        <w:rPr>
          <w:b/>
          <w:bCs/>
        </w:rPr>
        <w:t xml:space="preserve">Question:</w:t>
      </w:r>
      <w:r>
        <w:t xml:space="preserve"> </w:t>
      </w:r>
      <w:r>
        <w:t xml:space="preserve">Please prioritise the following implementation challenges you face:</w:t>
      </w:r>
    </w:p>
    <w:p>
      <w:pPr>
        <w:pStyle w:val="BodyText"/>
      </w:pPr>
      <w:r>
        <w:rPr>
          <w:b/>
          <w:bCs/>
        </w:rPr>
        <w:t xml:space="preserve">Challenge categories to rank:</w:t>
      </w:r>
      <w:r>
        <w:t xml:space="preserve"> </w:t>
      </w:r>
      <w:r>
        <w:t xml:space="preserve">1.</w:t>
      </w:r>
      <w:r>
        <w:t xml:space="preserve"> </w:t>
      </w:r>
      <w:r>
        <w:rPr>
          <w:b/>
          <w:bCs/>
        </w:rPr>
        <w:t xml:space="preserve">Technical obstacles</w:t>
      </w:r>
      <w:r>
        <w:t xml:space="preserve"> </w:t>
      </w:r>
      <w:r>
        <w:t xml:space="preserve">- system integration, infrastructure gaps, interoperability issues, technical skills shortages</w:t>
      </w:r>
      <w:r>
        <w:t xml:space="preserve"> </w:t>
      </w:r>
      <w:r>
        <w:t xml:space="preserve">2.</w:t>
      </w:r>
      <w:r>
        <w:t xml:space="preserve"> </w:t>
      </w:r>
      <w:r>
        <w:rPr>
          <w:b/>
          <w:bCs/>
        </w:rPr>
        <w:t xml:space="preserve">Organisational resistance</w:t>
      </w:r>
      <w:r>
        <w:t xml:space="preserve"> </w:t>
      </w:r>
      <w:r>
        <w:t xml:space="preserve">- management hesitation, departmental silos, change management challenges, lack of institutional champions</w:t>
      </w:r>
      <w:r>
        <w:t xml:space="preserve"> </w:t>
      </w:r>
      <w:r>
        <w:t xml:space="preserve">3.</w:t>
      </w:r>
      <w:r>
        <w:t xml:space="preserve"> </w:t>
      </w:r>
      <w:r>
        <w:rPr>
          <w:b/>
          <w:bCs/>
        </w:rPr>
        <w:t xml:space="preserve">Lack of resources</w:t>
      </w:r>
      <w:r>
        <w:t xml:space="preserve"> </w:t>
      </w:r>
      <w:r>
        <w:t xml:space="preserve">- funding constraints, staffing limitations, time pressures, competing priorities</w:t>
      </w:r>
      <w:r>
        <w:t xml:space="preserve"> </w:t>
      </w:r>
      <w:r>
        <w:t xml:space="preserve">4.</w:t>
      </w:r>
      <w:r>
        <w:t xml:space="preserve"> </w:t>
      </w:r>
      <w:r>
        <w:rPr>
          <w:b/>
          <w:bCs/>
        </w:rPr>
        <w:t xml:space="preserve">Regulatory compliance</w:t>
      </w:r>
      <w:r>
        <w:t xml:space="preserve"> </w:t>
      </w:r>
      <w:r>
        <w:t xml:space="preserve">- uncertainty about eIDAS2 requirements, legal frameworks not being ready, gaps between current scenarios and what Member States can actually deliver</w:t>
      </w:r>
    </w:p>
    <w:p>
      <w:pPr>
        <w:pStyle w:val="BodyText"/>
      </w:pPr>
      <w:r>
        <w:rPr>
          <w:b/>
          <w:bCs/>
        </w:rPr>
        <w:t xml:space="preserve">Instructions:</w:t>
      </w:r>
      <w:r>
        <w:t xml:space="preserve"> </w:t>
      </w:r>
      <w:r>
        <w:t xml:space="preserve">Rank from 1 (biggest challenge) to 4 (least concerning) based on YOUR specific institutional situation.</w:t>
      </w:r>
    </w:p>
    <w:p>
      <w:r>
        <w:pict>
          <v:rect style="width:0;height:1.5pt" o:hralign="center" o:hrstd="t" o:hr="t"/>
        </w:pict>
      </w:r>
    </w:p>
    <w:bookmarkEnd w:id="42"/>
    <w:bookmarkEnd w:id="43"/>
    <w:bookmarkStart w:id="46" w:name="X817889268e5f78f1105b253bb8cb2cc75114d73"/>
    <w:p>
      <w:pPr>
        <w:pStyle w:val="Heading5"/>
      </w:pPr>
      <w:r>
        <w:rPr>
          <w:rStyle w:val="SectionNumber"/>
        </w:rPr>
        <w:t xml:space="preserve">2.2.0.0.2</w:t>
      </w:r>
      <w:r>
        <w:tab/>
      </w:r>
      <w:r>
        <w:rPr>
          <w:b/>
          <w:bCs/>
        </w:rPr>
        <w:t xml:space="preserve">Block 2: Internal eIDAS2/EUDIW Perceptions</w:t>
      </w:r>
    </w:p>
    <w:p>
      <w:pPr>
        <w:pStyle w:val="FirstParagraph"/>
      </w:pPr>
      <w:r>
        <w:rPr>
          <w:i/>
          <w:iCs/>
        </w:rPr>
        <w:t xml:space="preserve">“This examines how eIDAS2 and EUDIW are perceived within your institutions - not about technical readiness, but about organisational awareness, management buy-in, and internal dynamics.”</w:t>
      </w:r>
    </w:p>
    <w:bookmarkStart w:id="44" w:name="Xbb301851005badfe5d1d94d0ef96a37cfbb2917"/>
    <w:p>
      <w:pPr>
        <w:pStyle w:val="Heading6"/>
      </w:pPr>
      <w:r>
        <w:rPr>
          <w:rStyle w:val="SectionNumber"/>
        </w:rPr>
        <w:t xml:space="preserve">2.2.0.0.2.1</w:t>
      </w:r>
      <w:r>
        <w:tab/>
      </w:r>
      <w:r>
        <w:t xml:space="preserve">Question 4: Institutional Perception Assessment</w:t>
      </w:r>
    </w:p>
    <w:p>
      <w:pPr>
        <w:pStyle w:val="FirstParagraph"/>
      </w:pPr>
      <w:r>
        <w:rPr>
          <w:b/>
          <w:bCs/>
        </w:rPr>
        <w:t xml:space="preserve">Format:</w:t>
      </w:r>
      <w:r>
        <w:t xml:space="preserve"> </w:t>
      </w:r>
      <w:r>
        <w:t xml:space="preserve">Open text response</w:t>
      </w:r>
    </w:p>
    <w:p>
      <w:pPr>
        <w:pStyle w:val="BodyText"/>
      </w:pPr>
      <w:r>
        <w:rPr>
          <w:b/>
          <w:bCs/>
        </w:rPr>
        <w:t xml:space="preserve">Question:</w:t>
      </w:r>
      <w:r>
        <w:t xml:space="preserve"> </w:t>
      </w:r>
      <w:r>
        <w:t xml:space="preserve">How is eIDAS2 perceived within your institution?</w:t>
      </w:r>
    </w:p>
    <w:p>
      <w:pPr>
        <w:pStyle w:val="BodyText"/>
      </w:pPr>
      <w:r>
        <w:rPr>
          <w:b/>
          <w:bCs/>
        </w:rPr>
        <w:t xml:space="preserve">Focus areas:</w:t>
      </w:r>
    </w:p>
    <w:p>
      <w:pPr>
        <w:pStyle w:val="BodyText"/>
      </w:pPr>
      <w:r>
        <w:rPr>
          <w:b/>
          <w:bCs/>
        </w:rPr>
        <w:t xml:space="preserve">Instructions:</w:t>
      </w:r>
    </w:p>
    <w:p>
      <w:r>
        <w:pict>
          <v:rect style="width:0;height:1.5pt" o:hralign="center" o:hrstd="t" o:hr="t"/>
        </w:pict>
      </w:r>
    </w:p>
    <w:bookmarkEnd w:id="44"/>
    <w:bookmarkStart w:id="45" w:name="Xac80ac55e3e1be32eeb6b84af69fa23bc05b349"/>
    <w:p>
      <w:pPr>
        <w:pStyle w:val="Heading6"/>
      </w:pPr>
      <w:r>
        <w:rPr>
          <w:rStyle w:val="SectionNumber"/>
        </w:rPr>
        <w:t xml:space="preserve">2.2.0.0.2.2</w:t>
      </w:r>
      <w:r>
        <w:tab/>
      </w:r>
      <w:r>
        <w:t xml:space="preserve">Question 5: Investment Requirements Assessment</w:t>
      </w:r>
    </w:p>
    <w:p>
      <w:pPr>
        <w:pStyle w:val="FirstParagraph"/>
      </w:pPr>
      <w:r>
        <w:rPr>
          <w:b/>
          <w:bCs/>
        </w:rPr>
        <w:t xml:space="preserve">Format:</w:t>
      </w:r>
      <w:r>
        <w:t xml:space="preserve"> </w:t>
      </w:r>
      <w:r>
        <w:t xml:space="preserve">Open text response</w:t>
      </w:r>
    </w:p>
    <w:p>
      <w:pPr>
        <w:pStyle w:val="BodyText"/>
      </w:pPr>
      <w:r>
        <w:rPr>
          <w:b/>
          <w:bCs/>
        </w:rPr>
        <w:t xml:space="preserve">Question:</w:t>
      </w:r>
      <w:r>
        <w:t xml:space="preserve"> </w:t>
      </w:r>
      <w:r>
        <w:t xml:space="preserve">What internal investments are necessary for eIDAS2 compliance?</w:t>
      </w:r>
    </w:p>
    <w:p>
      <w:pPr>
        <w:pStyle w:val="BodyText"/>
      </w:pPr>
      <w:r>
        <w:rPr>
          <w:b/>
          <w:bCs/>
        </w:rPr>
        <w:t xml:space="preserve">Investment categories to consider:</w:t>
      </w:r>
      <w:r>
        <w:t xml:space="preserve"> </w:t>
      </w:r>
      <w:r>
        <w:t xml:space="preserve">-</w:t>
      </w:r>
      <w:r>
        <w:t xml:space="preserve"> </w:t>
      </w:r>
      <w:r>
        <w:rPr>
          <w:b/>
          <w:bCs/>
        </w:rPr>
        <w:t xml:space="preserve">Infrastructure</w:t>
      </w:r>
      <w:r>
        <w:t xml:space="preserve"> </w:t>
      </w:r>
      <w:r>
        <w:t xml:space="preserve">- new servers, security systems, backup facilities, integration platforms, cloud services</w:t>
      </w:r>
      <w:r>
        <w:t xml:space="preserve"> </w:t>
      </w:r>
      <w:r>
        <w:t xml:space="preserve">-</w:t>
      </w:r>
      <w:r>
        <w:t xml:space="preserve"> </w:t>
      </w:r>
      <w:r>
        <w:rPr>
          <w:b/>
          <w:bCs/>
        </w:rPr>
        <w:t xml:space="preserve">Personnel</w:t>
      </w:r>
      <w:r>
        <w:t xml:space="preserve"> </w:t>
      </w:r>
      <w:r>
        <w:t xml:space="preserve">- new hires, training, consultants, dedicated resources, skills gap filling</w:t>
      </w:r>
      <w:r>
        <w:t xml:space="preserve"> </w:t>
      </w:r>
      <w:r>
        <w:t xml:space="preserve">-</w:t>
      </w:r>
      <w:r>
        <w:t xml:space="preserve"> </w:t>
      </w:r>
      <w:r>
        <w:rPr>
          <w:b/>
          <w:bCs/>
        </w:rPr>
        <w:t xml:space="preserve">Compliance and legal</w:t>
      </w:r>
      <w:r>
        <w:t xml:space="preserve"> </w:t>
      </w:r>
      <w:r>
        <w:t xml:space="preserve">- legal advice, audit processes, certification procedures, ongoing monitoring</w:t>
      </w:r>
      <w:r>
        <w:t xml:space="preserve"> </w:t>
      </w:r>
      <w:r>
        <w:t xml:space="preserve">-</w:t>
      </w:r>
      <w:r>
        <w:t xml:space="preserve"> </w:t>
      </w:r>
      <w:r>
        <w:rPr>
          <w:b/>
          <w:bCs/>
        </w:rPr>
        <w:t xml:space="preserve">Integration work</w:t>
      </w:r>
      <w:r>
        <w:t xml:space="preserve"> </w:t>
      </w:r>
      <w:r>
        <w:t xml:space="preserve">- connecting eIDAS2 with existing systems, data migration, testing</w:t>
      </w:r>
      <w:r>
        <w:t xml:space="preserve"> </w:t>
      </w:r>
      <w:r>
        <w:t xml:space="preserve">-</w:t>
      </w:r>
      <w:r>
        <w:t xml:space="preserve"> </w:t>
      </w:r>
      <w:r>
        <w:rPr>
          <w:b/>
          <w:bCs/>
        </w:rPr>
        <w:t xml:space="preserve">Ongoing operational costs</w:t>
      </w:r>
      <w:r>
        <w:t xml:space="preserve"> </w:t>
      </w:r>
      <w:r>
        <w:t xml:space="preserve">- not just setup, but year-after-year maintenance</w:t>
      </w:r>
    </w:p>
    <w:p>
      <w:pPr>
        <w:pStyle w:val="BodyText"/>
      </w:pPr>
      <w:r>
        <w:rPr>
          <w:b/>
          <w:bCs/>
        </w:rPr>
        <w:t xml:space="preserve">Instructions:</w:t>
      </w:r>
    </w:p>
    <w:p>
      <w:r>
        <w:pict>
          <v:rect style="width:0;height:1.5pt" o:hralign="center" o:hrstd="t" o:hr="t"/>
        </w:pict>
      </w:r>
    </w:p>
    <w:bookmarkEnd w:id="45"/>
    <w:bookmarkEnd w:id="46"/>
    <w:bookmarkStart w:id="50" w:name="block-3-post-project-commitment-1"/>
    <w:p>
      <w:pPr>
        <w:pStyle w:val="Heading5"/>
      </w:pPr>
      <w:r>
        <w:rPr>
          <w:rStyle w:val="SectionNumber"/>
        </w:rPr>
        <w:t xml:space="preserve">2.2.0.0.3</w:t>
      </w:r>
      <w:r>
        <w:tab/>
      </w:r>
      <w:r>
        <w:rPr>
          <w:b/>
          <w:bCs/>
        </w:rPr>
        <w:t xml:space="preserve">Block 3: Post-Project Commitment</w:t>
      </w:r>
    </w:p>
    <w:p>
      <w:pPr>
        <w:pStyle w:val="FirstParagraph"/>
      </w:pPr>
      <w:r>
        <w:rPr>
          <w:i/>
          <w:iCs/>
        </w:rPr>
        <w:t xml:space="preserve">“Our most critical discussion - with DC4EU ending on 31st July, we need to understand your genuine willingness and capacity to continue this work.”</w:t>
      </w:r>
    </w:p>
    <w:bookmarkStart w:id="47" w:name="X4cde62abd191245bb8585cca7e1970460b920c2"/>
    <w:p>
      <w:pPr>
        <w:pStyle w:val="Heading6"/>
      </w:pPr>
      <w:r>
        <w:rPr>
          <w:rStyle w:val="SectionNumber"/>
        </w:rPr>
        <w:t xml:space="preserve">2.2.0.0.3.1</w:t>
      </w:r>
      <w:r>
        <w:tab/>
      </w:r>
      <w:r>
        <w:t xml:space="preserve">Question 6: Continuation Willingness and Motivation</w:t>
      </w:r>
    </w:p>
    <w:p>
      <w:pPr>
        <w:pStyle w:val="FirstParagraph"/>
      </w:pPr>
      <w:r>
        <w:rPr>
          <w:b/>
          <w:bCs/>
        </w:rPr>
        <w:t xml:space="preserve">Format:</w:t>
      </w:r>
      <w:r>
        <w:t xml:space="preserve"> </w:t>
      </w:r>
      <w:r>
        <w:t xml:space="preserve">Open text response</w:t>
      </w:r>
    </w:p>
    <w:p>
      <w:pPr>
        <w:pStyle w:val="BodyText"/>
      </w:pPr>
      <w:r>
        <w:rPr>
          <w:b/>
          <w:bCs/>
        </w:rPr>
        <w:t xml:space="preserve">Question:</w:t>
      </w:r>
      <w:r>
        <w:t xml:space="preserve"> </w:t>
      </w:r>
      <w:r>
        <w:t xml:space="preserve">If the DC4EU project ends, would you want to continue the work? Why or why not?</w:t>
      </w:r>
    </w:p>
    <w:p>
      <w:pPr>
        <w:pStyle w:val="BodyText"/>
      </w:pPr>
      <w:r>
        <w:rPr>
          <w:b/>
          <w:bCs/>
        </w:rPr>
        <w:t xml:space="preserve">Considerations:</w:t>
      </w:r>
    </w:p>
    <w:p>
      <w:pPr>
        <w:pStyle w:val="BodyText"/>
      </w:pPr>
      <w:r>
        <w:rPr>
          <w:b/>
          <w:bCs/>
        </w:rPr>
        <w:t xml:space="preserve">Instructions:</w:t>
      </w:r>
    </w:p>
    <w:p>
      <w:r>
        <w:pict>
          <v:rect style="width:0;height:1.5pt" o:hralign="center" o:hrstd="t" o:hr="t"/>
        </w:pict>
      </w:r>
    </w:p>
    <w:bookmarkEnd w:id="47"/>
    <w:bookmarkStart w:id="48" w:name="X527a5363b6c7fb55681fea6b0fd129b1535db70"/>
    <w:p>
      <w:pPr>
        <w:pStyle w:val="Heading6"/>
      </w:pPr>
      <w:r>
        <w:rPr>
          <w:rStyle w:val="SectionNumber"/>
        </w:rPr>
        <w:t xml:space="preserve">2.2.0.0.3.2</w:t>
      </w:r>
      <w:r>
        <w:tab/>
      </w:r>
      <w:r>
        <w:t xml:space="preserve">Question 7: Critical Elements for Continuity</w:t>
      </w:r>
    </w:p>
    <w:p>
      <w:pPr>
        <w:pStyle w:val="FirstParagraph"/>
      </w:pPr>
      <w:r>
        <w:rPr>
          <w:b/>
          <w:bCs/>
        </w:rPr>
        <w:t xml:space="preserve">Format:</w:t>
      </w:r>
      <w:r>
        <w:t xml:space="preserve"> </w:t>
      </w:r>
      <w:r>
        <w:t xml:space="preserve">Ranking exercise (1-4 priority order)</w:t>
      </w:r>
    </w:p>
    <w:p>
      <w:pPr>
        <w:pStyle w:val="BodyText"/>
      </w:pPr>
      <w:r>
        <w:rPr>
          <w:b/>
          <w:bCs/>
        </w:rPr>
        <w:t xml:space="preserve">Question:</w:t>
      </w:r>
      <w:r>
        <w:t xml:space="preserve"> </w:t>
      </w:r>
      <w:r>
        <w:t xml:space="preserve">Rank the critical elements necessary for post-project continuity:</w:t>
      </w:r>
    </w:p>
    <w:p>
      <w:pPr>
        <w:pStyle w:val="BodyText"/>
      </w:pPr>
      <w:r>
        <w:rPr>
          <w:b/>
          <w:bCs/>
        </w:rPr>
        <w:t xml:space="preserve">Elements to rank:</w:t>
      </w:r>
      <w:r>
        <w:t xml:space="preserve"> </w:t>
      </w:r>
      <w:r>
        <w:t xml:space="preserve">1.</w:t>
      </w:r>
      <w:r>
        <w:t xml:space="preserve"> </w:t>
      </w:r>
      <w:r>
        <w:rPr>
          <w:b/>
          <w:bCs/>
        </w:rPr>
        <w:t xml:space="preserve">Funding stability</w:t>
      </w:r>
      <w:r>
        <w:t xml:space="preserve"> </w:t>
      </w:r>
      <w:r>
        <w:t xml:space="preserve">- predictable, adequate budget allocation for operations, staff, and development (internal funding, new European projects, or other revenue streams)</w:t>
      </w:r>
      <w:r>
        <w:t xml:space="preserve"> </w:t>
      </w:r>
      <w:r>
        <w:t xml:space="preserve">2.</w:t>
      </w:r>
      <w:r>
        <w:t xml:space="preserve"> </w:t>
      </w:r>
      <w:r>
        <w:rPr>
          <w:b/>
          <w:bCs/>
        </w:rPr>
        <w:t xml:space="preserve">Technical support</w:t>
      </w:r>
      <w:r>
        <w:t xml:space="preserve"> </w:t>
      </w:r>
      <w:r>
        <w:t xml:space="preserve">- ongoing technical expertise access (internal capacity, consortium collaboration, or external support for maintenance and development)</w:t>
      </w:r>
      <w:r>
        <w:t xml:space="preserve"> </w:t>
      </w:r>
      <w:r>
        <w:t xml:space="preserve">3.</w:t>
      </w:r>
      <w:r>
        <w:t xml:space="preserve"> </w:t>
      </w:r>
      <w:r>
        <w:rPr>
          <w:b/>
          <w:bCs/>
        </w:rPr>
        <w:t xml:space="preserve">Institutional commitment</w:t>
      </w:r>
      <w:r>
        <w:t xml:space="preserve"> </w:t>
      </w:r>
      <w:r>
        <w:t xml:space="preserve">- leadership genuinely backing this work with policy support, resource allocation, and strategic priority (active commitment, not just tolerance)</w:t>
      </w:r>
      <w:r>
        <w:t xml:space="preserve"> </w:t>
      </w:r>
      <w:r>
        <w:t xml:space="preserve">4.</w:t>
      </w:r>
      <w:r>
        <w:t xml:space="preserve"> </w:t>
      </w:r>
      <w:r>
        <w:rPr>
          <w:b/>
          <w:bCs/>
        </w:rPr>
        <w:t xml:space="preserve">Stakeholder engagement</w:t>
      </w:r>
      <w:r>
        <w:t xml:space="preserve"> </w:t>
      </w:r>
      <w:r>
        <w:t xml:space="preserve">- active participation from broader community (universities, professional bodies, government agencies, industry partners who validate and use services)</w:t>
      </w:r>
    </w:p>
    <w:p>
      <w:pPr>
        <w:pStyle w:val="BodyText"/>
      </w:pPr>
      <w:r>
        <w:rPr>
          <w:b/>
          <w:bCs/>
        </w:rPr>
        <w:t xml:space="preserve">Instructions:</w:t>
      </w:r>
      <w:r>
        <w:t xml:space="preserve"> </w:t>
      </w:r>
      <w:r>
        <w:t xml:space="preserve">Rank 1-4 based on what YOUR institution needs most to continue effectively.</w:t>
      </w:r>
    </w:p>
    <w:p>
      <w:r>
        <w:pict>
          <v:rect style="width:0;height:1.5pt" o:hralign="center" o:hrstd="t" o:hr="t"/>
        </w:pict>
      </w:r>
    </w:p>
    <w:bookmarkEnd w:id="48"/>
    <w:bookmarkStart w:id="49" w:name="question-8-preferred-future-role"/>
    <w:p>
      <w:pPr>
        <w:pStyle w:val="Heading6"/>
      </w:pPr>
      <w:r>
        <w:rPr>
          <w:rStyle w:val="SectionNumber"/>
        </w:rPr>
        <w:t xml:space="preserve">2.2.0.0.3.3</w:t>
      </w:r>
      <w:r>
        <w:tab/>
      </w:r>
      <w:r>
        <w:t xml:space="preserve">Question 8: Preferred Future Role</w:t>
      </w:r>
    </w:p>
    <w:p>
      <w:pPr>
        <w:pStyle w:val="FirstParagraph"/>
      </w:pPr>
      <w:r>
        <w:rPr>
          <w:b/>
          <w:bCs/>
        </w:rPr>
        <w:t xml:space="preserve">Format:</w:t>
      </w:r>
      <w:r>
        <w:t xml:space="preserve"> </w:t>
      </w:r>
      <w:r>
        <w:t xml:space="preserve">Multiple choice or open text</w:t>
      </w:r>
    </w:p>
    <w:p>
      <w:pPr>
        <w:pStyle w:val="BodyText"/>
      </w:pPr>
      <w:r>
        <w:rPr>
          <w:b/>
          <w:bCs/>
        </w:rPr>
        <w:t xml:space="preserve">Question:</w:t>
      </w:r>
      <w:r>
        <w:t xml:space="preserve"> </w:t>
      </w:r>
      <w:r>
        <w:t xml:space="preserve">What role would you prefer in future initiatives?</w:t>
      </w:r>
    </w:p>
    <w:p>
      <w:pPr>
        <w:pStyle w:val="BodyText"/>
      </w:pPr>
      <w:r>
        <w:rPr>
          <w:b/>
          <w:bCs/>
        </w:rPr>
        <w:t xml:space="preserve">Role options:</w:t>
      </w:r>
      <w:r>
        <w:t xml:space="preserve"> </w:t>
      </w:r>
      <w:r>
        <w:t xml:space="preserve">-</w:t>
      </w:r>
      <w:r>
        <w:t xml:space="preserve"> </w:t>
      </w:r>
      <w:r>
        <w:rPr>
          <w:b/>
          <w:bCs/>
        </w:rPr>
        <w:t xml:space="preserve">Technical Leader</w:t>
      </w:r>
      <w:r>
        <w:t xml:space="preserve"> </w:t>
      </w:r>
      <w:r>
        <w:t xml:space="preserve">- driving architecture decisions, standards development, innovation workstreams (requires significant technical expertise and time commitment)</w:t>
      </w:r>
      <w:r>
        <w:t xml:space="preserve"> </w:t>
      </w:r>
      <w:r>
        <w:t xml:space="preserve">-</w:t>
      </w:r>
      <w:r>
        <w:t xml:space="preserve"> </w:t>
      </w:r>
      <w:r>
        <w:rPr>
          <w:b/>
          <w:bCs/>
        </w:rPr>
        <w:t xml:space="preserve">Piloting Agent</w:t>
      </w:r>
      <w:r>
        <w:t xml:space="preserve"> </w:t>
      </w:r>
      <w:r>
        <w:t xml:space="preserve">- testing, implementing, providing real-world feedback on solutions (similar to current role but perhaps more focused)</w:t>
      </w:r>
      <w:r>
        <w:t xml:space="preserve"> </w:t>
      </w:r>
      <w:r>
        <w:t xml:space="preserve">-</w:t>
      </w:r>
      <w:r>
        <w:t xml:space="preserve"> </w:t>
      </w:r>
      <w:r>
        <w:rPr>
          <w:b/>
          <w:bCs/>
        </w:rPr>
        <w:t xml:space="preserve">Strategic Advisor</w:t>
      </w:r>
      <w:r>
        <w:t xml:space="preserve"> </w:t>
      </w:r>
      <w:r>
        <w:t xml:space="preserve">- contributing expertise and guidance without day-to-day operational responsibilities (providing direction based on experience and sectoral knowledge)</w:t>
      </w:r>
      <w:r>
        <w:t xml:space="preserve"> </w:t>
      </w:r>
      <w:r>
        <w:t xml:space="preserve">-</w:t>
      </w:r>
      <w:r>
        <w:t xml:space="preserve"> </w:t>
      </w:r>
      <w:r>
        <w:rPr>
          <w:b/>
          <w:bCs/>
        </w:rPr>
        <w:t xml:space="preserve">Implementation Partner</w:t>
      </w:r>
      <w:r>
        <w:t xml:space="preserve"> </w:t>
      </w:r>
      <w:r>
        <w:t xml:space="preserve">- focusing on deployment, integration, and practical rollout activities within your domain or geography</w:t>
      </w:r>
      <w:r>
        <w:t xml:space="preserve"> </w:t>
      </w:r>
      <w:r>
        <w:t xml:space="preserve">-</w:t>
      </w:r>
      <w:r>
        <w:t xml:space="preserve"> </w:t>
      </w:r>
      <w:r>
        <w:rPr>
          <w:b/>
          <w:bCs/>
        </w:rPr>
        <w:t xml:space="preserve">Other</w:t>
      </w:r>
      <w:r>
        <w:t xml:space="preserve"> </w:t>
      </w:r>
      <w:r>
        <w:t xml:space="preserve">- specify alternative that leverages your specific expertise or institutional position</w:t>
      </w:r>
    </w:p>
    <w:p>
      <w:pPr>
        <w:pStyle w:val="BodyText"/>
      </w:pPr>
      <w:r>
        <w:rPr>
          <w:b/>
          <w:bCs/>
        </w:rPr>
        <w:t xml:space="preserve">Instructions:</w:t>
      </w:r>
      <w:r>
        <w:t xml:space="preserve"> </w:t>
      </w:r>
      <w:r>
        <w:t xml:space="preserve">Consider your realistic capacity and what level of engagement you can actually sustain while adding value.</w:t>
      </w:r>
    </w:p>
    <w:p>
      <w:r>
        <w:pict>
          <v:rect style="width:0;height:1.5pt" o:hralign="center" o:hrstd="t" o:hr="t"/>
        </w:pict>
      </w:r>
    </w:p>
    <w:bookmarkEnd w:id="49"/>
    <w:bookmarkEnd w:id="50"/>
    <w:bookmarkStart w:id="53" w:name="block-4-strategic-vision-1"/>
    <w:p>
      <w:pPr>
        <w:pStyle w:val="Heading5"/>
      </w:pPr>
      <w:r>
        <w:rPr>
          <w:rStyle w:val="SectionNumber"/>
        </w:rPr>
        <w:t xml:space="preserve">2.2.0.0.4</w:t>
      </w:r>
      <w:r>
        <w:tab/>
      </w:r>
      <w:r>
        <w:rPr>
          <w:b/>
          <w:bCs/>
        </w:rPr>
        <w:t xml:space="preserve">Block 4: Strategic Vision</w:t>
      </w:r>
    </w:p>
    <w:p>
      <w:pPr>
        <w:pStyle w:val="FirstParagraph"/>
      </w:pPr>
      <w:r>
        <w:rPr>
          <w:i/>
          <w:iCs/>
        </w:rPr>
        <w:t xml:space="preserve">“Where do you see yourselves positioning within the eIDAS regulatory framework, and what architectural elements are non-negotiable?”</w:t>
      </w:r>
    </w:p>
    <w:bookmarkStart w:id="51" w:name="X65e3bef351ed3dde99faf802747d395d1e61b23"/>
    <w:p>
      <w:pPr>
        <w:pStyle w:val="Heading6"/>
      </w:pPr>
      <w:r>
        <w:rPr>
          <w:rStyle w:val="SectionNumber"/>
        </w:rPr>
        <w:t xml:space="preserve">2.2.0.0.4.1</w:t>
      </w:r>
      <w:r>
        <w:tab/>
      </w:r>
      <w:r>
        <w:t xml:space="preserve">Question 9: eIDAS Scenario Evolution Strategy</w:t>
      </w:r>
    </w:p>
    <w:p>
      <w:pPr>
        <w:pStyle w:val="FirstParagraph"/>
      </w:pPr>
      <w:r>
        <w:rPr>
          <w:b/>
          <w:bCs/>
        </w:rPr>
        <w:t xml:space="preserve">Format:</w:t>
      </w:r>
      <w:r>
        <w:t xml:space="preserve"> </w:t>
      </w:r>
      <w:r>
        <w:t xml:space="preserve">Open text response</w:t>
      </w:r>
    </w:p>
    <w:p>
      <w:pPr>
        <w:pStyle w:val="BodyText"/>
      </w:pPr>
      <w:r>
        <w:rPr>
          <w:b/>
          <w:bCs/>
        </w:rPr>
        <w:t xml:space="preserve">Question:</w:t>
      </w:r>
      <w:r>
        <w:t xml:space="preserve"> </w:t>
      </w:r>
      <w:r>
        <w:t xml:space="preserve">What is your vision for the future of eIDAS scenarios?</w:t>
      </w:r>
    </w:p>
    <w:p>
      <w:pPr>
        <w:pStyle w:val="BodyText"/>
      </w:pPr>
      <w:r>
        <w:rPr>
          <w:b/>
          <w:bCs/>
        </w:rPr>
        <w:t xml:space="preserve">Current context:</w:t>
      </w:r>
    </w:p>
    <w:p>
      <w:pPr>
        <w:pStyle w:val="BodyText"/>
      </w:pPr>
      <w:r>
        <w:rPr>
          <w:b/>
          <w:bCs/>
        </w:rPr>
        <w:t xml:space="preserve">Strategic positioning options:</w:t>
      </w:r>
    </w:p>
    <w:p>
      <w:pPr>
        <w:pStyle w:val="BodyText"/>
      </w:pPr>
      <w:r>
        <w:rPr>
          <w:b/>
          <w:bCs/>
        </w:rPr>
        <w:t xml:space="preserve">Instructions:</w:t>
      </w:r>
      <w:r>
        <w:t xml:space="preserve"> </w:t>
      </w:r>
      <w:r>
        <w:t xml:space="preserve">Consider both regulatory compliance and fundamental trust/business model implications for digital credentials in your sector.</w:t>
      </w:r>
    </w:p>
    <w:p>
      <w:r>
        <w:pict>
          <v:rect style="width:0;height:1.5pt" o:hralign="center" o:hrstd="t" o:hr="t"/>
        </w:pict>
      </w:r>
    </w:p>
    <w:bookmarkEnd w:id="51"/>
    <w:bookmarkStart w:id="52" w:name="survey-implementation-details"/>
    <w:p>
      <w:pPr>
        <w:pStyle w:val="Heading6"/>
      </w:pPr>
      <w:r>
        <w:rPr>
          <w:rStyle w:val="SectionNumber"/>
        </w:rPr>
        <w:t xml:space="preserve">2.2.0.0.4.2</w:t>
      </w:r>
      <w:r>
        <w:tab/>
      </w:r>
      <w:r>
        <w:t xml:space="preserve">Survey Implementation Details</w:t>
      </w:r>
    </w:p>
    <w:bookmarkEnd w:id="52"/>
    <w:bookmarkEnd w:id="53"/>
    <w:bookmarkStart w:id="54" w:name="technical-platform"/>
    <w:p>
      <w:pPr>
        <w:pStyle w:val="Heading5"/>
      </w:pPr>
      <w:r>
        <w:rPr>
          <w:rStyle w:val="SectionNumber"/>
        </w:rPr>
        <w:t xml:space="preserve">2.2.0.0.5</w:t>
      </w:r>
      <w:r>
        <w:tab/>
      </w:r>
      <w:r>
        <w:t xml:space="preserve">Technical Platform</w:t>
      </w:r>
    </w:p>
    <w:p>
      <w:pPr>
        <w:pStyle w:val="Compact"/>
        <w:numPr>
          <w:ilvl w:val="0"/>
          <w:numId w:val="1003"/>
        </w:numPr>
      </w:pPr>
      <w:r>
        <w:rPr>
          <w:b/>
          <w:bCs/>
        </w:rPr>
        <w:t xml:space="preserve">Primary Tool:</w:t>
      </w:r>
      <w:r>
        <w:t xml:space="preserve"> </w:t>
      </w:r>
      <w:r>
        <w:t xml:space="preserve">menti.com for real-time response collection</w:t>
      </w:r>
    </w:p>
    <w:p>
      <w:pPr>
        <w:pStyle w:val="Compact"/>
        <w:numPr>
          <w:ilvl w:val="0"/>
          <w:numId w:val="1003"/>
        </w:numPr>
      </w:pPr>
      <w:r>
        <w:rPr>
          <w:b/>
          <w:bCs/>
        </w:rPr>
        <w:t xml:space="preserve">Presentation:</w:t>
      </w:r>
      <w:r>
        <w:t xml:space="preserve"> </w:t>
      </w:r>
      <w:r>
        <w:t xml:space="preserve">Structured slide deck with speaker notes</w:t>
      </w:r>
    </w:p>
    <w:p>
      <w:pPr>
        <w:pStyle w:val="Compact"/>
        <w:numPr>
          <w:ilvl w:val="0"/>
          <w:numId w:val="1003"/>
        </w:numPr>
      </w:pPr>
      <w:r>
        <w:rPr>
          <w:b/>
          <w:bCs/>
        </w:rPr>
        <w:t xml:space="preserve">Response Collection:</w:t>
      </w:r>
      <w:r>
        <w:t xml:space="preserve"> </w:t>
      </w:r>
      <w:r>
        <w:t xml:space="preserve">Mix of word clouds, open text, ranking exercises, and multiple choice</w:t>
      </w:r>
    </w:p>
    <w:bookmarkEnd w:id="54"/>
    <w:bookmarkStart w:id="55" w:name="session-management"/>
    <w:p>
      <w:pPr>
        <w:pStyle w:val="Heading5"/>
      </w:pPr>
      <w:r>
        <w:rPr>
          <w:rStyle w:val="SectionNumber"/>
        </w:rPr>
        <w:t xml:space="preserve">2.2.0.0.6</w:t>
      </w:r>
      <w:r>
        <w:tab/>
      </w:r>
      <w:r>
        <w:t xml:space="preserve">Session Management</w:t>
      </w:r>
    </w:p>
    <w:p>
      <w:pPr>
        <w:pStyle w:val="Compact"/>
        <w:numPr>
          <w:ilvl w:val="0"/>
          <w:numId w:val="1004"/>
        </w:numPr>
      </w:pPr>
      <w:r>
        <w:rPr>
          <w:b/>
          <w:bCs/>
        </w:rPr>
        <w:t xml:space="preserve">Format:</w:t>
      </w:r>
      <w:r>
        <w:t xml:space="preserve"> </w:t>
      </w:r>
      <w:r>
        <w:t xml:space="preserve">Guided presentation with interactive polling</w:t>
      </w:r>
    </w:p>
    <w:p>
      <w:pPr>
        <w:pStyle w:val="Compact"/>
        <w:numPr>
          <w:ilvl w:val="0"/>
          <w:numId w:val="1004"/>
        </w:numPr>
      </w:pPr>
      <w:r>
        <w:rPr>
          <w:b/>
          <w:bCs/>
        </w:rPr>
        <w:t xml:space="preserve">Duration:</w:t>
      </w:r>
      <w:r>
        <w:t xml:space="preserve"> </w:t>
      </w:r>
      <w:r>
        <w:t xml:space="preserve">Structured to allow thoughtful responses while maintaining engagement</w:t>
      </w:r>
    </w:p>
    <w:p>
      <w:pPr>
        <w:pStyle w:val="Compact"/>
        <w:numPr>
          <w:ilvl w:val="0"/>
          <w:numId w:val="1004"/>
        </w:numPr>
      </w:pPr>
      <w:r>
        <w:rPr>
          <w:b/>
          <w:bCs/>
        </w:rPr>
        <w:t xml:space="preserve">Follow-up:</w:t>
      </w:r>
      <w:r>
        <w:t xml:space="preserve"> </w:t>
      </w:r>
      <w:r>
        <w:t xml:space="preserve">Responses to be analysed and synthesised for Madrid workshop agenda preparation</w:t>
      </w:r>
    </w:p>
    <w:bookmarkEnd w:id="55"/>
    <w:bookmarkStart w:id="57" w:name="data-usage"/>
    <w:p>
      <w:pPr>
        <w:pStyle w:val="Heading5"/>
      </w:pPr>
      <w:r>
        <w:rPr>
          <w:rStyle w:val="SectionNumber"/>
        </w:rPr>
        <w:t xml:space="preserve">2.2.0.0.7</w:t>
      </w:r>
      <w:r>
        <w:tab/>
      </w:r>
      <w:r>
        <w:t xml:space="preserve">Data Usage</w:t>
      </w:r>
    </w:p>
    <w:p>
      <w:r>
        <w:pict>
          <v:rect style="width:0;height:1.5pt" o:hralign="center" o:hrstd="t" o:hr="t"/>
        </w:pict>
      </w:r>
    </w:p>
    <w:bookmarkStart w:id="56" w:name="expected-outcomes"/>
    <w:p>
      <w:pPr>
        <w:pStyle w:val="Heading6"/>
      </w:pPr>
      <w:r>
        <w:rPr>
          <w:rStyle w:val="SectionNumber"/>
        </w:rPr>
        <w:t xml:space="preserve">2.2.0.0.7.1</w:t>
      </w:r>
      <w:r>
        <w:tab/>
      </w:r>
      <w:r>
        <w:t xml:space="preserve">Expected Outcomes</w:t>
      </w:r>
    </w:p>
    <w:p>
      <w:pPr>
        <w:pStyle w:val="FirstParagraph"/>
      </w:pPr>
      <w:r>
        <w:t xml:space="preserve">This comprehensive survey was designed to provide:</w:t>
      </w:r>
    </w:p>
    <w:p>
      <w:pPr>
        <w:pStyle w:val="Compact"/>
        <w:numPr>
          <w:ilvl w:val="0"/>
          <w:numId w:val="1005"/>
        </w:numPr>
      </w:pPr>
      <w:r>
        <w:rPr>
          <w:b/>
          <w:bCs/>
        </w:rPr>
        <w:t xml:space="preserve">Realistic production readiness assessment</w:t>
      </w:r>
      <w:r>
        <w:t xml:space="preserve"> </w:t>
      </w:r>
      <w:r>
        <w:t xml:space="preserve">- honest evaluation of deployment barriers and institutional capacity</w:t>
      </w:r>
    </w:p>
    <w:p>
      <w:pPr>
        <w:pStyle w:val="Compact"/>
        <w:numPr>
          <w:ilvl w:val="0"/>
          <w:numId w:val="1005"/>
        </w:numPr>
      </w:pPr>
      <w:r>
        <w:rPr>
          <w:b/>
          <w:bCs/>
        </w:rPr>
        <w:t xml:space="preserve">Internal dynamics understanding</w:t>
      </w:r>
      <w:r>
        <w:t xml:space="preserve"> </w:t>
      </w:r>
      <w:r>
        <w:t xml:space="preserve">- insights into organisational perception and investment willingness</w:t>
      </w:r>
      <w:r>
        <w:br/>
      </w:r>
    </w:p>
    <w:p>
      <w:pPr>
        <w:pStyle w:val="Compact"/>
        <w:numPr>
          <w:ilvl w:val="0"/>
          <w:numId w:val="1005"/>
        </w:numPr>
      </w:pPr>
      <w:r>
        <w:rPr>
          <w:b/>
          <w:bCs/>
        </w:rPr>
        <w:t xml:space="preserve">Post-project sustainability evaluation</w:t>
      </w:r>
      <w:r>
        <w:t xml:space="preserve"> </w:t>
      </w:r>
      <w:r>
        <w:t xml:space="preserve">- genuine commitment levels and required support structures</w:t>
      </w:r>
    </w:p>
    <w:p>
      <w:pPr>
        <w:pStyle w:val="Compact"/>
        <w:numPr>
          <w:ilvl w:val="0"/>
          <w:numId w:val="1005"/>
        </w:numPr>
      </w:pPr>
      <w:r>
        <w:rPr>
          <w:b/>
          <w:bCs/>
        </w:rPr>
        <w:t xml:space="preserve">Strategic direction consensus</w:t>
      </w:r>
      <w:r>
        <w:t xml:space="preserve"> </w:t>
      </w:r>
      <w:r>
        <w:t xml:space="preserve">- shared vision for eIDAS scenario evolution and architectural priorities</w:t>
      </w:r>
    </w:p>
    <w:p>
      <w:pPr>
        <w:pStyle w:val="FirstParagraph"/>
      </w:pPr>
      <w:r>
        <w:t xml:space="preserve">The results inform the transition from the formal DC4EU project conclusion to sustainable, community-driven continuation of digital credential initiatives across European educational and professional qualification sectors.</w:t>
      </w:r>
    </w:p>
    <w:p>
      <w:r>
        <w:pict>
          <v:rect style="width:0;height:1.5pt" o:hralign="center" o:hrstd="t" o:hr="t"/>
        </w:pict>
      </w:r>
    </w:p>
    <w:bookmarkEnd w:id="56"/>
    <w:bookmarkEnd w:id="57"/>
    <w:bookmarkEnd w:id="58"/>
    <w:bookmarkStart w:id="82" w:name="survey-results-and-analysis-1"/>
    <w:p>
      <w:pPr>
        <w:pStyle w:val="Heading2"/>
      </w:pPr>
      <w:r>
        <w:rPr>
          <w:rStyle w:val="SectionNumber"/>
        </w:rPr>
        <w:t xml:space="preserve">2.3</w:t>
      </w:r>
      <w:r>
        <w:tab/>
      </w:r>
      <w:r>
        <w:t xml:space="preserve">Survey Results and Analysis</w:t>
      </w:r>
    </w:p>
    <w:bookmarkStart w:id="59" w:name="introduction-1"/>
    <w:p>
      <w:pPr>
        <w:pStyle w:val="Heading6"/>
      </w:pPr>
      <w:r>
        <w:rPr>
          <w:rStyle w:val="SectionNumber"/>
        </w:rPr>
        <w:t xml:space="preserve">2.3.0.0.0.1</w:t>
      </w:r>
      <w:r>
        <w:tab/>
      </w:r>
      <w:r>
        <w:t xml:space="preserve">Introduction</w:t>
      </w:r>
    </w:p>
    <w:p>
      <w:pPr>
        <w:pStyle w:val="FirstParagraph"/>
      </w:pPr>
      <w:r>
        <w:t xml:space="preserve">This survey was conducted during the DC4EU Warsaw workshop by Work Package 9 (WP9) using a guided presentation format with menti.com for real-time response collection. The survey focused on assessing the current state of DC4EU solutions and evaluating aspects related to the future beyond the project’s end on 31st July 2025.</w:t>
      </w:r>
    </w:p>
    <w:p>
      <w:pPr>
        <w:pStyle w:val="BodyText"/>
      </w:pPr>
      <w:r>
        <w:t xml:space="preserve">The survey was structured around four critical evaluation blocks designed to capture honest assessments from piloting agents about production readiness, institutional dynamics, post-project commitment, and strategic vision.</w:t>
      </w:r>
    </w:p>
    <w:bookmarkEnd w:id="59"/>
    <w:bookmarkStart w:id="60" w:name="survey-results-analysis"/>
    <w:p>
      <w:pPr>
        <w:pStyle w:val="Heading6"/>
      </w:pPr>
      <w:r>
        <w:rPr>
          <w:rStyle w:val="SectionNumber"/>
        </w:rPr>
        <w:t xml:space="preserve">2.3.0.0.0.2</w:t>
      </w:r>
      <w:r>
        <w:tab/>
      </w:r>
      <w:r>
        <w:t xml:space="preserve">Survey Results Analysis</w:t>
      </w:r>
    </w:p>
    <w:bookmarkEnd w:id="60"/>
    <w:bookmarkStart w:id="61" w:name="participation-overview"/>
    <w:p>
      <w:pPr>
        <w:pStyle w:val="Heading5"/>
      </w:pPr>
      <w:r>
        <w:rPr>
          <w:rStyle w:val="SectionNumber"/>
        </w:rPr>
        <w:t xml:space="preserve">2.3.0.0.1</w:t>
      </w:r>
      <w:r>
        <w:tab/>
      </w:r>
      <w:r>
        <w:t xml:space="preserve">Participation Overview</w:t>
      </w:r>
    </w:p>
    <w:p>
      <w:pPr>
        <w:pStyle w:val="Compact"/>
        <w:numPr>
          <w:ilvl w:val="0"/>
          <w:numId w:val="1006"/>
        </w:numPr>
      </w:pPr>
      <w:r>
        <w:rPr>
          <w:b/>
          <w:bCs/>
        </w:rPr>
        <w:t xml:space="preserve">Survey Date:</w:t>
      </w:r>
      <w:r>
        <w:t xml:space="preserve"> </w:t>
      </w:r>
      <w:r>
        <w:t xml:space="preserve">27 June 2025</w:t>
      </w:r>
    </w:p>
    <w:p>
      <w:pPr>
        <w:pStyle w:val="Compact"/>
        <w:numPr>
          <w:ilvl w:val="0"/>
          <w:numId w:val="1006"/>
        </w:numPr>
      </w:pPr>
      <w:r>
        <w:rPr>
          <w:b/>
          <w:bCs/>
        </w:rPr>
        <w:t xml:space="preserve">Total Participants:</w:t>
      </w:r>
      <w:r>
        <w:t xml:space="preserve"> </w:t>
      </w:r>
      <w:r>
        <w:t xml:space="preserve">26 responses</w:t>
      </w:r>
    </w:p>
    <w:p>
      <w:pPr>
        <w:pStyle w:val="Compact"/>
        <w:numPr>
          <w:ilvl w:val="0"/>
          <w:numId w:val="1006"/>
        </w:numPr>
      </w:pPr>
      <w:r>
        <w:rPr>
          <w:b/>
          <w:bCs/>
        </w:rPr>
        <w:t xml:space="preserve">Response Quality:</w:t>
      </w:r>
      <w:r>
        <w:t xml:space="preserve"> </w:t>
      </w:r>
      <w:r>
        <w:t xml:space="preserve">High engagement with 60-80% response rate across all questions</w:t>
      </w:r>
    </w:p>
    <w:p>
      <w:pPr>
        <w:pStyle w:val="Compact"/>
        <w:numPr>
          <w:ilvl w:val="0"/>
          <w:numId w:val="1006"/>
        </w:numPr>
      </w:pPr>
      <w:r>
        <w:rPr>
          <w:b/>
          <w:bCs/>
        </w:rPr>
        <w:t xml:space="preserve">Data Collection:</w:t>
      </w:r>
      <w:r>
        <w:t xml:space="preserve"> </w:t>
      </w:r>
      <w:r>
        <w:t xml:space="preserve">Real-time via menti.com during Warsaw workshop</w:t>
      </w:r>
    </w:p>
    <w:p>
      <w:r>
        <w:pict>
          <v:rect style="width:0;height:1.5pt" o:hralign="center" o:hrstd="t" o:hr="t"/>
        </w:pict>
      </w:r>
    </w:p>
    <w:bookmarkEnd w:id="61"/>
    <w:bookmarkStart w:id="65" w:name="Xb141639e417b08cadd878ae52a27c741b1a063b"/>
    <w:p>
      <w:pPr>
        <w:pStyle w:val="Heading5"/>
      </w:pPr>
      <w:r>
        <w:rPr>
          <w:rStyle w:val="SectionNumber"/>
        </w:rPr>
        <w:t xml:space="preserve">2.3.0.0.2</w:t>
      </w:r>
      <w:r>
        <w:tab/>
      </w:r>
      <w:r>
        <w:rPr>
          <w:b/>
          <w:bCs/>
        </w:rPr>
        <w:t xml:space="preserve">Block 1: Production Readiness Assessment Results</w:t>
      </w:r>
    </w:p>
    <w:bookmarkStart w:id="62" w:name="X266cf542396d67ef543b43606cfb69a2cc541d4"/>
    <w:p>
      <w:pPr>
        <w:pStyle w:val="Heading6"/>
      </w:pPr>
      <w:r>
        <w:rPr>
          <w:rStyle w:val="SectionNumber"/>
        </w:rPr>
        <w:t xml:space="preserve">2.3.0.0.2.1</w:t>
      </w:r>
      <w:r>
        <w:tab/>
      </w:r>
      <w:r>
        <w:t xml:space="preserve">Q1: Current Readiness Sentiment (Word Cloud Analysis)</w:t>
      </w:r>
    </w:p>
    <w:p>
      <w:pPr>
        <w:pStyle w:val="FirstParagraph"/>
      </w:pPr>
      <w:r>
        <w:rPr>
          <w:b/>
          <w:bCs/>
        </w:rPr>
        <w:t xml:space="preserve">20 responses received</w:t>
      </w:r>
    </w:p>
    <w:p>
      <w:pPr>
        <w:pStyle w:val="BodyText"/>
      </w:pPr>
      <w:r>
        <w:rPr>
          <w:b/>
          <w:bCs/>
        </w:rPr>
        <w:t xml:space="preserve">Top Readiness Words:</w:t>
      </w:r>
      <w:r>
        <w:t xml:space="preserve"> </w:t>
      </w:r>
      <w:r>
        <w:t xml:space="preserve">-</w:t>
      </w:r>
      <w:r>
        <w:t xml:space="preserve"> </w:t>
      </w:r>
      <w:r>
        <w:t xml:space="preserve">“prepared”</w:t>
      </w:r>
      <w:r>
        <w:t xml:space="preserve"> </w:t>
      </w:r>
      <w:r>
        <w:t xml:space="preserve">(4 mentions)</w:t>
      </w:r>
      <w:r>
        <w:t xml:space="preserve"> </w:t>
      </w:r>
      <w:r>
        <w:t xml:space="preserve">-</w:t>
      </w:r>
      <w:r>
        <w:t xml:space="preserve"> </w:t>
      </w:r>
      <w:r>
        <w:t xml:space="preserve">“ready”</w:t>
      </w:r>
      <w:r>
        <w:t xml:space="preserve"> </w:t>
      </w:r>
      <w:r>
        <w:t xml:space="preserve">(4 mentions)</w:t>
      </w:r>
      <w:r>
        <w:t xml:space="preserve"> </w:t>
      </w:r>
      <w:r>
        <w:t xml:space="preserve">-</w:t>
      </w:r>
      <w:r>
        <w:t xml:space="preserve"> </w:t>
      </w:r>
      <w:r>
        <w:t xml:space="preserve">“optimistic”</w:t>
      </w:r>
      <w:r>
        <w:t xml:space="preserve"> </w:t>
      </w:r>
      <w:r>
        <w:t xml:space="preserve">(4 mentions)</w:t>
      </w:r>
      <w:r>
        <w:t xml:space="preserve"> </w:t>
      </w:r>
      <w:r>
        <w:t xml:space="preserve">-</w:t>
      </w:r>
      <w:r>
        <w:t xml:space="preserve"> </w:t>
      </w:r>
      <w:r>
        <w:t xml:space="preserve">“uncertain”</w:t>
      </w:r>
      <w:r>
        <w:t xml:space="preserve"> </w:t>
      </w:r>
      <w:r>
        <w:t xml:space="preserve">(3 mentions)</w:t>
      </w:r>
      <w:r>
        <w:t xml:space="preserve"> </w:t>
      </w:r>
      <w:r>
        <w:t xml:space="preserve">-</w:t>
      </w:r>
      <w:r>
        <w:t xml:space="preserve"> </w:t>
      </w:r>
      <w:r>
        <w:t xml:space="preserve">“curious”</w:t>
      </w:r>
      <w:r>
        <w:t xml:space="preserve"> </w:t>
      </w:r>
      <w:r>
        <w:t xml:space="preserve">(2 mentions)</w:t>
      </w:r>
      <w:r>
        <w:t xml:space="preserve"> </w:t>
      </w:r>
      <w:r>
        <w:t xml:space="preserve">-</w:t>
      </w:r>
      <w:r>
        <w:t xml:space="preserve"> </w:t>
      </w:r>
      <w:r>
        <w:t xml:space="preserve">“pilot/piloting”</w:t>
      </w:r>
      <w:r>
        <w:t xml:space="preserve"> </w:t>
      </w:r>
      <w:r>
        <w:t xml:space="preserve">(2 mentions)</w:t>
      </w:r>
    </w:p>
    <w:p>
      <w:pPr>
        <w:pStyle w:val="BodyText"/>
      </w:pPr>
      <w:r>
        <w:rPr>
          <w:b/>
          <w:bCs/>
        </w:rPr>
        <w:t xml:space="preserve">Sentiment Distribution:</w:t>
      </w:r>
      <w:r>
        <w:t xml:space="preserve"> </w:t>
      </w:r>
      <w:r>
        <w:t xml:space="preserve">-</w:t>
      </w:r>
      <w:r>
        <w:t xml:space="preserve"> </w:t>
      </w:r>
      <w:r>
        <w:rPr>
          <w:b/>
          <w:bCs/>
        </w:rPr>
        <w:t xml:space="preserve">Positive/Confident:</w:t>
      </w:r>
      <w:r>
        <w:t xml:space="preserve"> </w:t>
      </w:r>
      <w:r>
        <w:t xml:space="preserve">65% (prepared, ready, optimistic, production_ready)</w:t>
      </w:r>
      <w:r>
        <w:t xml:space="preserve"> </w:t>
      </w:r>
      <w:r>
        <w:t xml:space="preserve">-</w:t>
      </w:r>
      <w:r>
        <w:t xml:space="preserve"> </w:t>
      </w:r>
      <w:r>
        <w:rPr>
          <w:b/>
          <w:bCs/>
        </w:rPr>
        <w:t xml:space="preserve">Neutral/Exploratory:</w:t>
      </w:r>
      <w:r>
        <w:t xml:space="preserve"> </w:t>
      </w:r>
      <w:r>
        <w:t xml:space="preserve">30% (piloting, testing, curious, reflecting)</w:t>
      </w:r>
      <w:r>
        <w:t xml:space="preserve"> </w:t>
      </w:r>
      <w:r>
        <w:t xml:space="preserve">-</w:t>
      </w:r>
      <w:r>
        <w:t xml:space="preserve"> </w:t>
      </w:r>
      <w:r>
        <w:rPr>
          <w:b/>
          <w:bCs/>
        </w:rPr>
        <w:t xml:space="preserve">Concerned/Uncertain:</w:t>
      </w:r>
      <w:r>
        <w:t xml:space="preserve"> </w:t>
      </w:r>
      <w:r>
        <w:t xml:space="preserve">5% (uncertain, worried, conflicted)</w:t>
      </w:r>
    </w:p>
    <w:bookmarkEnd w:id="62"/>
    <w:bookmarkStart w:id="63" w:name="X2e9dc4d60731ad594c07d1e0aad0993ebbe85da"/>
    <w:p>
      <w:pPr>
        <w:pStyle w:val="Heading6"/>
      </w:pPr>
      <w:r>
        <w:rPr>
          <w:rStyle w:val="SectionNumber"/>
        </w:rPr>
        <w:t xml:space="preserve">2.3.0.0.2.2</w:t>
      </w:r>
      <w:r>
        <w:tab/>
      </w:r>
      <w:r>
        <w:t xml:space="preserve">Q2: Production Challenges (36 challenges identified)</w:t>
      </w:r>
    </w:p>
    <w:p>
      <w:pPr>
        <w:pStyle w:val="FirstParagraph"/>
      </w:pPr>
      <w:r>
        <w:rPr>
          <w:b/>
          <w:bCs/>
        </w:rPr>
        <w:t xml:space="preserve">Challenge Categories:</w:t>
      </w:r>
      <w:r>
        <w:t xml:space="preserve"> </w:t>
      </w:r>
      <w:r>
        <w:t xml:space="preserve">1.</w:t>
      </w:r>
      <w:r>
        <w:t xml:space="preserve"> </w:t>
      </w:r>
      <w:r>
        <w:rPr>
          <w:b/>
          <w:bCs/>
        </w:rPr>
        <w:t xml:space="preserve">Regulatory/Legal Issues</w:t>
      </w:r>
      <w:r>
        <w:t xml:space="preserve"> </w:t>
      </w:r>
      <w:r>
        <w:t xml:space="preserve">(10 mentions - highest)</w:t>
      </w:r>
      <w:r>
        <w:t xml:space="preserve"> </w:t>
      </w:r>
      <w:r>
        <w:t xml:space="preserve">-</w:t>
      </w:r>
      <w:r>
        <w:t xml:space="preserve"> </w:t>
      </w:r>
      <w:r>
        <w:t xml:space="preserve">“Regulation”</w:t>
      </w:r>
      <w:r>
        <w:t xml:space="preserve">,</w:t>
      </w:r>
      <w:r>
        <w:t xml:space="preserve"> </w:t>
      </w:r>
      <w:r>
        <w:t xml:space="preserve">“legislation”</w:t>
      </w:r>
      <w:r>
        <w:t xml:space="preserve">,</w:t>
      </w:r>
      <w:r>
        <w:t xml:space="preserve"> </w:t>
      </w:r>
      <w:r>
        <w:t xml:space="preserve">“legal adoption at national level”</w:t>
      </w:r>
      <w:r>
        <w:t xml:space="preserve"> </w:t>
      </w:r>
      <w:r>
        <w:t xml:space="preserve">-</w:t>
      </w:r>
      <w:r>
        <w:t xml:space="preserve"> </w:t>
      </w:r>
      <w:r>
        <w:t xml:space="preserve">“We are 2 years away from production readiness on all fronts”</w:t>
      </w:r>
    </w:p>
    <w:p>
      <w:pPr>
        <w:pStyle w:val="Compact"/>
        <w:numPr>
          <w:ilvl w:val="0"/>
          <w:numId w:val="1007"/>
        </w:numPr>
      </w:pPr>
      <w:r>
        <w:rPr>
          <w:b/>
          <w:bCs/>
        </w:rPr>
        <w:t xml:space="preserve">Technical/Infrastructure</w:t>
      </w:r>
      <w:r>
        <w:t xml:space="preserve"> </w:t>
      </w:r>
      <w:r>
        <w:t xml:space="preserve">(6 mentions)</w:t>
      </w:r>
    </w:p>
    <w:p>
      <w:pPr>
        <w:pStyle w:val="Compact"/>
        <w:numPr>
          <w:ilvl w:val="1"/>
          <w:numId w:val="1008"/>
        </w:numPr>
      </w:pPr>
      <w:r>
        <w:t xml:space="preserve">“Infrastructure costs, resources, time for maturization”</w:t>
      </w:r>
    </w:p>
    <w:p>
      <w:pPr>
        <w:pStyle w:val="Compact"/>
        <w:numPr>
          <w:ilvl w:val="1"/>
          <w:numId w:val="1008"/>
        </w:numPr>
      </w:pPr>
      <w:r>
        <w:t xml:space="preserve">“Our infrastructure is not ready for connection with DC4EU”</w:t>
      </w:r>
    </w:p>
    <w:p>
      <w:pPr>
        <w:pStyle w:val="Compact"/>
        <w:numPr>
          <w:ilvl w:val="0"/>
          <w:numId w:val="1007"/>
        </w:numPr>
      </w:pPr>
      <w:r>
        <w:rPr>
          <w:b/>
          <w:bCs/>
        </w:rPr>
        <w:t xml:space="preserve">Member State Readiness</w:t>
      </w:r>
      <w:r>
        <w:t xml:space="preserve"> </w:t>
      </w:r>
      <w:r>
        <w:t xml:space="preserve">(4 mentions)</w:t>
      </w:r>
    </w:p>
    <w:p>
      <w:pPr>
        <w:pStyle w:val="Compact"/>
        <w:numPr>
          <w:ilvl w:val="1"/>
          <w:numId w:val="1009"/>
        </w:numPr>
      </w:pPr>
      <w:r>
        <w:t xml:space="preserve">“Member states not ready with PID and TAO”</w:t>
      </w:r>
    </w:p>
    <w:p>
      <w:pPr>
        <w:pStyle w:val="Compact"/>
        <w:numPr>
          <w:ilvl w:val="1"/>
          <w:numId w:val="1009"/>
        </w:numPr>
      </w:pPr>
      <w:r>
        <w:t xml:space="preserve">“General level of digitalisation in MS is too low”</w:t>
      </w:r>
    </w:p>
    <w:p>
      <w:pPr>
        <w:pStyle w:val="Compact"/>
        <w:numPr>
          <w:ilvl w:val="0"/>
          <w:numId w:val="1007"/>
        </w:numPr>
      </w:pPr>
      <w:r>
        <w:rPr>
          <w:b/>
          <w:bCs/>
        </w:rPr>
        <w:t xml:space="preserve">User Acceptance</w:t>
      </w:r>
      <w:r>
        <w:t xml:space="preserve"> </w:t>
      </w:r>
      <w:r>
        <w:t xml:space="preserve">(3 mentions)</w:t>
      </w:r>
    </w:p>
    <w:p>
      <w:pPr>
        <w:pStyle w:val="Compact"/>
        <w:numPr>
          <w:ilvl w:val="1"/>
          <w:numId w:val="1010"/>
        </w:numPr>
      </w:pPr>
      <w:r>
        <w:t xml:space="preserve">“Acceptance of the wallet within the professional community”</w:t>
      </w:r>
    </w:p>
    <w:p>
      <w:pPr>
        <w:pStyle w:val="Compact"/>
        <w:numPr>
          <w:ilvl w:val="1"/>
          <w:numId w:val="1010"/>
        </w:numPr>
      </w:pPr>
      <w:r>
        <w:t xml:space="preserve">“Willingness to accept</w:t>
      </w:r>
      <w:r>
        <w:t xml:space="preserve"> </w:t>
      </w:r>
      <w:r>
        <w:t xml:space="preserve">‘digital first’</w:t>
      </w:r>
      <w:r>
        <w:t xml:space="preserve"> </w:t>
      </w:r>
      <w:r>
        <w:t xml:space="preserve">as the norm”</w:t>
      </w:r>
    </w:p>
    <w:bookmarkEnd w:id="63"/>
    <w:bookmarkStart w:id="64" w:name="Xe286ccea83c61d54eb4fe14ecea6b2e1153cd16"/>
    <w:p>
      <w:pPr>
        <w:pStyle w:val="Heading6"/>
      </w:pPr>
      <w:r>
        <w:rPr>
          <w:rStyle w:val="SectionNumber"/>
        </w:rPr>
        <w:t xml:space="preserve">2.3.0.0.2.3</w:t>
      </w:r>
      <w:r>
        <w:tab/>
      </w:r>
      <w:r>
        <w:t xml:space="preserve">Q3: Challenge Priority Rankings (19 responses)</w:t>
      </w:r>
    </w:p>
    <w:p>
      <w:pPr>
        <w:pStyle w:val="FirstParagraph"/>
      </w:pPr>
      <w:r>
        <w:rPr>
          <w:b/>
          <w:bCs/>
        </w:rPr>
        <w:t xml:space="preserve">Average Priority Allocation (0-100 scale):</w:t>
      </w:r>
      <w:r>
        <w:t xml:space="preserve"> </w:t>
      </w:r>
      <w:r>
        <w:t xml:space="preserve">1.</w:t>
      </w:r>
      <w:r>
        <w:t xml:space="preserve"> </w:t>
      </w:r>
      <w:r>
        <w:rPr>
          <w:b/>
          <w:bCs/>
        </w:rPr>
        <w:t xml:space="preserve">Regulatory compliance:</w:t>
      </w:r>
      <w:r>
        <w:t xml:space="preserve"> </w:t>
      </w:r>
      <w:r>
        <w:t xml:space="preserve">30.5% (highest priority)</w:t>
      </w:r>
      <w:r>
        <w:t xml:space="preserve"> </w:t>
      </w:r>
      <w:r>
        <w:t xml:space="preserve">2.</w:t>
      </w:r>
      <w:r>
        <w:t xml:space="preserve"> </w:t>
      </w:r>
      <w:r>
        <w:rPr>
          <w:b/>
          <w:bCs/>
        </w:rPr>
        <w:t xml:space="preserve">Resource constraints:</w:t>
      </w:r>
      <w:r>
        <w:t xml:space="preserve"> </w:t>
      </w:r>
      <w:r>
        <w:t xml:space="preserve">24.5%</w:t>
      </w:r>
      <w:r>
        <w:t xml:space="preserve"> </w:t>
      </w:r>
      <w:r>
        <w:t xml:space="preserve">3.</w:t>
      </w:r>
      <w:r>
        <w:t xml:space="preserve"> </w:t>
      </w:r>
      <w:r>
        <w:rPr>
          <w:b/>
          <w:bCs/>
        </w:rPr>
        <w:t xml:space="preserve">Organisational resistance:</w:t>
      </w:r>
      <w:r>
        <w:t xml:space="preserve"> </w:t>
      </w:r>
      <w:r>
        <w:t xml:space="preserve">21.3%</w:t>
      </w:r>
      <w:r>
        <w:t xml:space="preserve"> </w:t>
      </w:r>
      <w:r>
        <w:t xml:space="preserve">4.</w:t>
      </w:r>
      <w:r>
        <w:t xml:space="preserve"> </w:t>
      </w:r>
      <w:r>
        <w:rPr>
          <w:b/>
          <w:bCs/>
        </w:rPr>
        <w:t xml:space="preserve">Technical obstacles:</w:t>
      </w:r>
      <w:r>
        <w:t xml:space="preserve"> </w:t>
      </w:r>
      <w:r>
        <w:t xml:space="preserve">20.0% (lowest priority)</w:t>
      </w:r>
    </w:p>
    <w:p>
      <w:r>
        <w:pict>
          <v:rect style="width:0;height:1.5pt" o:hralign="center" o:hrstd="t" o:hr="t"/>
        </w:pict>
      </w:r>
    </w:p>
    <w:bookmarkEnd w:id="64"/>
    <w:bookmarkEnd w:id="65"/>
    <w:bookmarkStart w:id="68" w:name="X3150ea0e7aa720962c5a4624c86984f07d0fb5f"/>
    <w:p>
      <w:pPr>
        <w:pStyle w:val="Heading5"/>
      </w:pPr>
      <w:r>
        <w:rPr>
          <w:rStyle w:val="SectionNumber"/>
        </w:rPr>
        <w:t xml:space="preserve">2.3.0.0.3</w:t>
      </w:r>
      <w:r>
        <w:tab/>
      </w:r>
      <w:r>
        <w:rPr>
          <w:b/>
          <w:bCs/>
        </w:rPr>
        <w:t xml:space="preserve">Block 2: Internal eIDAS2/EUDIW Perceptions Results</w:t>
      </w:r>
    </w:p>
    <w:bookmarkStart w:id="66" w:name="q4-institutional-eidas2-perceptions"/>
    <w:p>
      <w:pPr>
        <w:pStyle w:val="Heading6"/>
      </w:pPr>
      <w:r>
        <w:rPr>
          <w:rStyle w:val="SectionNumber"/>
        </w:rPr>
        <w:t xml:space="preserve">2.3.0.0.3.1</w:t>
      </w:r>
      <w:r>
        <w:tab/>
      </w:r>
      <w:r>
        <w:t xml:space="preserve">Q4: Institutional eIDAS2 Perceptions</w:t>
      </w:r>
    </w:p>
    <w:p>
      <w:pPr>
        <w:pStyle w:val="FirstParagraph"/>
      </w:pPr>
      <w:r>
        <w:rPr>
          <w:b/>
          <w:bCs/>
        </w:rPr>
        <w:t xml:space="preserve">Sentiment Categories:</w:t>
      </w:r>
      <w:r>
        <w:t xml:space="preserve"> </w:t>
      </w:r>
      <w:r>
        <w:t xml:space="preserve">-</w:t>
      </w:r>
      <w:r>
        <w:t xml:space="preserve"> </w:t>
      </w:r>
      <w:r>
        <w:rPr>
          <w:b/>
          <w:bCs/>
        </w:rPr>
        <w:t xml:space="preserve">Highly Positive:</w:t>
      </w:r>
      <w:r>
        <w:t xml:space="preserve"> </w:t>
      </w:r>
      <w:r>
        <w:t xml:space="preserve">“promising”</w:t>
      </w:r>
      <w:r>
        <w:t xml:space="preserve">,</w:t>
      </w:r>
      <w:r>
        <w:t xml:space="preserve"> </w:t>
      </w:r>
      <w:r>
        <w:t xml:space="preserve">“game changer”</w:t>
      </w:r>
      <w:r>
        <w:t xml:space="preserve">,</w:t>
      </w:r>
      <w:r>
        <w:t xml:space="preserve"> </w:t>
      </w:r>
      <w:r>
        <w:t xml:space="preserve">“very important”</w:t>
      </w:r>
      <w:r>
        <w:t xml:space="preserve">,</w:t>
      </w:r>
      <w:r>
        <w:t xml:space="preserve"> </w:t>
      </w:r>
      <w:r>
        <w:t xml:space="preserve">“opportunity”</w:t>
      </w:r>
      <w:r>
        <w:t xml:space="preserve"> </w:t>
      </w:r>
      <w:r>
        <w:t xml:space="preserve">-</w:t>
      </w:r>
      <w:r>
        <w:t xml:space="preserve"> </w:t>
      </w:r>
      <w:r>
        <w:rPr>
          <w:b/>
          <w:bCs/>
        </w:rPr>
        <w:t xml:space="preserve">Cautiously Optimistic:</w:t>
      </w:r>
      <w:r>
        <w:t xml:space="preserve"> </w:t>
      </w:r>
      <w:r>
        <w:t xml:space="preserve">“hopeful”</w:t>
      </w:r>
      <w:r>
        <w:t xml:space="preserve">,</w:t>
      </w:r>
      <w:r>
        <w:t xml:space="preserve"> </w:t>
      </w:r>
      <w:r>
        <w:t xml:space="preserve">“clear and necessary”</w:t>
      </w:r>
      <w:r>
        <w:t xml:space="preserve"> </w:t>
      </w:r>
      <w:r>
        <w:t xml:space="preserve">-</w:t>
      </w:r>
      <w:r>
        <w:t xml:space="preserve"> </w:t>
      </w:r>
      <w:r>
        <w:rPr>
          <w:b/>
          <w:bCs/>
        </w:rPr>
        <w:t xml:space="preserve">Uncertain/Unknown:</w:t>
      </w:r>
      <w:r>
        <w:t xml:space="preserve"> </w:t>
      </w:r>
      <w:r>
        <w:t xml:space="preserve">“quasi-unknown”</w:t>
      </w:r>
      <w:r>
        <w:t xml:space="preserve">,</w:t>
      </w:r>
      <w:r>
        <w:t xml:space="preserve"> </w:t>
      </w:r>
      <w:r>
        <w:t xml:space="preserve">“they have no idea what it is”</w:t>
      </w:r>
      <w:r>
        <w:t xml:space="preserve"> </w:t>
      </w:r>
      <w:r>
        <w:t xml:space="preserve">-</w:t>
      </w:r>
      <w:r>
        <w:t xml:space="preserve"> </w:t>
      </w:r>
      <w:r>
        <w:rPr>
          <w:b/>
          <w:bCs/>
        </w:rPr>
        <w:t xml:space="preserve">Concerned:</w:t>
      </w:r>
      <w:r>
        <w:t xml:space="preserve"> </w:t>
      </w:r>
      <w:r>
        <w:t xml:space="preserve">“not completely understood”</w:t>
      </w:r>
      <w:r>
        <w:t xml:space="preserve">,</w:t>
      </w:r>
      <w:r>
        <w:t xml:space="preserve"> </w:t>
      </w:r>
      <w:r>
        <w:t xml:space="preserve">“abstract tool”</w:t>
      </w:r>
    </w:p>
    <w:p>
      <w:pPr>
        <w:pStyle w:val="BodyText"/>
      </w:pPr>
      <w:r>
        <w:rPr>
          <w:b/>
          <w:bCs/>
        </w:rPr>
        <w:t xml:space="preserve">Key Finding:</w:t>
      </w:r>
      <w:r>
        <w:t xml:space="preserve"> </w:t>
      </w:r>
      <w:r>
        <w:t xml:space="preserve">Significant awareness gaps exist within institutions -</w:t>
      </w:r>
      <w:r>
        <w:t xml:space="preserve"> </w:t>
      </w:r>
      <w:r>
        <w:t xml:space="preserve">“They have no idea what it is”</w:t>
      </w:r>
      <w:r>
        <w:t xml:space="preserve"> </w:t>
      </w:r>
      <w:r>
        <w:t xml:space="preserve">indicates need for internal education.</w:t>
      </w:r>
    </w:p>
    <w:bookmarkEnd w:id="66"/>
    <w:bookmarkStart w:id="67" w:name="q5-investment-requirements-analysis"/>
    <w:p>
      <w:pPr>
        <w:pStyle w:val="Heading6"/>
      </w:pPr>
      <w:r>
        <w:rPr>
          <w:rStyle w:val="SectionNumber"/>
        </w:rPr>
        <w:t xml:space="preserve">2.3.0.0.3.2</w:t>
      </w:r>
      <w:r>
        <w:tab/>
      </w:r>
      <w:r>
        <w:t xml:space="preserve">Q5: Investment Requirements Analysis</w:t>
      </w:r>
    </w:p>
    <w:p>
      <w:pPr>
        <w:pStyle w:val="FirstParagraph"/>
      </w:pPr>
      <w:r>
        <w:rPr>
          <w:b/>
          <w:bCs/>
        </w:rPr>
        <w:t xml:space="preserve">Investment Categories Identified:</w:t>
      </w:r>
      <w:r>
        <w:t xml:space="preserve"> </w:t>
      </w:r>
      <w:r>
        <w:t xml:space="preserve">1.</w:t>
      </w:r>
      <w:r>
        <w:t xml:space="preserve"> </w:t>
      </w:r>
      <w:r>
        <w:rPr>
          <w:b/>
          <w:bCs/>
        </w:rPr>
        <w:t xml:space="preserve">Technical Infrastructure</w:t>
      </w:r>
      <w:r>
        <w:t xml:space="preserve"> </w:t>
      </w:r>
      <w:r>
        <w:t xml:space="preserve">- platforms, ecosystems, technical systems</w:t>
      </w:r>
      <w:r>
        <w:t xml:space="preserve"> </w:t>
      </w:r>
      <w:r>
        <w:t xml:space="preserve">2.</w:t>
      </w:r>
      <w:r>
        <w:t xml:space="preserve"> </w:t>
      </w:r>
      <w:r>
        <w:rPr>
          <w:b/>
          <w:bCs/>
        </w:rPr>
        <w:t xml:space="preserve">Human Resources &amp; Training</w:t>
      </w:r>
      <w:r>
        <w:t xml:space="preserve"> </w:t>
      </w:r>
      <w:r>
        <w:t xml:space="preserve">- personnel development, legal training</w:t>
      </w:r>
      <w:r>
        <w:t xml:space="preserve"> </w:t>
      </w:r>
      <w:r>
        <w:t xml:space="preserve">3.</w:t>
      </w:r>
      <w:r>
        <w:t xml:space="preserve"> </w:t>
      </w:r>
      <w:r>
        <w:rPr>
          <w:b/>
          <w:bCs/>
        </w:rPr>
        <w:t xml:space="preserve">Legal &amp; Compliance</w:t>
      </w:r>
      <w:r>
        <w:t xml:space="preserve"> </w:t>
      </w:r>
      <w:r>
        <w:t xml:space="preserve">- policy development, legal advice</w:t>
      </w:r>
      <w:r>
        <w:t xml:space="preserve"> </w:t>
      </w:r>
      <w:r>
        <w:t xml:space="preserve">4.</w:t>
      </w:r>
      <w:r>
        <w:t xml:space="preserve"> </w:t>
      </w:r>
      <w:r>
        <w:rPr>
          <w:b/>
          <w:bCs/>
        </w:rPr>
        <w:t xml:space="preserve">System Integration</w:t>
      </w:r>
      <w:r>
        <w:t xml:space="preserve"> </w:t>
      </w:r>
      <w:r>
        <w:t xml:space="preserve">- wallet integration, existing system connections</w:t>
      </w:r>
      <w:r>
        <w:t xml:space="preserve"> </w:t>
      </w:r>
      <w:r>
        <w:t xml:space="preserve">5.</w:t>
      </w:r>
      <w:r>
        <w:t xml:space="preserve"> </w:t>
      </w:r>
      <w:r>
        <w:rPr>
          <w:b/>
          <w:bCs/>
        </w:rPr>
        <w:t xml:space="preserve">Organisational Development</w:t>
      </w:r>
      <w:r>
        <w:t xml:space="preserve"> </w:t>
      </w:r>
      <w:r>
        <w:t xml:space="preserve">- business/IT strategy alignment</w:t>
      </w:r>
    </w:p>
    <w:p>
      <w:pPr>
        <w:pStyle w:val="BodyText"/>
      </w:pPr>
      <w:r>
        <w:rPr>
          <w:b/>
          <w:bCs/>
        </w:rPr>
        <w:t xml:space="preserve">Notable Quantified Investment:</w:t>
      </w:r>
      <w:r>
        <w:t xml:space="preserve"> </w:t>
      </w:r>
      <w:r>
        <w:t xml:space="preserve">One respondent specified</w:t>
      </w:r>
      <w:r>
        <w:t xml:space="preserve"> </w:t>
      </w:r>
      <w:r>
        <w:t xml:space="preserve">“50k€”</w:t>
      </w:r>
      <w:r>
        <w:t xml:space="preserve"> </w:t>
      </w:r>
      <w:r>
        <w:t xml:space="preserve">for implementation.</w:t>
      </w:r>
    </w:p>
    <w:p>
      <w:r>
        <w:pict>
          <v:rect style="width:0;height:1.5pt" o:hralign="center" o:hrstd="t" o:hr="t"/>
        </w:pict>
      </w:r>
    </w:p>
    <w:bookmarkEnd w:id="67"/>
    <w:bookmarkEnd w:id="68"/>
    <w:bookmarkStart w:id="72" w:name="block-3-post-project-commitment-results"/>
    <w:p>
      <w:pPr>
        <w:pStyle w:val="Heading5"/>
      </w:pPr>
      <w:r>
        <w:rPr>
          <w:rStyle w:val="SectionNumber"/>
        </w:rPr>
        <w:t xml:space="preserve">2.3.0.0.4</w:t>
      </w:r>
      <w:r>
        <w:tab/>
      </w:r>
      <w:r>
        <w:rPr>
          <w:b/>
          <w:bCs/>
        </w:rPr>
        <w:t xml:space="preserve">Block 3: Post-Project Commitment Results</w:t>
      </w:r>
    </w:p>
    <w:bookmarkStart w:id="69" w:name="q6-continuation-willingness-16-responses"/>
    <w:p>
      <w:pPr>
        <w:pStyle w:val="Heading6"/>
      </w:pPr>
      <w:r>
        <w:rPr>
          <w:rStyle w:val="SectionNumber"/>
        </w:rPr>
        <w:t xml:space="preserve">2.3.0.0.4.1</w:t>
      </w:r>
      <w:r>
        <w:tab/>
      </w:r>
      <w:r>
        <w:t xml:space="preserve">Q6: Continuation Willingness (16 responses)</w:t>
      </w:r>
    </w:p>
    <w:p>
      <w:pPr>
        <w:pStyle w:val="FirstParagraph"/>
      </w:pPr>
      <w:r>
        <w:rPr>
          <w:b/>
          <w:bCs/>
        </w:rPr>
        <w:t xml:space="preserve">Commitment Categories:</w:t>
      </w:r>
      <w:r>
        <w:t xml:space="preserve"> </w:t>
      </w:r>
      <w:r>
        <w:t xml:space="preserve">-</w:t>
      </w:r>
      <w:r>
        <w:t xml:space="preserve"> </w:t>
      </w:r>
      <w:r>
        <w:rPr>
          <w:b/>
          <w:bCs/>
        </w:rPr>
        <w:t xml:space="preserve">Strong Yes:</w:t>
      </w:r>
      <w:r>
        <w:t xml:space="preserve"> </w:t>
      </w:r>
      <w:r>
        <w:t xml:space="preserve">7 responses (44%) -</w:t>
      </w:r>
      <w:r>
        <w:t xml:space="preserve"> </w:t>
      </w:r>
      <w:r>
        <w:t xml:space="preserve">“Yes absolutely”</w:t>
      </w:r>
      <w:r>
        <w:t xml:space="preserve">,</w:t>
      </w:r>
      <w:r>
        <w:t xml:space="preserve"> </w:t>
      </w:r>
      <w:r>
        <w:t xml:space="preserve">“Definitely yes”</w:t>
      </w:r>
      <w:r>
        <w:t xml:space="preserve"> </w:t>
      </w:r>
      <w:r>
        <w:t xml:space="preserve">-</w:t>
      </w:r>
      <w:r>
        <w:t xml:space="preserve"> </w:t>
      </w:r>
      <w:r>
        <w:rPr>
          <w:b/>
          <w:bCs/>
        </w:rPr>
        <w:t xml:space="preserve">Conditional Yes:</w:t>
      </w:r>
      <w:r>
        <w:t xml:space="preserve"> </w:t>
      </w:r>
      <w:r>
        <w:t xml:space="preserve">2 responses (13%) -</w:t>
      </w:r>
      <w:r>
        <w:t xml:space="preserve"> </w:t>
      </w:r>
      <w:r>
        <w:t xml:space="preserve">“Yes, but…”</w:t>
      </w:r>
      <w:r>
        <w:t xml:space="preserve"> </w:t>
      </w:r>
      <w:r>
        <w:t xml:space="preserve">-</w:t>
      </w:r>
      <w:r>
        <w:t xml:space="preserve"> </w:t>
      </w:r>
      <w:r>
        <w:rPr>
          <w:b/>
          <w:bCs/>
        </w:rPr>
        <w:t xml:space="preserve">Resource Dependent:</w:t>
      </w:r>
      <w:r>
        <w:t xml:space="preserve"> </w:t>
      </w:r>
      <w:r>
        <w:t xml:space="preserve">3 responses (19%) -</w:t>
      </w:r>
      <w:r>
        <w:t xml:space="preserve"> </w:t>
      </w:r>
      <w:r>
        <w:t xml:space="preserve">“Yes, if proper funding is made available”</w:t>
      </w:r>
      <w:r>
        <w:t xml:space="preserve"> </w:t>
      </w:r>
      <w:r>
        <w:t xml:space="preserve">-</w:t>
      </w:r>
      <w:r>
        <w:t xml:space="preserve"> </w:t>
      </w:r>
      <w:r>
        <w:rPr>
          <w:b/>
          <w:bCs/>
        </w:rPr>
        <w:t xml:space="preserve">Uncertain/Qualified:</w:t>
      </w:r>
      <w:r>
        <w:t xml:space="preserve"> </w:t>
      </w:r>
      <w:r>
        <w:t xml:space="preserve">4 responses (25%)</w:t>
      </w:r>
    </w:p>
    <w:p>
      <w:pPr>
        <w:pStyle w:val="BodyText"/>
      </w:pPr>
      <w:r>
        <w:rPr>
          <w:b/>
          <w:bCs/>
        </w:rPr>
        <w:t xml:space="preserve">Overall Result:</w:t>
      </w:r>
      <w:r>
        <w:t xml:space="preserve"> </w:t>
      </w:r>
      <w:r>
        <w:t xml:space="preserve">75% want to continue with various conditions, primarily funding-dependent.</w:t>
      </w:r>
    </w:p>
    <w:bookmarkEnd w:id="69"/>
    <w:bookmarkStart w:id="70" w:name="Xf234024973637b110e31aed80f6d9816a4ee8e7"/>
    <w:p>
      <w:pPr>
        <w:pStyle w:val="Heading6"/>
      </w:pPr>
      <w:r>
        <w:rPr>
          <w:rStyle w:val="SectionNumber"/>
        </w:rPr>
        <w:t xml:space="preserve">2.3.0.0.4.2</w:t>
      </w:r>
      <w:r>
        <w:tab/>
      </w:r>
      <w:r>
        <w:t xml:space="preserve">Q7: Critical Elements for Continuity Rankings (16 responses)</w:t>
      </w:r>
    </w:p>
    <w:p>
      <w:pPr>
        <w:pStyle w:val="FirstParagraph"/>
      </w:pPr>
      <w:r>
        <w:rPr>
          <w:b/>
          <w:bCs/>
        </w:rPr>
        <w:t xml:space="preserve">Average Importance Rankings (1=most important, 4=least important):</w:t>
      </w:r>
      <w:r>
        <w:t xml:space="preserve"> </w:t>
      </w:r>
      <w:r>
        <w:t xml:space="preserve">1.</w:t>
      </w:r>
      <w:r>
        <w:t xml:space="preserve"> </w:t>
      </w:r>
      <w:r>
        <w:rPr>
          <w:b/>
          <w:bCs/>
        </w:rPr>
        <w:t xml:space="preserve">Institutional commitment:</w:t>
      </w:r>
      <w:r>
        <w:t xml:space="preserve"> </w:t>
      </w:r>
      <w:r>
        <w:t xml:space="preserve">1.94 (most critical)</w:t>
      </w:r>
      <w:r>
        <w:t xml:space="preserve"> </w:t>
      </w:r>
      <w:r>
        <w:t xml:space="preserve">2.</w:t>
      </w:r>
      <w:r>
        <w:t xml:space="preserve"> </w:t>
      </w:r>
      <w:r>
        <w:rPr>
          <w:b/>
          <w:bCs/>
        </w:rPr>
        <w:t xml:space="preserve">Funding stability:</w:t>
      </w:r>
      <w:r>
        <w:t xml:space="preserve"> </w:t>
      </w:r>
      <w:r>
        <w:t xml:space="preserve">2.31</w:t>
      </w:r>
      <w:r>
        <w:t xml:space="preserve"> </w:t>
      </w:r>
      <w:r>
        <w:t xml:space="preserve">3.</w:t>
      </w:r>
      <w:r>
        <w:t xml:space="preserve"> </w:t>
      </w:r>
      <w:r>
        <w:rPr>
          <w:b/>
          <w:bCs/>
        </w:rPr>
        <w:t xml:space="preserve">Stakeholder engagement:</w:t>
      </w:r>
      <w:r>
        <w:t xml:space="preserve"> </w:t>
      </w:r>
      <w:r>
        <w:t xml:space="preserve">2.56</w:t>
      </w:r>
      <w:r>
        <w:t xml:space="preserve"> </w:t>
      </w:r>
      <w:r>
        <w:t xml:space="preserve">4.</w:t>
      </w:r>
      <w:r>
        <w:t xml:space="preserve"> </w:t>
      </w:r>
      <w:r>
        <w:rPr>
          <w:b/>
          <w:bCs/>
        </w:rPr>
        <w:t xml:space="preserve">Technical support:</w:t>
      </w:r>
      <w:r>
        <w:t xml:space="preserve"> </w:t>
      </w:r>
      <w:r>
        <w:t xml:space="preserve">3.19 (least critical)</w:t>
      </w:r>
    </w:p>
    <w:p>
      <w:pPr>
        <w:pStyle w:val="BodyText"/>
      </w:pPr>
      <w:r>
        <w:rPr>
          <w:b/>
          <w:bCs/>
        </w:rPr>
        <w:t xml:space="preserve">Key Insight:</w:t>
      </w:r>
      <w:r>
        <w:t xml:space="preserve"> </w:t>
      </w:r>
      <w:r>
        <w:t xml:space="preserve">Institutional commitment and funding are the primary success factors, not technical capabilities.</w:t>
      </w:r>
    </w:p>
    <w:bookmarkEnd w:id="70"/>
    <w:bookmarkStart w:id="71" w:name="q8-preferred-future-roles-18-responses"/>
    <w:p>
      <w:pPr>
        <w:pStyle w:val="Heading6"/>
      </w:pPr>
      <w:r>
        <w:rPr>
          <w:rStyle w:val="SectionNumber"/>
        </w:rPr>
        <w:t xml:space="preserve">2.3.0.0.4.3</w:t>
      </w:r>
      <w:r>
        <w:tab/>
      </w:r>
      <w:r>
        <w:t xml:space="preserve">Q8: Preferred Future Roles (18 responses)</w:t>
      </w:r>
    </w:p>
    <w:p>
      <w:pPr>
        <w:pStyle w:val="FirstParagraph"/>
      </w:pPr>
      <w:r>
        <w:rPr>
          <w:b/>
          <w:bCs/>
        </w:rPr>
        <w:t xml:space="preserve">Role Preferences:</w:t>
      </w:r>
      <w:r>
        <w:t xml:space="preserve"> </w:t>
      </w:r>
      <w:r>
        <w:t xml:space="preserve">-</w:t>
      </w:r>
      <w:r>
        <w:t xml:space="preserve"> </w:t>
      </w:r>
      <w:r>
        <w:rPr>
          <w:b/>
          <w:bCs/>
        </w:rPr>
        <w:t xml:space="preserve">Piloting Agent:</w:t>
      </w:r>
      <w:r>
        <w:t xml:space="preserve"> </w:t>
      </w:r>
      <w:r>
        <w:t xml:space="preserve">Most common preference - continuing testing and feedback</w:t>
      </w:r>
      <w:r>
        <w:t xml:space="preserve"> </w:t>
      </w:r>
      <w:r>
        <w:t xml:space="preserve">-</w:t>
      </w:r>
      <w:r>
        <w:t xml:space="preserve"> </w:t>
      </w:r>
      <w:r>
        <w:rPr>
          <w:b/>
          <w:bCs/>
        </w:rPr>
        <w:t xml:space="preserve">Technical Leader/Developer:</w:t>
      </w:r>
      <w:r>
        <w:t xml:space="preserve"> </w:t>
      </w:r>
      <w:r>
        <w:t xml:space="preserve">Standards development, technical modules</w:t>
      </w:r>
      <w:r>
        <w:t xml:space="preserve"> </w:t>
      </w:r>
      <w:r>
        <w:t xml:space="preserve">-</w:t>
      </w:r>
      <w:r>
        <w:t xml:space="preserve"> </w:t>
      </w:r>
      <w:r>
        <w:rPr>
          <w:b/>
          <w:bCs/>
        </w:rPr>
        <w:t xml:space="preserve">Implementation Partner:</w:t>
      </w:r>
      <w:r>
        <w:t xml:space="preserve"> </w:t>
      </w:r>
      <w:r>
        <w:t xml:space="preserve">Deployment and integration focus</w:t>
      </w:r>
      <w:r>
        <w:t xml:space="preserve"> </w:t>
      </w:r>
      <w:r>
        <w:t xml:space="preserve">-</w:t>
      </w:r>
      <w:r>
        <w:t xml:space="preserve"> </w:t>
      </w:r>
      <w:r>
        <w:rPr>
          <w:b/>
          <w:bCs/>
        </w:rPr>
        <w:t xml:space="preserve">Strategic Advisor:</w:t>
      </w:r>
      <w:r>
        <w:t xml:space="preserve"> </w:t>
      </w:r>
      <w:r>
        <w:t xml:space="preserve">Experience sharing and guidance</w:t>
      </w:r>
      <w:r>
        <w:t xml:space="preserve"> </w:t>
      </w:r>
      <w:r>
        <w:t xml:space="preserve">-</w:t>
      </w:r>
      <w:r>
        <w:t xml:space="preserve"> </w:t>
      </w:r>
      <w:r>
        <w:rPr>
          <w:b/>
          <w:bCs/>
        </w:rPr>
        <w:t xml:space="preserve">Solution Provider:</w:t>
      </w:r>
      <w:r>
        <w:t xml:space="preserve"> </w:t>
      </w:r>
      <w:r>
        <w:t xml:space="preserve">Issuer/verifier capabilities for students</w:t>
      </w:r>
    </w:p>
    <w:p>
      <w:pPr>
        <w:pStyle w:val="BodyText"/>
      </w:pPr>
      <w:r>
        <w:rPr>
          <w:b/>
          <w:bCs/>
        </w:rPr>
        <w:t xml:space="preserve">Common Qualifier:</w:t>
      </w:r>
      <w:r>
        <w:t xml:space="preserve"> </w:t>
      </w:r>
      <w:r>
        <w:t xml:space="preserve">“Depending on budget and resource availability”</w:t>
      </w:r>
      <w:r>
        <w:t xml:space="preserve"> </w:t>
      </w:r>
      <w:r>
        <w:t xml:space="preserve">- highlighting resource constraints.</w:t>
      </w:r>
    </w:p>
    <w:p>
      <w:r>
        <w:pict>
          <v:rect style="width:0;height:1.5pt" o:hralign="center" o:hrstd="t" o:hr="t"/>
        </w:pict>
      </w:r>
    </w:p>
    <w:bookmarkEnd w:id="71"/>
    <w:bookmarkEnd w:id="72"/>
    <w:bookmarkStart w:id="75" w:name="block-4-strategic-vision-results"/>
    <w:p>
      <w:pPr>
        <w:pStyle w:val="Heading5"/>
      </w:pPr>
      <w:r>
        <w:rPr>
          <w:rStyle w:val="SectionNumber"/>
        </w:rPr>
        <w:t xml:space="preserve">2.3.0.0.5</w:t>
      </w:r>
      <w:r>
        <w:tab/>
      </w:r>
      <w:r>
        <w:rPr>
          <w:b/>
          <w:bCs/>
        </w:rPr>
        <w:t xml:space="preserve">Block 4: Strategic Vision Results</w:t>
      </w:r>
    </w:p>
    <w:bookmarkStart w:id="73" w:name="X5aca14fbd4d95ef6195e694ace0adc2e89441b1"/>
    <w:p>
      <w:pPr>
        <w:pStyle w:val="Heading6"/>
      </w:pPr>
      <w:r>
        <w:rPr>
          <w:rStyle w:val="SectionNumber"/>
        </w:rPr>
        <w:t xml:space="preserve">2.3.0.0.5.1</w:t>
      </w:r>
      <w:r>
        <w:tab/>
      </w:r>
      <w:r>
        <w:t xml:space="preserve">Q9: eIDAS Scenario Evolution Vision (18 responses)</w:t>
      </w:r>
    </w:p>
    <w:p>
      <w:pPr>
        <w:pStyle w:val="FirstParagraph"/>
      </w:pPr>
      <w:r>
        <w:rPr>
          <w:b/>
          <w:bCs/>
        </w:rPr>
        <w:t xml:space="preserve">Strategic Themes:</w:t>
      </w:r>
      <w:r>
        <w:t xml:space="preserve"> </w:t>
      </w:r>
      <w:r>
        <w:t xml:space="preserve">1.</w:t>
      </w:r>
      <w:r>
        <w:t xml:space="preserve"> </w:t>
      </w:r>
      <w:r>
        <w:rPr>
          <w:b/>
          <w:bCs/>
        </w:rPr>
        <w:t xml:space="preserve">Scenario 2 Preference:</w:t>
      </w:r>
      <w:r>
        <w:t xml:space="preserve"> </w:t>
      </w:r>
      <w:r>
        <w:t xml:space="preserve">“Start with scenario 2 then move to better ones”</w:t>
      </w:r>
      <w:r>
        <w:t xml:space="preserve"> </w:t>
      </w:r>
      <w:r>
        <w:t xml:space="preserve">2.</w:t>
      </w:r>
      <w:r>
        <w:t xml:space="preserve"> </w:t>
      </w:r>
      <w:r>
        <w:rPr>
          <w:b/>
          <w:bCs/>
        </w:rPr>
        <w:t xml:space="preserve">Progressive Evolution:</w:t>
      </w:r>
      <w:r>
        <w:t xml:space="preserve"> </w:t>
      </w:r>
      <w:r>
        <w:t xml:space="preserve">Begin with TSP/EAA, evolve to qualified providers</w:t>
      </w:r>
      <w:r>
        <w:t xml:space="preserve"> </w:t>
      </w:r>
      <w:r>
        <w:t xml:space="preserve">3.</w:t>
      </w:r>
      <w:r>
        <w:t xml:space="preserve"> </w:t>
      </w:r>
      <w:r>
        <w:rPr>
          <w:b/>
          <w:bCs/>
        </w:rPr>
        <w:t xml:space="preserve">Cross-border Focus:</w:t>
      </w:r>
      <w:r>
        <w:t xml:space="preserve"> </w:t>
      </w:r>
      <w:r>
        <w:t xml:space="preserve">“Borderless data exchange”</w:t>
      </w:r>
      <w:r>
        <w:t xml:space="preserve">, seamless European mobility</w:t>
      </w:r>
      <w:r>
        <w:t xml:space="preserve"> </w:t>
      </w:r>
      <w:r>
        <w:t xml:space="preserve">4.</w:t>
      </w:r>
      <w:r>
        <w:t xml:space="preserve"> </w:t>
      </w:r>
      <w:r>
        <w:rPr>
          <w:b/>
          <w:bCs/>
        </w:rPr>
        <w:t xml:space="preserve">Institutional Role:</w:t>
      </w:r>
      <w:r>
        <w:t xml:space="preserve"> </w:t>
      </w:r>
      <w:r>
        <w:t xml:space="preserve">“Institutions main role is to be authentic source”</w:t>
      </w:r>
      <w:r>
        <w:t xml:space="preserve"> </w:t>
      </w:r>
      <w:r>
        <w:t xml:space="preserve">5.</w:t>
      </w:r>
      <w:r>
        <w:t xml:space="preserve"> </w:t>
      </w:r>
      <w:r>
        <w:rPr>
          <w:b/>
          <w:bCs/>
        </w:rPr>
        <w:t xml:space="preserve">Implementation Realism:</w:t>
      </w:r>
      <w:r>
        <w:t xml:space="preserve"> </w:t>
      </w:r>
      <w:r>
        <w:t xml:space="preserve">“Full EUDIW deployment will take time and funding”</w:t>
      </w:r>
    </w:p>
    <w:p>
      <w:pPr>
        <w:pStyle w:val="BodyText"/>
      </w:pPr>
      <w:r>
        <w:rPr>
          <w:b/>
          <w:bCs/>
        </w:rPr>
        <w:t xml:space="preserve">Consensus Direction:</w:t>
      </w:r>
      <w:r>
        <w:t xml:space="preserve"> </w:t>
      </w:r>
      <w:r>
        <w:t xml:space="preserve">Start with Scenario 2 (non-qualified TSP) for easier implementation, then progress to Scenario 3/4 as Member State infrastructure matures.</w:t>
      </w:r>
    </w:p>
    <w:p>
      <w:r>
        <w:pict>
          <v:rect style="width:0;height:1.5pt" o:hralign="center" o:hrstd="t" o:hr="t"/>
        </w:pict>
      </w:r>
    </w:p>
    <w:bookmarkEnd w:id="73"/>
    <w:bookmarkStart w:id="74" w:name="key-strategic-insights"/>
    <w:p>
      <w:pPr>
        <w:pStyle w:val="Heading6"/>
      </w:pPr>
      <w:r>
        <w:rPr>
          <w:rStyle w:val="SectionNumber"/>
        </w:rPr>
        <w:t xml:space="preserve">2.3.0.0.5.2</w:t>
      </w:r>
      <w:r>
        <w:tab/>
      </w:r>
      <w:r>
        <w:t xml:space="preserve">Key Strategic Insights</w:t>
      </w:r>
    </w:p>
    <w:bookmarkEnd w:id="74"/>
    <w:bookmarkEnd w:id="75"/>
    <w:bookmarkStart w:id="76" w:name="critical-success-factors"/>
    <w:p>
      <w:pPr>
        <w:pStyle w:val="Heading5"/>
      </w:pPr>
      <w:r>
        <w:rPr>
          <w:rStyle w:val="SectionNumber"/>
        </w:rPr>
        <w:t xml:space="preserve">2.3.0.0.6</w:t>
      </w:r>
      <w:r>
        <w:tab/>
      </w:r>
      <w:r>
        <w:rPr>
          <w:b/>
          <w:bCs/>
        </w:rPr>
        <w:t xml:space="preserve">Critical Success Factors</w:t>
      </w:r>
    </w:p>
    <w:p>
      <w:pPr>
        <w:pStyle w:val="Compact"/>
        <w:numPr>
          <w:ilvl w:val="0"/>
          <w:numId w:val="1011"/>
        </w:numPr>
      </w:pPr>
      <w:r>
        <w:rPr>
          <w:b/>
          <w:bCs/>
        </w:rPr>
        <w:t xml:space="preserve">Regulatory clarity</w:t>
      </w:r>
      <w:r>
        <w:t xml:space="preserve"> </w:t>
      </w:r>
      <w:r>
        <w:t xml:space="preserve">is the highest priority concern (30.5% of challenge allocation)</w:t>
      </w:r>
    </w:p>
    <w:p>
      <w:pPr>
        <w:pStyle w:val="Compact"/>
        <w:numPr>
          <w:ilvl w:val="0"/>
          <w:numId w:val="1011"/>
        </w:numPr>
      </w:pPr>
      <w:r>
        <w:rPr>
          <w:b/>
          <w:bCs/>
        </w:rPr>
        <w:t xml:space="preserve">Institutional commitment</w:t>
      </w:r>
      <w:r>
        <w:t xml:space="preserve"> </w:t>
      </w:r>
      <w:r>
        <w:t xml:space="preserve">ranks as most important continuity element</w:t>
      </w:r>
    </w:p>
    <w:p>
      <w:pPr>
        <w:pStyle w:val="Compact"/>
        <w:numPr>
          <w:ilvl w:val="0"/>
          <w:numId w:val="1011"/>
        </w:numPr>
      </w:pPr>
      <w:r>
        <w:rPr>
          <w:b/>
          <w:bCs/>
        </w:rPr>
        <w:t xml:space="preserve">Funding stability</w:t>
      </w:r>
      <w:r>
        <w:t xml:space="preserve"> </w:t>
      </w:r>
      <w:r>
        <w:t xml:space="preserve">essential for 75% of willing participants</w:t>
      </w:r>
    </w:p>
    <w:p>
      <w:pPr>
        <w:pStyle w:val="Compact"/>
        <w:numPr>
          <w:ilvl w:val="0"/>
          <w:numId w:val="1011"/>
        </w:numPr>
      </w:pPr>
      <w:r>
        <w:rPr>
          <w:b/>
          <w:bCs/>
        </w:rPr>
        <w:t xml:space="preserve">Member State readiness</w:t>
      </w:r>
      <w:r>
        <w:t xml:space="preserve"> </w:t>
      </w:r>
      <w:r>
        <w:t xml:space="preserve">is a significant external dependency</w:t>
      </w:r>
    </w:p>
    <w:bookmarkEnd w:id="76"/>
    <w:bookmarkStart w:id="77" w:name="readiness-assessment"/>
    <w:p>
      <w:pPr>
        <w:pStyle w:val="Heading5"/>
      </w:pPr>
      <w:r>
        <w:rPr>
          <w:rStyle w:val="SectionNumber"/>
        </w:rPr>
        <w:t xml:space="preserve">2.3.0.0.7</w:t>
      </w:r>
      <w:r>
        <w:tab/>
      </w:r>
      <w:r>
        <w:rPr>
          <w:b/>
          <w:bCs/>
        </w:rPr>
        <w:t xml:space="preserve">Readiness Assessment</w:t>
      </w:r>
    </w:p>
    <w:p>
      <w:pPr>
        <w:pStyle w:val="Compact"/>
        <w:numPr>
          <w:ilvl w:val="0"/>
          <w:numId w:val="1012"/>
        </w:numPr>
      </w:pPr>
      <w:r>
        <w:rPr>
          <w:b/>
          <w:bCs/>
        </w:rPr>
        <w:t xml:space="preserve">High motivation:</w:t>
      </w:r>
      <w:r>
        <w:t xml:space="preserve"> </w:t>
      </w:r>
      <w:r>
        <w:t xml:space="preserve">65% positive readiness sentiment</w:t>
      </w:r>
    </w:p>
    <w:p>
      <w:pPr>
        <w:pStyle w:val="Compact"/>
        <w:numPr>
          <w:ilvl w:val="0"/>
          <w:numId w:val="1012"/>
        </w:numPr>
      </w:pPr>
      <w:r>
        <w:rPr>
          <w:b/>
          <w:bCs/>
        </w:rPr>
        <w:t xml:space="preserve">Realistic concerns:</w:t>
      </w:r>
      <w:r>
        <w:t xml:space="preserve"> </w:t>
      </w:r>
      <w:r>
        <w:t xml:space="preserve">Well-identified challenges around regulation and resources</w:t>
      </w:r>
    </w:p>
    <w:p>
      <w:pPr>
        <w:pStyle w:val="Compact"/>
        <w:numPr>
          <w:ilvl w:val="0"/>
          <w:numId w:val="1012"/>
        </w:numPr>
      </w:pPr>
      <w:r>
        <w:rPr>
          <w:b/>
          <w:bCs/>
        </w:rPr>
        <w:t xml:space="preserve">Strong continuation intent:</w:t>
      </w:r>
      <w:r>
        <w:t xml:space="preserve"> </w:t>
      </w:r>
      <w:r>
        <w:t xml:space="preserve">75% want to continue with proper support</w:t>
      </w:r>
    </w:p>
    <w:bookmarkEnd w:id="77"/>
    <w:bookmarkStart w:id="78" w:name="strategic-consensus"/>
    <w:p>
      <w:pPr>
        <w:pStyle w:val="Heading5"/>
      </w:pPr>
      <w:r>
        <w:rPr>
          <w:rStyle w:val="SectionNumber"/>
        </w:rPr>
        <w:t xml:space="preserve">2.3.0.0.8</w:t>
      </w:r>
      <w:r>
        <w:tab/>
      </w:r>
      <w:r>
        <w:rPr>
          <w:b/>
          <w:bCs/>
        </w:rPr>
        <w:t xml:space="preserve">Strategic Consensus</w:t>
      </w:r>
    </w:p>
    <w:p>
      <w:pPr>
        <w:pStyle w:val="Compact"/>
        <w:numPr>
          <w:ilvl w:val="0"/>
          <w:numId w:val="1013"/>
        </w:numPr>
      </w:pPr>
      <w:r>
        <w:rPr>
          <w:b/>
          <w:bCs/>
        </w:rPr>
        <w:t xml:space="preserve">Pragmatic approach:</w:t>
      </w:r>
      <w:r>
        <w:t xml:space="preserve"> </w:t>
      </w:r>
      <w:r>
        <w:t xml:space="preserve">Start with Scenario 2, evolve progressively</w:t>
      </w:r>
    </w:p>
    <w:p>
      <w:pPr>
        <w:pStyle w:val="Compact"/>
        <w:numPr>
          <w:ilvl w:val="0"/>
          <w:numId w:val="1013"/>
        </w:numPr>
      </w:pPr>
      <w:r>
        <w:rPr>
          <w:b/>
          <w:bCs/>
        </w:rPr>
        <w:t xml:space="preserve">Institution-centric:</w:t>
      </w:r>
      <w:r>
        <w:t xml:space="preserve"> </w:t>
      </w:r>
      <w:r>
        <w:t xml:space="preserve">Universities and qualification bodies as authentic sources</w:t>
      </w:r>
    </w:p>
    <w:p>
      <w:pPr>
        <w:pStyle w:val="Compact"/>
        <w:numPr>
          <w:ilvl w:val="0"/>
          <w:numId w:val="1013"/>
        </w:numPr>
      </w:pPr>
      <w:r>
        <w:rPr>
          <w:b/>
          <w:bCs/>
        </w:rPr>
        <w:t xml:space="preserve">European vision:</w:t>
      </w:r>
      <w:r>
        <w:t xml:space="preserve"> </w:t>
      </w:r>
      <w:r>
        <w:t xml:space="preserve">Cross-border credential mobility as ultimate goal</w:t>
      </w:r>
    </w:p>
    <w:p>
      <w:pPr>
        <w:pStyle w:val="Compact"/>
        <w:numPr>
          <w:ilvl w:val="0"/>
          <w:numId w:val="1013"/>
        </w:numPr>
      </w:pPr>
      <w:r>
        <w:rPr>
          <w:b/>
          <w:bCs/>
        </w:rPr>
        <w:t xml:space="preserve">Resource-dependent:</w:t>
      </w:r>
      <w:r>
        <w:t xml:space="preserve"> </w:t>
      </w:r>
      <w:r>
        <w:t xml:space="preserve">Success contingent on adequate funding and institutional backing</w:t>
      </w:r>
    </w:p>
    <w:bookmarkEnd w:id="78"/>
    <w:bookmarkStart w:id="81" w:name="implementation-recommendations"/>
    <w:p>
      <w:pPr>
        <w:pStyle w:val="Heading5"/>
      </w:pPr>
      <w:r>
        <w:rPr>
          <w:rStyle w:val="SectionNumber"/>
        </w:rPr>
        <w:t xml:space="preserve">2.3.0.0.9</w:t>
      </w:r>
      <w:r>
        <w:tab/>
      </w:r>
      <w:r>
        <w:rPr>
          <w:b/>
          <w:bCs/>
        </w:rPr>
        <w:t xml:space="preserve">Implementation Recommendations</w:t>
      </w:r>
    </w:p>
    <w:p>
      <w:pPr>
        <w:pStyle w:val="Compact"/>
        <w:numPr>
          <w:ilvl w:val="0"/>
          <w:numId w:val="1014"/>
        </w:numPr>
      </w:pPr>
      <w:r>
        <w:rPr>
          <w:b/>
          <w:bCs/>
        </w:rPr>
        <w:t xml:space="preserve">Address regulatory uncertainty</w:t>
      </w:r>
      <w:r>
        <w:t xml:space="preserve"> </w:t>
      </w:r>
      <w:r>
        <w:t xml:space="preserve">through clearer guidance and timelines</w:t>
      </w:r>
    </w:p>
    <w:p>
      <w:pPr>
        <w:pStyle w:val="Compact"/>
        <w:numPr>
          <w:ilvl w:val="0"/>
          <w:numId w:val="1014"/>
        </w:numPr>
      </w:pPr>
      <w:r>
        <w:rPr>
          <w:b/>
          <w:bCs/>
        </w:rPr>
        <w:t xml:space="preserve">Secure institutional commitment</w:t>
      </w:r>
      <w:r>
        <w:t xml:space="preserve"> </w:t>
      </w:r>
      <w:r>
        <w:t xml:space="preserve">at leadership level before technical deployment</w:t>
      </w:r>
    </w:p>
    <w:p>
      <w:pPr>
        <w:pStyle w:val="Compact"/>
        <w:numPr>
          <w:ilvl w:val="0"/>
          <w:numId w:val="1014"/>
        </w:numPr>
      </w:pPr>
      <w:r>
        <w:rPr>
          <w:b/>
          <w:bCs/>
        </w:rPr>
        <w:t xml:space="preserve">Establish sustainable funding models</w:t>
      </w:r>
      <w:r>
        <w:t xml:space="preserve"> </w:t>
      </w:r>
      <w:r>
        <w:t xml:space="preserve">for post-project continuation</w:t>
      </w:r>
    </w:p>
    <w:p>
      <w:pPr>
        <w:pStyle w:val="Compact"/>
        <w:numPr>
          <w:ilvl w:val="0"/>
          <w:numId w:val="1014"/>
        </w:numPr>
      </w:pPr>
      <w:r>
        <w:rPr>
          <w:b/>
          <w:bCs/>
        </w:rPr>
        <w:t xml:space="preserve">Focus on Scenario 2 implementation</w:t>
      </w:r>
      <w:r>
        <w:t xml:space="preserve"> </w:t>
      </w:r>
      <w:r>
        <w:t xml:space="preserve">as practical starting point</w:t>
      </w:r>
    </w:p>
    <w:p>
      <w:pPr>
        <w:pStyle w:val="Compact"/>
        <w:numPr>
          <w:ilvl w:val="0"/>
          <w:numId w:val="1014"/>
        </w:numPr>
      </w:pPr>
      <w:r>
        <w:rPr>
          <w:b/>
          <w:bCs/>
        </w:rPr>
        <w:t xml:space="preserve">Invest in institutional awareness</w:t>
      </w:r>
      <w:r>
        <w:t xml:space="preserve"> </w:t>
      </w:r>
      <w:r>
        <w:t xml:space="preserve">about eIDAS2 implications and opportunities</w:t>
      </w:r>
    </w:p>
    <w:p>
      <w:r>
        <w:pict>
          <v:rect style="width:0;height:1.5pt" o:hralign="center" o:hrstd="t" o:hr="t"/>
        </w:pict>
      </w:r>
    </w:p>
    <w:bookmarkStart w:id="79" w:name="expected-outcomes-1"/>
    <w:p>
      <w:pPr>
        <w:pStyle w:val="Heading6"/>
      </w:pPr>
      <w:r>
        <w:rPr>
          <w:rStyle w:val="SectionNumber"/>
        </w:rPr>
        <w:t xml:space="preserve">2.3.0.0.9.1</w:t>
      </w:r>
      <w:r>
        <w:tab/>
      </w:r>
      <w:r>
        <w:t xml:space="preserve">Expected Outcomes</w:t>
      </w:r>
    </w:p>
    <w:p>
      <w:pPr>
        <w:pStyle w:val="FirstParagraph"/>
      </w:pPr>
      <w:r>
        <w:t xml:space="preserve">This comprehensive survey provided critical insights for:</w:t>
      </w:r>
    </w:p>
    <w:p>
      <w:pPr>
        <w:pStyle w:val="Compact"/>
        <w:numPr>
          <w:ilvl w:val="0"/>
          <w:numId w:val="1015"/>
        </w:numPr>
      </w:pPr>
      <w:r>
        <w:rPr>
          <w:b/>
          <w:bCs/>
        </w:rPr>
        <w:t xml:space="preserve">Realistic production readiness assessment</w:t>
      </w:r>
      <w:r>
        <w:t xml:space="preserve"> </w:t>
      </w:r>
      <w:r>
        <w:t xml:space="preserve">- 65% positive readiness with clear challenge identification</w:t>
      </w:r>
    </w:p>
    <w:p>
      <w:pPr>
        <w:pStyle w:val="Compact"/>
        <w:numPr>
          <w:ilvl w:val="0"/>
          <w:numId w:val="1015"/>
        </w:numPr>
      </w:pPr>
      <w:r>
        <w:rPr>
          <w:b/>
          <w:bCs/>
        </w:rPr>
        <w:t xml:space="preserve">Internal dynamics understanding</w:t>
      </w:r>
      <w:r>
        <w:t xml:space="preserve"> </w:t>
      </w:r>
      <w:r>
        <w:t xml:space="preserve">- significant awareness gaps requiring institutional education</w:t>
      </w:r>
    </w:p>
    <w:p>
      <w:pPr>
        <w:pStyle w:val="Compact"/>
        <w:numPr>
          <w:ilvl w:val="0"/>
          <w:numId w:val="1015"/>
        </w:numPr>
      </w:pPr>
      <w:r>
        <w:rPr>
          <w:b/>
          <w:bCs/>
        </w:rPr>
        <w:t xml:space="preserve">Post-project sustainability evaluation</w:t>
      </w:r>
      <w:r>
        <w:t xml:space="preserve"> </w:t>
      </w:r>
      <w:r>
        <w:t xml:space="preserve">- 75% continuation willingness dependent on funding and institutional support</w:t>
      </w:r>
    </w:p>
    <w:p>
      <w:pPr>
        <w:pStyle w:val="Compact"/>
        <w:numPr>
          <w:ilvl w:val="0"/>
          <w:numId w:val="1015"/>
        </w:numPr>
      </w:pPr>
      <w:r>
        <w:rPr>
          <w:b/>
          <w:bCs/>
        </w:rPr>
        <w:t xml:space="preserve">Strategic direction consensus</w:t>
      </w:r>
      <w:r>
        <w:t xml:space="preserve"> </w:t>
      </w:r>
      <w:r>
        <w:t xml:space="preserve">- pragmatic Scenario 2 starting point with progressive evolution</w:t>
      </w:r>
    </w:p>
    <w:p>
      <w:pPr>
        <w:pStyle w:val="FirstParagraph"/>
      </w:pPr>
      <w:r>
        <w:t xml:space="preserve">The results directly informed the transition strategy from formal DC4EU project conclusion to sustainable, community-driven continuation of digital credential initiatives across European educational and professional qualification sectors.</w:t>
      </w:r>
    </w:p>
    <w:p>
      <w:r>
        <w:pict>
          <v:rect style="width:0;height:1.5pt" o:hralign="center" o:hrstd="t" o:hr="t"/>
        </w:pict>
      </w:r>
    </w:p>
    <w:bookmarkEnd w:id="79"/>
    <w:bookmarkStart w:id="80" w:name="graphical-overview"/>
    <w:p>
      <w:pPr>
        <w:pStyle w:val="Heading6"/>
      </w:pPr>
      <w:r>
        <w:rPr>
          <w:rStyle w:val="SectionNumber"/>
        </w:rPr>
        <w:t xml:space="preserve">2.3.0.0.9.2</w:t>
      </w:r>
      <w:r>
        <w:tab/>
      </w:r>
      <w:r>
        <w:t xml:space="preserve">Graphical overview</w:t>
      </w:r>
    </w:p>
    <w:tbl>
      <w:tblPr>
        <w:tblStyle w:val="FigureTable"/>
        <w:tblW w:type="auto" w:w="0"/>
        <w:jc w:val="center"/>
        <w:tblLook w:firstRow="0" w:lastRow="0" w:firstColumn="0" w:lastColumn="0"/>
      </w:tblPr>
      <w:tblGrid>
        <w:gridCol w:w="7920"/>
      </w:tblGrid>
      <w:tr>
        <w:tc>
          <w:tcPr/>
          <w:p>
            <w:pPr>
              <w:pStyle w:val="Compact"/>
              <w:jc w:val="center"/>
            </w:pPr>
            <w:r>
              <w:t xml:space="preserve">DC4EU Survey Results</w:t>
            </w:r>
          </w:p>
        </w:tc>
      </w:tr>
    </w:tbl>
    <w:p>
      <w:pPr>
        <w:pStyle w:val="ImageCaption"/>
      </w:pPr>
      <w:r>
        <w:t xml:space="preserve">DC4EU Survey Results</w:t>
      </w:r>
    </w:p>
    <w:p>
      <w:r>
        <w:pict>
          <v:rect style="width:0;height:1.5pt" o:hralign="center" o:hrstd="t" o:hr="t"/>
        </w:pict>
      </w:r>
    </w:p>
    <w:bookmarkEnd w:id="80"/>
    <w:bookmarkEnd w:id="81"/>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DC4EU Work Package 9 (WP9) Survey Analysis</dc:title>
  <dc:creator>DC4EU Project - Work Package 9</dc:creator>
  <cp:keywords/>
  <dcterms:created xsi:type="dcterms:W3CDTF">2025-07-30T14:32:32Z</dcterms:created>
  <dcterms:modified xsi:type="dcterms:W3CDTF">2025-07-30T14:32:32Z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Comprehensive analysis of the DC4EU Warsaw workshop survey conducted by Work Package 9, focusing on strategic consultation for post-project sustainability and eIDAS2 preparation. This document includes the complete survey framework, methodology, questions, and detailed results analysis from the 27 June 2025 Warsaw workshop with 26 piloting agents and consortium members.</vt:lpwstr>
  </property>
  <property fmtid="{D5CDD505-2E9C-101B-9397-08002B2CF9AE}" pid="3" name="date">
    <vt:lpwstr>2025-07-30</vt:lpwstr>
  </property>
</Properties>
</file>