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B98C" w14:textId="77777777" w:rsidR="00346C29" w:rsidRDefault="00945CC6">
      <w:pPr>
        <w:pStyle w:val="Title"/>
        <w:widowControl w:val="0"/>
      </w:pPr>
      <w:bookmarkStart w:id="0" w:name="_ygtycfuu2peg" w:colFirst="0" w:colLast="0"/>
      <w:bookmarkEnd w:id="0"/>
      <w:r>
        <w:t xml:space="preserve">Team 012: </w:t>
      </w:r>
      <w:proofErr w:type="spellStart"/>
      <w:r>
        <w:t>BubbleWarn</w:t>
      </w:r>
      <w:proofErr w:type="spellEnd"/>
    </w:p>
    <w:p w14:paraId="5F130B58" w14:textId="77777777" w:rsidR="00346C29" w:rsidRDefault="00945CC6">
      <w:pPr>
        <w:pStyle w:val="Subtitle"/>
        <w:widowControl w:val="0"/>
      </w:pPr>
      <w:bookmarkStart w:id="1" w:name="_cpt0cpxi1hpn" w:colFirst="0" w:colLast="0"/>
      <w:bookmarkEnd w:id="1"/>
      <w:r>
        <w:t xml:space="preserve">Derek Cheng, Mahaveer Jain, Micah Jeng, Peter Hernandez, Victor </w:t>
      </w:r>
      <w:proofErr w:type="spellStart"/>
      <w:r>
        <w:t>Cerabone</w:t>
      </w:r>
      <w:proofErr w:type="spellEnd"/>
    </w:p>
    <w:p w14:paraId="78A726DA" w14:textId="77777777" w:rsidR="00346C29" w:rsidRDefault="00346C29">
      <w:pPr>
        <w:spacing w:line="240" w:lineRule="auto"/>
        <w:jc w:val="both"/>
      </w:pPr>
    </w:p>
    <w:p w14:paraId="3F8A6B03" w14:textId="77777777" w:rsidR="00346C29" w:rsidRDefault="00945CC6">
      <w:pPr>
        <w:pStyle w:val="Heading1"/>
        <w:jc w:val="both"/>
      </w:pPr>
      <w:bookmarkStart w:id="2" w:name="_jyxuwj8ovzfo" w:colFirst="0" w:colLast="0"/>
      <w:bookmarkEnd w:id="2"/>
      <w:r>
        <w:t>1. Introduction</w:t>
      </w:r>
    </w:p>
    <w:p w14:paraId="3C3828A2" w14:textId="77777777" w:rsidR="00346C29" w:rsidRDefault="00945CC6">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Asset-price bubbles are periods of time when the value of an asset increases dramatically and is followed by a comparable dramatic decrease in value. Housing market bubbles </w:t>
      </w:r>
      <w:proofErr w:type="gramStart"/>
      <w:r>
        <w:rPr>
          <w:rFonts w:ascii="Times New Roman" w:eastAsia="Times New Roman" w:hAnsi="Times New Roman" w:cs="Times New Roman"/>
        </w:rPr>
        <w:t>in particular have</w:t>
      </w:r>
      <w:proofErr w:type="gramEnd"/>
      <w:r>
        <w:rPr>
          <w:rFonts w:ascii="Times New Roman" w:eastAsia="Times New Roman" w:hAnsi="Times New Roman" w:cs="Times New Roman"/>
        </w:rPr>
        <w:t xml:space="preserve"> a large impact on the economy and tend to have longer lasting ef</w:t>
      </w:r>
      <w:r>
        <w:rPr>
          <w:rFonts w:ascii="Times New Roman" w:eastAsia="Times New Roman" w:hAnsi="Times New Roman" w:cs="Times New Roman"/>
        </w:rPr>
        <w:t>fects than other types of bubbles. Since the 2008 housing market crash, there have been economic debates over the potential of a similar bubble in the United States, however no clear data-driven warning system has been presented on the subject matter to re</w:t>
      </w:r>
      <w:r>
        <w:rPr>
          <w:rFonts w:ascii="Times New Roman" w:eastAsia="Times New Roman" w:hAnsi="Times New Roman" w:cs="Times New Roman"/>
        </w:rPr>
        <w:t>inforce these claims. According to Hans Lind (2008), an indicator system would be a set of characteristics such that if they are at hand during a period of quickly rising prices, then it increases the probability that prices will fall dramatically soon [1]</w:t>
      </w:r>
      <w:r>
        <w:rPr>
          <w:rFonts w:ascii="Times New Roman" w:eastAsia="Times New Roman" w:hAnsi="Times New Roman" w:cs="Times New Roman"/>
        </w:rPr>
        <w:t>. Dean Baker (2006) found that measuring the change in housing prices through the House Price Index (HPI) gave strong evidence of a bubble through the mid-1990s</w:t>
      </w:r>
      <w:r>
        <w:rPr>
          <w:rFonts w:ascii="Times New Roman" w:eastAsia="Times New Roman" w:hAnsi="Times New Roman" w:cs="Times New Roman"/>
          <w:color w:val="FF0000"/>
        </w:rPr>
        <w:t xml:space="preserve"> </w:t>
      </w:r>
      <w:r>
        <w:rPr>
          <w:rFonts w:ascii="Times New Roman" w:eastAsia="Times New Roman" w:hAnsi="Times New Roman" w:cs="Times New Roman"/>
        </w:rPr>
        <w:t>[2]</w:t>
      </w:r>
      <w:r>
        <w:rPr>
          <w:rFonts w:ascii="Times New Roman" w:eastAsia="Times New Roman" w:hAnsi="Times New Roman" w:cs="Times New Roman"/>
          <w:color w:val="333333"/>
        </w:rPr>
        <w:t>.</w:t>
      </w:r>
      <w:r>
        <w:rPr>
          <w:rFonts w:ascii="Times New Roman" w:eastAsia="Times New Roman" w:hAnsi="Times New Roman" w:cs="Times New Roman"/>
          <w:b/>
          <w:color w:val="333333"/>
        </w:rPr>
        <w:t xml:space="preserve"> </w:t>
      </w:r>
      <w:r>
        <w:rPr>
          <w:rFonts w:ascii="Times New Roman" w:eastAsia="Times New Roman" w:hAnsi="Times New Roman" w:cs="Times New Roman"/>
        </w:rPr>
        <w:t xml:space="preserve">Ole Martin </w:t>
      </w:r>
      <w:proofErr w:type="spellStart"/>
      <w:r>
        <w:rPr>
          <w:rFonts w:ascii="Times New Roman" w:eastAsia="Times New Roman" w:hAnsi="Times New Roman" w:cs="Times New Roman"/>
        </w:rPr>
        <w:t>Eidjord</w:t>
      </w:r>
      <w:proofErr w:type="spellEnd"/>
      <w:r>
        <w:rPr>
          <w:rFonts w:ascii="Times New Roman" w:eastAsia="Times New Roman" w:hAnsi="Times New Roman" w:cs="Times New Roman"/>
        </w:rPr>
        <w:t xml:space="preserve"> et al (2018) define HPI through a recursive regression analysis of sele</w:t>
      </w:r>
      <w:r>
        <w:rPr>
          <w:rFonts w:ascii="Times New Roman" w:eastAsia="Times New Roman" w:hAnsi="Times New Roman" w:cs="Times New Roman"/>
        </w:rPr>
        <w:t>ct indicators [3]</w:t>
      </w:r>
      <w:r>
        <w:rPr>
          <w:rFonts w:ascii="Times New Roman" w:eastAsia="Times New Roman" w:hAnsi="Times New Roman" w:cs="Times New Roman"/>
          <w:color w:val="333333"/>
        </w:rPr>
        <w:t xml:space="preserve">. </w:t>
      </w:r>
      <w:r>
        <w:rPr>
          <w:rFonts w:ascii="Times New Roman" w:eastAsia="Times New Roman" w:hAnsi="Times New Roman" w:cs="Times New Roman"/>
        </w:rPr>
        <w:t xml:space="preserve">The idea behind this project is to leverage common indicators during previous bubble periods and develop a bubble-warning system for the housing market assuming data on the identified indicators is available. </w:t>
      </w:r>
    </w:p>
    <w:p w14:paraId="517BA0D3" w14:textId="77777777" w:rsidR="00346C29" w:rsidRDefault="00346C29">
      <w:pPr>
        <w:spacing w:line="240" w:lineRule="auto"/>
        <w:jc w:val="both"/>
        <w:rPr>
          <w:rFonts w:ascii="Times New Roman" w:eastAsia="Times New Roman" w:hAnsi="Times New Roman" w:cs="Times New Roman"/>
          <w:sz w:val="10"/>
          <w:szCs w:val="10"/>
        </w:rPr>
      </w:pPr>
    </w:p>
    <w:p w14:paraId="0ED58D8E" w14:textId="77777777" w:rsidR="00346C29" w:rsidRDefault="00945CC6">
      <w:pPr>
        <w:keepNext/>
        <w:keepLines/>
        <w:widowControl w:val="0"/>
        <w:spacing w:line="240" w:lineRule="auto"/>
        <w:jc w:val="both"/>
        <w:rPr>
          <w:rFonts w:ascii="Times New Roman" w:eastAsia="Times New Roman" w:hAnsi="Times New Roman" w:cs="Times New Roman"/>
          <w:strike/>
          <w:highlight w:val="white"/>
        </w:rPr>
      </w:pPr>
      <w:r>
        <w:rPr>
          <w:rFonts w:ascii="Times New Roman" w:eastAsia="Times New Roman" w:hAnsi="Times New Roman" w:cs="Times New Roman"/>
        </w:rPr>
        <w:t>Along with house market bu</w:t>
      </w:r>
      <w:r>
        <w:rPr>
          <w:rFonts w:ascii="Times New Roman" w:eastAsia="Times New Roman" w:hAnsi="Times New Roman" w:cs="Times New Roman"/>
        </w:rPr>
        <w:t xml:space="preserve">bble indications, it is also important to examine housing affordability to better understand the housing market. The index reflects not only the imbalance of supply and demand but can be tied to poor infrastructure planning, interest rate, and tax policy. </w:t>
      </w:r>
      <w:r>
        <w:rPr>
          <w:rFonts w:ascii="Times New Roman" w:eastAsia="Times New Roman" w:hAnsi="Times New Roman" w:cs="Times New Roman"/>
        </w:rPr>
        <w:t>Alex Lee (2020) found that the fear of missing out and the potential further rise in price can cause middle class families to take excessive risk and overextend their financial capacity [4]. Aaron Hedlund (2019) found that the rent-to-income ratio has grow</w:t>
      </w:r>
      <w:r>
        <w:rPr>
          <w:rFonts w:ascii="Times New Roman" w:eastAsia="Times New Roman" w:hAnsi="Times New Roman" w:cs="Times New Roman"/>
        </w:rPr>
        <w:t>n from 25% to over 28% in the last decade</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[5]. The disproportionality between the increase in income and property prices coupled with any change in policy, supply chain and economic environment can lead to higher risk of default on a large scale which can </w:t>
      </w:r>
      <w:r>
        <w:rPr>
          <w:rFonts w:ascii="Times New Roman" w:eastAsia="Times New Roman" w:hAnsi="Times New Roman" w:cs="Times New Roman"/>
        </w:rPr>
        <w:t>be the source of the next bubble.</w:t>
      </w:r>
    </w:p>
    <w:p w14:paraId="31A43E54" w14:textId="77777777" w:rsidR="00346C29" w:rsidRDefault="00346C29">
      <w:pPr>
        <w:spacing w:line="240" w:lineRule="auto"/>
        <w:jc w:val="both"/>
        <w:rPr>
          <w:rFonts w:ascii="Times New Roman" w:eastAsia="Times New Roman" w:hAnsi="Times New Roman" w:cs="Times New Roman"/>
          <w:strike/>
          <w:sz w:val="10"/>
          <w:szCs w:val="10"/>
          <w:highlight w:val="white"/>
        </w:rPr>
      </w:pPr>
    </w:p>
    <w:p w14:paraId="04F7E9C5" w14:textId="77777777" w:rsidR="00346C29" w:rsidRDefault="00945CC6">
      <w:pPr>
        <w:pStyle w:val="Heading1"/>
        <w:jc w:val="both"/>
      </w:pPr>
      <w:bookmarkStart w:id="3" w:name="_jo8pxo7sv2gy" w:colFirst="0" w:colLast="0"/>
      <w:bookmarkEnd w:id="3"/>
      <w:r>
        <w:t>2. Problem Definition</w:t>
      </w:r>
    </w:p>
    <w:p w14:paraId="35CFE875" w14:textId="77777777" w:rsidR="00346C29" w:rsidRDefault="00945CC6">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bubble can never be explained by a single factor but rather is the result of a complex culmination of factors [1]. In this paper, we are proposing a bubble warning system that aims to alleviate the</w:t>
      </w:r>
      <w:r>
        <w:rPr>
          <w:rFonts w:ascii="Times New Roman" w:eastAsia="Times New Roman" w:hAnsi="Times New Roman" w:cs="Times New Roman"/>
          <w:highlight w:val="white"/>
        </w:rPr>
        <w:t>se debates through a data-driven analysis of the indicators and presents a speculative definition of a bubble-period. The housing affordability index will further provide insight into how it varies for a specific region.</w:t>
      </w:r>
    </w:p>
    <w:p w14:paraId="0415ABB2" w14:textId="77777777" w:rsidR="00346C29" w:rsidRDefault="00346C29">
      <w:pPr>
        <w:spacing w:line="240" w:lineRule="auto"/>
        <w:jc w:val="both"/>
        <w:rPr>
          <w:rFonts w:ascii="Times New Roman" w:eastAsia="Times New Roman" w:hAnsi="Times New Roman" w:cs="Times New Roman"/>
          <w:sz w:val="10"/>
          <w:szCs w:val="10"/>
          <w:highlight w:val="white"/>
        </w:rPr>
      </w:pPr>
    </w:p>
    <w:p w14:paraId="4E688150" w14:textId="77777777" w:rsidR="00346C29" w:rsidRDefault="00945CC6">
      <w:pPr>
        <w:pStyle w:val="Heading2"/>
        <w:keepNext w:val="0"/>
        <w:keepLines w:val="0"/>
        <w:ind w:firstLine="720"/>
        <w:jc w:val="both"/>
      </w:pPr>
      <w:bookmarkStart w:id="4" w:name="_1vhhe4rq0go2" w:colFirst="0" w:colLast="0"/>
      <w:bookmarkEnd w:id="4"/>
      <w:r>
        <w:t>2.1 Bubble Definition</w:t>
      </w:r>
    </w:p>
    <w:p w14:paraId="1A35B601" w14:textId="0F694CC7" w:rsidR="00346C29" w:rsidRDefault="00945CC6">
      <w:pPr>
        <w:widowControl w:val="0"/>
        <w:pBdr>
          <w:bottom w:val="none" w:sz="0" w:space="8"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Any definition of a bubble has edge cases</w:t>
      </w:r>
      <w:r w:rsidR="006F438E">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one must </w:t>
      </w:r>
      <w:proofErr w:type="gramStart"/>
      <w:r>
        <w:rPr>
          <w:rFonts w:ascii="Times New Roman" w:eastAsia="Times New Roman" w:hAnsi="Times New Roman" w:cs="Times New Roman"/>
          <w:highlight w:val="white"/>
        </w:rPr>
        <w:t>take into account</w:t>
      </w:r>
      <w:proofErr w:type="gramEnd"/>
      <w:r>
        <w:rPr>
          <w:rFonts w:ascii="Times New Roman" w:eastAsia="Times New Roman" w:hAnsi="Times New Roman" w:cs="Times New Roman"/>
          <w:highlight w:val="white"/>
        </w:rPr>
        <w:t xml:space="preserve"> the relation between factors as well as the granularity of the analysis. This paper defines an asset-price bubble in such a way that it focuses only on the specific development of pri</w:t>
      </w:r>
      <w:r>
        <w:rPr>
          <w:rFonts w:ascii="Times New Roman" w:eastAsia="Times New Roman" w:hAnsi="Times New Roman" w:cs="Times New Roman"/>
          <w:highlight w:val="white"/>
        </w:rPr>
        <w:t xml:space="preserve">ces as denoted by the HPI and not on why the price developed in this way. Formally, a period of time will be regarded as a bubble if the HPI grows at least 50% during a 3 </w:t>
      </w:r>
      <w:proofErr w:type="gramStart"/>
      <w:r>
        <w:rPr>
          <w:rFonts w:ascii="Times New Roman" w:eastAsia="Times New Roman" w:hAnsi="Times New Roman" w:cs="Times New Roman"/>
          <w:highlight w:val="white"/>
        </w:rPr>
        <w:t>year</w:t>
      </w:r>
      <w:r w:rsidR="006F438E">
        <w:rPr>
          <w:rFonts w:ascii="Times New Roman" w:eastAsia="Times New Roman" w:hAnsi="Times New Roman" w:cs="Times New Roman"/>
          <w:highlight w:val="white"/>
        </w:rPr>
        <w:t>s</w:t>
      </w:r>
      <w:proofErr w:type="gramEnd"/>
      <w:r>
        <w:rPr>
          <w:rFonts w:ascii="Times New Roman" w:eastAsia="Times New Roman" w:hAnsi="Times New Roman" w:cs="Times New Roman"/>
          <w:highlight w:val="white"/>
        </w:rPr>
        <w:t xml:space="preserve"> period or at least doubles within a 5 year period [1].</w:t>
      </w:r>
    </w:p>
    <w:p w14:paraId="1993F2F9" w14:textId="77777777" w:rsidR="00346C29" w:rsidRDefault="00346C29">
      <w:pPr>
        <w:widowControl w:val="0"/>
        <w:pBdr>
          <w:bottom w:val="none" w:sz="0" w:space="8" w:color="auto"/>
        </w:pBdr>
        <w:spacing w:line="240" w:lineRule="auto"/>
        <w:jc w:val="both"/>
        <w:rPr>
          <w:rFonts w:ascii="Times New Roman" w:eastAsia="Times New Roman" w:hAnsi="Times New Roman" w:cs="Times New Roman"/>
          <w:sz w:val="10"/>
          <w:szCs w:val="10"/>
          <w:highlight w:val="white"/>
        </w:rPr>
      </w:pPr>
    </w:p>
    <w:p w14:paraId="5BDCED2F" w14:textId="77777777" w:rsidR="00346C29" w:rsidRDefault="00945CC6">
      <w:pPr>
        <w:pStyle w:val="Heading2"/>
        <w:widowControl w:val="0"/>
        <w:pBdr>
          <w:bottom w:val="none" w:sz="0" w:space="8" w:color="auto"/>
        </w:pBdr>
        <w:ind w:firstLine="720"/>
        <w:jc w:val="both"/>
      </w:pPr>
      <w:bookmarkStart w:id="5" w:name="_yioe4kkv7e8c" w:colFirst="0" w:colLast="0"/>
      <w:bookmarkEnd w:id="5"/>
      <w:r>
        <w:t>2.2 Housing Affordabilit</w:t>
      </w:r>
      <w:r>
        <w:t>y</w:t>
      </w:r>
    </w:p>
    <w:p w14:paraId="4583FCCA" w14:textId="77777777" w:rsidR="00346C29" w:rsidRDefault="00945CC6">
      <w:pPr>
        <w:pBdr>
          <w:bottom w:val="none" w:sz="0" w:space="8" w:color="auto"/>
        </w:pBdr>
        <w:spacing w:line="240" w:lineRule="auto"/>
        <w:jc w:val="both"/>
      </w:pPr>
      <w:r>
        <w:rPr>
          <w:rFonts w:ascii="Times New Roman" w:eastAsia="Times New Roman" w:hAnsi="Times New Roman" w:cs="Times New Roman"/>
          <w:highlight w:val="white"/>
        </w:rPr>
        <w:t>Typically, housing affordability is derived as a ratio of housing price with income or ratio of mortgage payment with income as defined by Michael E. Stone [6]. This definition does not consider other factors such as down payment and therefore does not r</w:t>
      </w:r>
      <w:r>
        <w:rPr>
          <w:rFonts w:ascii="Times New Roman" w:eastAsia="Times New Roman" w:hAnsi="Times New Roman" w:cs="Times New Roman"/>
          <w:highlight w:val="white"/>
        </w:rPr>
        <w:t>eflect the true cost of owning the house. We will examine various approaches to define affordability using available data and compare across different regions.</w:t>
      </w:r>
    </w:p>
    <w:p w14:paraId="7385AD9E" w14:textId="77777777" w:rsidR="00346C29" w:rsidRDefault="00945CC6">
      <w:pPr>
        <w:pStyle w:val="Heading1"/>
        <w:jc w:val="both"/>
      </w:pPr>
      <w:bookmarkStart w:id="6" w:name="_mmod6lcrl6w2" w:colFirst="0" w:colLast="0"/>
      <w:bookmarkEnd w:id="6"/>
      <w:r>
        <w:t>3. Proposed Method</w:t>
      </w:r>
    </w:p>
    <w:p w14:paraId="6A62773D" w14:textId="77777777" w:rsidR="00346C29" w:rsidRDefault="00945CC6">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One of the metrics used to define a bubble is the S&amp;P CoreLogic Case-Shiller </w:t>
      </w:r>
      <w:r>
        <w:rPr>
          <w:rFonts w:ascii="Times New Roman" w:eastAsia="Times New Roman" w:hAnsi="Times New Roman" w:cs="Times New Roman"/>
        </w:rPr>
        <w:t xml:space="preserve">National Home Price Index that measures the change in sale price of </w:t>
      </w:r>
      <w:proofErr w:type="gramStart"/>
      <w:r>
        <w:rPr>
          <w:rFonts w:ascii="Times New Roman" w:eastAsia="Times New Roman" w:hAnsi="Times New Roman" w:cs="Times New Roman"/>
        </w:rPr>
        <w:t>single family</w:t>
      </w:r>
      <w:proofErr w:type="gramEnd"/>
      <w:r>
        <w:rPr>
          <w:rFonts w:ascii="Times New Roman" w:eastAsia="Times New Roman" w:hAnsi="Times New Roman" w:cs="Times New Roman"/>
        </w:rPr>
        <w:t xml:space="preserve"> homes across the United States [7]. The metric serves as a barometer of the U.S. housing market and the broader economy by tracking the purchase price and resale price of hom</w:t>
      </w:r>
      <w:r>
        <w:rPr>
          <w:rFonts w:ascii="Times New Roman" w:eastAsia="Times New Roman" w:hAnsi="Times New Roman" w:cs="Times New Roman"/>
        </w:rPr>
        <w:t xml:space="preserve">es. The arrival of the mobile era and the widespread use of search engines enables a new way of estimating the HPI with the inclusion of the Google search volume index, (GSVI). The GSVI for a specified term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capture/measure the general public int</w:t>
      </w:r>
      <w:r>
        <w:rPr>
          <w:rFonts w:ascii="Times New Roman" w:eastAsia="Times New Roman" w:hAnsi="Times New Roman" w:cs="Times New Roman"/>
        </w:rPr>
        <w:t xml:space="preserve">erest for a given topic. Wu and Brynjolfsson (2015) found that search queries can reveal the current housing trend and are well suited for predicting the </w:t>
      </w:r>
      <w:r>
        <w:rPr>
          <w:rFonts w:ascii="Times New Roman" w:eastAsia="Times New Roman" w:hAnsi="Times New Roman" w:cs="Times New Roman"/>
        </w:rPr>
        <w:lastRenderedPageBreak/>
        <w:t>future unit sales of housing [8]. Since Google search data became available in 2004 our analysis windo</w:t>
      </w:r>
      <w:r>
        <w:rPr>
          <w:rFonts w:ascii="Times New Roman" w:eastAsia="Times New Roman" w:hAnsi="Times New Roman" w:cs="Times New Roman"/>
        </w:rPr>
        <w:t>w will begin then and all other outstanding data sources will be filtered to exclude data prior to 2004. Our HPI regression analysis will be a complex culmination of the following factors: unemployment rate (UR), population (PO), interest rate (IR), number</w:t>
      </w:r>
      <w:r>
        <w:rPr>
          <w:rFonts w:ascii="Times New Roman" w:eastAsia="Times New Roman" w:hAnsi="Times New Roman" w:cs="Times New Roman"/>
        </w:rPr>
        <w:t xml:space="preserve"> of </w:t>
      </w:r>
      <w:proofErr w:type="gramStart"/>
      <w:r>
        <w:rPr>
          <w:rFonts w:ascii="Times New Roman" w:eastAsia="Times New Roman" w:hAnsi="Times New Roman" w:cs="Times New Roman"/>
        </w:rPr>
        <w:t>housing</w:t>
      </w:r>
      <w:proofErr w:type="gramEnd"/>
      <w:r>
        <w:rPr>
          <w:rFonts w:ascii="Times New Roman" w:eastAsia="Times New Roman" w:hAnsi="Times New Roman" w:cs="Times New Roman"/>
        </w:rPr>
        <w:t xml:space="preserve"> permits authorized (HPA), and the Google Search Value Index (GSVI) for the search terms. </w:t>
      </w:r>
    </w:p>
    <w:p w14:paraId="5E854E47" w14:textId="77777777" w:rsidR="00346C29" w:rsidRDefault="00346C29">
      <w:pPr>
        <w:pStyle w:val="Heading3"/>
        <w:jc w:val="both"/>
        <w:rPr>
          <w:sz w:val="10"/>
          <w:szCs w:val="10"/>
        </w:rPr>
      </w:pPr>
      <w:bookmarkStart w:id="7" w:name="_w2kmkejik6xd" w:colFirst="0" w:colLast="0"/>
      <w:bookmarkEnd w:id="7"/>
    </w:p>
    <w:p w14:paraId="3B18E1F2" w14:textId="77777777" w:rsidR="00346C29" w:rsidRDefault="00945CC6">
      <w:pPr>
        <w:pStyle w:val="Heading2"/>
        <w:ind w:left="720"/>
        <w:jc w:val="both"/>
      </w:pPr>
      <w:bookmarkStart w:id="8" w:name="_8vdpvmj1ppk2" w:colFirst="0" w:colLast="0"/>
      <w:bookmarkEnd w:id="8"/>
      <w:r>
        <w:t>3.1 Bubble Identification and Validation</w:t>
      </w:r>
    </w:p>
    <w:p w14:paraId="44A0C6D2" w14:textId="77777777" w:rsidR="00346C29" w:rsidRDefault="00945CC6">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Serving as a comparable metric, we juxtapose our bubble identification system output to the 2006/2007 housing market crisis of the United States. Moreover, in accordance with Ole M. </w:t>
      </w:r>
      <w:proofErr w:type="spellStart"/>
      <w:r>
        <w:rPr>
          <w:rFonts w:ascii="Times New Roman" w:eastAsia="Times New Roman" w:hAnsi="Times New Roman" w:cs="Times New Roman"/>
        </w:rPr>
        <w:t>Eidfjord</w:t>
      </w:r>
      <w:proofErr w:type="spellEnd"/>
      <w:r>
        <w:rPr>
          <w:rFonts w:ascii="Times New Roman" w:eastAsia="Times New Roman" w:hAnsi="Times New Roman" w:cs="Times New Roman"/>
        </w:rPr>
        <w:t xml:space="preserve"> (2018)’s analysis, we identify a set of benchmark states as an in</w:t>
      </w:r>
      <w:r>
        <w:rPr>
          <w:rFonts w:ascii="Times New Roman" w:eastAsia="Times New Roman" w:hAnsi="Times New Roman" w:cs="Times New Roman"/>
        </w:rPr>
        <w:t>-sample bubble identification test. Namely, Arizona, California, Florida, Maryland, Massachusetts, Nevada, New Hampshire, New Jersey, and Rhode Island serve as strong bubble states due to their large appreciation of HPI in 2006 and depreciation in 2007. Me</w:t>
      </w:r>
      <w:r>
        <w:rPr>
          <w:rFonts w:ascii="Times New Roman" w:eastAsia="Times New Roman" w:hAnsi="Times New Roman" w:cs="Times New Roman"/>
        </w:rPr>
        <w:t xml:space="preserve">anwhile the following states are considered weak bubble states: Alabama, Arkansas, Indiana, Iowa, Kansas, Nebraska and Oklahoma according to Lynch, Sharon (2008) due to the lack of strong depreciation of HPI at the end of the bubble in 2007 [9]. This test </w:t>
      </w:r>
      <w:r>
        <w:rPr>
          <w:rFonts w:ascii="Times New Roman" w:eastAsia="Times New Roman" w:hAnsi="Times New Roman" w:cs="Times New Roman"/>
        </w:rPr>
        <w:t xml:space="preserve">will serve as an effectiveness test of our bubble identification system. </w:t>
      </w:r>
    </w:p>
    <w:p w14:paraId="66F8522F" w14:textId="77777777" w:rsidR="00346C29" w:rsidRDefault="00346C29">
      <w:pPr>
        <w:spacing w:line="240" w:lineRule="auto"/>
        <w:jc w:val="both"/>
        <w:rPr>
          <w:rFonts w:ascii="Times New Roman" w:eastAsia="Times New Roman" w:hAnsi="Times New Roman" w:cs="Times New Roman"/>
          <w:sz w:val="10"/>
          <w:szCs w:val="10"/>
        </w:rPr>
      </w:pPr>
    </w:p>
    <w:p w14:paraId="5F75C47E" w14:textId="77777777" w:rsidR="00346C29" w:rsidRDefault="00945CC6">
      <w:pPr>
        <w:pStyle w:val="Heading2"/>
        <w:keepNext w:val="0"/>
        <w:widowControl w:val="0"/>
        <w:ind w:firstLine="720"/>
        <w:jc w:val="both"/>
      </w:pPr>
      <w:bookmarkStart w:id="9" w:name="_c70srrag8qx6" w:colFirst="0" w:colLast="0"/>
      <w:bookmarkEnd w:id="9"/>
      <w:r>
        <w:t>3.2 Regression Analysis of HPI</w:t>
      </w:r>
    </w:p>
    <w:p w14:paraId="43FFF36F" w14:textId="77777777" w:rsidR="00346C29" w:rsidRDefault="00945CC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define the bubble using time-series data, we will refresh the housing price index using the linear regression and Error Correction Model (ECM). We </w:t>
      </w:r>
      <w:r>
        <w:rPr>
          <w:rFonts w:ascii="Times New Roman" w:eastAsia="Times New Roman" w:hAnsi="Times New Roman" w:cs="Times New Roman"/>
        </w:rPr>
        <w:t>begin with a linear regression of the HPI denoted below as Eq (1).</w:t>
      </w:r>
    </w:p>
    <w:p w14:paraId="4D2AC51C" w14:textId="77777777" w:rsidR="00346C29" w:rsidRDefault="00346C29">
      <w:pPr>
        <w:widowControl w:val="0"/>
        <w:spacing w:line="240" w:lineRule="auto"/>
        <w:jc w:val="both"/>
        <w:rPr>
          <w:rFonts w:ascii="Times New Roman" w:eastAsia="Times New Roman" w:hAnsi="Times New Roman" w:cs="Times New Roman"/>
          <w:sz w:val="10"/>
          <w:szCs w:val="10"/>
        </w:rPr>
      </w:pPr>
    </w:p>
    <w:p w14:paraId="7CD8B090" w14:textId="77777777" w:rsidR="00346C29" w:rsidRDefault="00945CC6">
      <w:pPr>
        <w:widowControl w:val="0"/>
        <w:spacing w:line="240" w:lineRule="auto"/>
        <w:jc w:val="right"/>
        <w:rPr>
          <w:rFonts w:ascii="Times New Roman" w:eastAsia="Times New Roman" w:hAnsi="Times New Roman" w:cs="Times New Roman"/>
        </w:rPr>
      </w:pPr>
      <m:oMath>
        <m:r>
          <w:rPr>
            <w:rFonts w:ascii="Times New Roman" w:eastAsia="Times New Roman" w:hAnsi="Times New Roman" w:cs="Times New Roman"/>
          </w:rPr>
          <m:t>HP</m:t>
        </m:r>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s</m:t>
            </m:r>
            <m:r>
              <w:rPr>
                <w:rFonts w:ascii="Times New Roman" w:eastAsia="Times New Roman" w:hAnsi="Times New Roman" w:cs="Times New Roman"/>
              </w:rPr>
              <m:t xml:space="preserve">, </m:t>
            </m:r>
            <m:r>
              <w:rPr>
                <w:rFonts w:ascii="Times New Roman" w:eastAsia="Times New Roman" w:hAnsi="Times New Roman" w:cs="Times New Roman"/>
              </w:rPr>
              <m:t>t</m:t>
            </m:r>
          </m:sub>
        </m:sSub>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1</m:t>
            </m:r>
          </m:sub>
        </m:sSub>
        <m:r>
          <w:rPr>
            <w:rFonts w:ascii="Times New Roman" w:eastAsia="Times New Roman" w:hAnsi="Times New Roman" w:cs="Times New Roman"/>
          </w:rPr>
          <m:t>HP</m:t>
        </m:r>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s</m:t>
            </m:r>
            <m:r>
              <w:rPr>
                <w:rFonts w:ascii="Times New Roman" w:eastAsia="Times New Roman" w:hAnsi="Times New Roman" w:cs="Times New Roman"/>
              </w:rPr>
              <m:t xml:space="preserve">, </m:t>
            </m:r>
            <m:r>
              <w:rPr>
                <w:rFonts w:ascii="Times New Roman" w:eastAsia="Times New Roman" w:hAnsi="Times New Roman" w:cs="Times New Roman"/>
              </w:rPr>
              <m:t>t</m:t>
            </m:r>
            <m:r>
              <w:rPr>
                <w:rFonts w:ascii="Times New Roman" w:eastAsia="Times New Roman" w:hAnsi="Times New Roman" w:cs="Times New Roman"/>
              </w:rPr>
              <m:t>-1</m:t>
            </m:r>
          </m:sub>
        </m:sSub>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2</m:t>
            </m:r>
          </m:sub>
        </m:sSub>
        <m:r>
          <w:rPr>
            <w:rFonts w:ascii="Times New Roman" w:eastAsia="Times New Roman" w:hAnsi="Times New Roman" w:cs="Times New Roman"/>
          </w:rPr>
          <m:t>U</m:t>
        </m:r>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s</m:t>
            </m:r>
            <m:r>
              <w:rPr>
                <w:rFonts w:ascii="Times New Roman" w:eastAsia="Times New Roman" w:hAnsi="Times New Roman" w:cs="Times New Roman"/>
              </w:rPr>
              <m:t xml:space="preserve">, </m:t>
            </m:r>
            <m:r>
              <w:rPr>
                <w:rFonts w:ascii="Times New Roman" w:eastAsia="Times New Roman" w:hAnsi="Times New Roman" w:cs="Times New Roman"/>
              </w:rPr>
              <m:t>t</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3</m:t>
            </m:r>
          </m:sub>
        </m:sSub>
        <m:r>
          <w:rPr>
            <w:rFonts w:ascii="Times New Roman" w:eastAsia="Times New Roman" w:hAnsi="Times New Roman" w:cs="Times New Roman"/>
          </w:rPr>
          <m:t>P</m:t>
        </m:r>
        <m:sSub>
          <m:sSubPr>
            <m:ctrlPr>
              <w:rPr>
                <w:rFonts w:ascii="Times New Roman" w:eastAsia="Times New Roman" w:hAnsi="Times New Roman" w:cs="Times New Roman"/>
              </w:rPr>
            </m:ctrlPr>
          </m:sSubPr>
          <m:e>
            <m:r>
              <w:rPr>
                <w:rFonts w:ascii="Times New Roman" w:eastAsia="Times New Roman" w:hAnsi="Times New Roman" w:cs="Times New Roman"/>
              </w:rPr>
              <m:t>O</m:t>
            </m:r>
          </m:e>
          <m:sub>
            <m:r>
              <w:rPr>
                <w:rFonts w:ascii="Times New Roman" w:eastAsia="Times New Roman" w:hAnsi="Times New Roman" w:cs="Times New Roman"/>
              </w:rPr>
              <m:t>s</m:t>
            </m:r>
            <m:r>
              <w:rPr>
                <w:rFonts w:ascii="Times New Roman" w:eastAsia="Times New Roman" w:hAnsi="Times New Roman" w:cs="Times New Roman"/>
              </w:rPr>
              <m:t xml:space="preserve">, </m:t>
            </m:r>
            <m:r>
              <w:rPr>
                <w:rFonts w:ascii="Times New Roman" w:eastAsia="Times New Roman" w:hAnsi="Times New Roman" w:cs="Times New Roman"/>
              </w:rPr>
              <m:t>t</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4</m:t>
            </m:r>
          </m:sub>
        </m:sSub>
        <m:sSub>
          <m:sSubPr>
            <m:ctrlPr>
              <w:rPr>
                <w:rFonts w:ascii="Times New Roman" w:eastAsia="Times New Roman" w:hAnsi="Times New Roman" w:cs="Times New Roman"/>
              </w:rPr>
            </m:ctrlPr>
          </m:sSubPr>
          <m:e>
            <m:r>
              <w:rPr>
                <w:rFonts w:ascii="Times New Roman" w:eastAsia="Times New Roman" w:hAnsi="Times New Roman" w:cs="Times New Roman"/>
              </w:rPr>
              <m:t>IR</m:t>
            </m:r>
          </m:e>
          <m:sub>
            <m:r>
              <w:rPr>
                <w:rFonts w:ascii="Times New Roman" w:eastAsia="Times New Roman" w:hAnsi="Times New Roman" w:cs="Times New Roman"/>
              </w:rPr>
              <m:t>t</m:t>
            </m:r>
          </m:sub>
        </m:sSub>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5</m:t>
            </m:r>
          </m:sub>
        </m:sSub>
        <m:r>
          <w:rPr>
            <w:rFonts w:ascii="Times New Roman" w:eastAsia="Times New Roman" w:hAnsi="Times New Roman" w:cs="Times New Roman"/>
          </w:rPr>
          <m:t>HPA</m:t>
        </m:r>
        <m:sSub>
          <m:sSubPr>
            <m:ctrlPr>
              <w:rPr>
                <w:rFonts w:ascii="Times New Roman" w:eastAsia="Times New Roman" w:hAnsi="Times New Roman" w:cs="Times New Roman"/>
              </w:rPr>
            </m:ctrlPr>
          </m:sSubPr>
          <m:e/>
          <m:sub>
            <m:r>
              <w:rPr>
                <w:rFonts w:ascii="Times New Roman" w:eastAsia="Times New Roman" w:hAnsi="Times New Roman" w:cs="Times New Roman"/>
              </w:rPr>
              <m:t>s</m:t>
            </m:r>
            <m:r>
              <w:rPr>
                <w:rFonts w:ascii="Times New Roman" w:eastAsia="Times New Roman" w:hAnsi="Times New Roman" w:cs="Times New Roman"/>
              </w:rPr>
              <m:t xml:space="preserve">, </m:t>
            </m:r>
            <m:r>
              <w:rPr>
                <w:rFonts w:ascii="Times New Roman" w:eastAsia="Times New Roman" w:hAnsi="Times New Roman" w:cs="Times New Roman"/>
              </w:rPr>
              <m:t>t</m:t>
            </m:r>
          </m:sub>
        </m:sSub>
        <m:r>
          <w:rPr>
            <w:rFonts w:ascii="Times New Roman" w:eastAsia="Times New Roman" w:hAnsi="Times New Roman" w:cs="Times New Roman"/>
          </w:rPr>
          <m:t xml:space="preserve"> + </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6...</m:t>
            </m:r>
            <m:r>
              <w:rPr>
                <w:rFonts w:ascii="Times New Roman" w:eastAsia="Times New Roman" w:hAnsi="Times New Roman" w:cs="Times New Roman"/>
              </w:rPr>
              <m:t>N</m:t>
            </m:r>
          </m:sub>
        </m:sSub>
        <m:r>
          <w:rPr>
            <w:rFonts w:ascii="Times New Roman" w:eastAsia="Times New Roman" w:hAnsi="Times New Roman" w:cs="Times New Roman"/>
          </w:rPr>
          <m:t>GSV</m:t>
        </m:r>
        <m:sSub>
          <m:sSubPr>
            <m:ctrlPr>
              <w:rPr>
                <w:rFonts w:ascii="Times New Roman" w:eastAsia="Times New Roman" w:hAnsi="Times New Roman" w:cs="Times New Roman"/>
              </w:rPr>
            </m:ctrlPr>
          </m:sSubPr>
          <m:e>
            <m:r>
              <w:rPr>
                <w:rFonts w:ascii="Times New Roman" w:eastAsia="Times New Roman" w:hAnsi="Times New Roman" w:cs="Times New Roman"/>
              </w:rPr>
              <m:t>I</m:t>
            </m:r>
            <m:r>
              <w:rPr>
                <w:rFonts w:ascii="Times New Roman" w:eastAsia="Times New Roman" w:hAnsi="Times New Roman" w:cs="Times New Roman"/>
              </w:rPr>
              <m:t>(</m:t>
            </m:r>
            <m:r>
              <w:rPr>
                <w:rFonts w:ascii="Times New Roman" w:eastAsia="Times New Roman" w:hAnsi="Times New Roman" w:cs="Times New Roman"/>
              </w:rPr>
              <m:t>X</m:t>
            </m:r>
            <m:r>
              <w:rPr>
                <w:rFonts w:ascii="Times New Roman" w:eastAsia="Times New Roman" w:hAnsi="Times New Roman" w:cs="Times New Roman"/>
              </w:rPr>
              <m:t>)</m:t>
            </m:r>
          </m:e>
          <m:sub>
            <m:r>
              <w:rPr>
                <w:rFonts w:ascii="Times New Roman" w:eastAsia="Times New Roman" w:hAnsi="Times New Roman" w:cs="Times New Roman"/>
              </w:rPr>
              <m:t>s</m:t>
            </m:r>
            <m:r>
              <w:rPr>
                <w:rFonts w:ascii="Times New Roman" w:eastAsia="Times New Roman" w:hAnsi="Times New Roman" w:cs="Times New Roman"/>
              </w:rPr>
              <m:t xml:space="preserve">, </m:t>
            </m:r>
            <m:r>
              <w:rPr>
                <w:rFonts w:ascii="Times New Roman" w:eastAsia="Times New Roman" w:hAnsi="Times New Roman" w:cs="Times New Roman"/>
              </w:rPr>
              <m:t>t</m:t>
            </m:r>
          </m:sub>
        </m:sSub>
      </m:oMath>
      <w:r>
        <w:rPr>
          <w:rFonts w:ascii="Times New Roman" w:eastAsia="Times New Roman" w:hAnsi="Times New Roman" w:cs="Times New Roman"/>
        </w:rPr>
        <w:t xml:space="preserve">                (1)</w:t>
      </w:r>
    </w:p>
    <w:p w14:paraId="1FFA8C03" w14:textId="77777777" w:rsidR="00346C29" w:rsidRDefault="00346C29">
      <w:pPr>
        <w:widowControl w:val="0"/>
        <w:spacing w:line="240" w:lineRule="auto"/>
        <w:jc w:val="both"/>
        <w:rPr>
          <w:rFonts w:ascii="Times New Roman" w:eastAsia="Times New Roman" w:hAnsi="Times New Roman" w:cs="Times New Roman"/>
          <w:sz w:val="10"/>
          <w:szCs w:val="10"/>
        </w:rPr>
      </w:pPr>
    </w:p>
    <w:p w14:paraId="69DA00C4" w14:textId="77777777" w:rsidR="00346C29" w:rsidRDefault="00945CC6">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At time </w:t>
      </w:r>
      <w:r>
        <w:rPr>
          <w:rFonts w:ascii="Times New Roman" w:eastAsia="Times New Roman" w:hAnsi="Times New Roman" w:cs="Times New Roman"/>
          <w:i/>
        </w:rPr>
        <w:t>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 xml:space="preserve">state </w:t>
      </w:r>
      <w:r>
        <w:rPr>
          <w:rFonts w:ascii="Times New Roman" w:eastAsia="Times New Roman" w:hAnsi="Times New Roman" w:cs="Times New Roman"/>
          <w:i/>
        </w:rPr>
        <w:t>s</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i/>
        </w:rPr>
        <w:t>HPI</w:t>
      </w:r>
      <w:r>
        <w:rPr>
          <w:rFonts w:ascii="Times New Roman" w:eastAsia="Times New Roman" w:hAnsi="Times New Roman" w:cs="Times New Roman"/>
          <w:i/>
          <w:vertAlign w:val="subscript"/>
        </w:rPr>
        <w:t>s,t</w:t>
      </w:r>
      <w:proofErr w:type="spellEnd"/>
      <w:proofErr w:type="gramEnd"/>
      <w:r>
        <w:rPr>
          <w:rFonts w:ascii="Times New Roman" w:eastAsia="Times New Roman" w:hAnsi="Times New Roman" w:cs="Times New Roman"/>
        </w:rPr>
        <w:t xml:space="preserve"> represents the H</w:t>
      </w:r>
      <w:r>
        <w:rPr>
          <w:rFonts w:ascii="Times New Roman" w:eastAsia="Times New Roman" w:hAnsi="Times New Roman" w:cs="Times New Roman"/>
        </w:rPr>
        <w:t xml:space="preserve">ousing Price index, </w:t>
      </w:r>
      <w:r>
        <w:rPr>
          <w:rFonts w:ascii="Cardo" w:eastAsia="Cardo" w:hAnsi="Cardo" w:cs="Cardo"/>
          <w:i/>
        </w:rPr>
        <w:t>ꞵ</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rPr>
        <w:t xml:space="preserve"> represents the regression coefficient for the corresponding variable, </w:t>
      </w:r>
      <w:r>
        <w:rPr>
          <w:rFonts w:ascii="Times New Roman" w:eastAsia="Times New Roman" w:hAnsi="Times New Roman" w:cs="Times New Roman"/>
          <w:i/>
        </w:rPr>
        <w:t>HPI</w:t>
      </w:r>
      <w:r>
        <w:rPr>
          <w:rFonts w:ascii="Times New Roman" w:eastAsia="Times New Roman" w:hAnsi="Times New Roman" w:cs="Times New Roman"/>
          <w:i/>
          <w:vertAlign w:val="subscript"/>
        </w:rPr>
        <w:t xml:space="preserve">s,t-1 </w:t>
      </w:r>
      <w:r>
        <w:rPr>
          <w:rFonts w:ascii="Times New Roman" w:eastAsia="Times New Roman" w:hAnsi="Times New Roman" w:cs="Times New Roman"/>
        </w:rPr>
        <w:t xml:space="preserve">is the HPI at the previous time step t-1. </w:t>
      </w:r>
      <w:proofErr w:type="spellStart"/>
      <w:proofErr w:type="gramStart"/>
      <w:r>
        <w:rPr>
          <w:rFonts w:ascii="Times New Roman" w:eastAsia="Times New Roman" w:hAnsi="Times New Roman" w:cs="Times New Roman"/>
          <w:i/>
        </w:rPr>
        <w:t>UR</w:t>
      </w:r>
      <w:r>
        <w:rPr>
          <w:rFonts w:ascii="Times New Roman" w:eastAsia="Times New Roman" w:hAnsi="Times New Roman" w:cs="Times New Roman"/>
          <w:i/>
          <w:vertAlign w:val="subscript"/>
        </w:rPr>
        <w:t>s,t</w:t>
      </w:r>
      <w:proofErr w:type="spellEnd"/>
      <w:proofErr w:type="gramEnd"/>
      <w:r>
        <w:rPr>
          <w:rFonts w:ascii="Times New Roman" w:eastAsia="Times New Roman" w:hAnsi="Times New Roman" w:cs="Times New Roman"/>
        </w:rPr>
        <w:t xml:space="preserve"> is the unemployment rate, </w:t>
      </w:r>
      <w:proofErr w:type="spellStart"/>
      <w:r>
        <w:rPr>
          <w:rFonts w:ascii="Times New Roman" w:eastAsia="Times New Roman" w:hAnsi="Times New Roman" w:cs="Times New Roman"/>
          <w:i/>
        </w:rPr>
        <w:t>PO</w:t>
      </w:r>
      <w:r>
        <w:rPr>
          <w:rFonts w:ascii="Times New Roman" w:eastAsia="Times New Roman" w:hAnsi="Times New Roman" w:cs="Times New Roman"/>
          <w:i/>
          <w:vertAlign w:val="subscript"/>
        </w:rPr>
        <w:t>s,t</w:t>
      </w:r>
      <w:proofErr w:type="spellEnd"/>
      <w:r>
        <w:rPr>
          <w:rFonts w:ascii="Times New Roman" w:eastAsia="Times New Roman" w:hAnsi="Times New Roman" w:cs="Times New Roman"/>
        </w:rPr>
        <w:t xml:space="preserve"> is the population. </w:t>
      </w:r>
      <w:proofErr w:type="spellStart"/>
      <w:r>
        <w:rPr>
          <w:rFonts w:ascii="Times New Roman" w:eastAsia="Times New Roman" w:hAnsi="Times New Roman" w:cs="Times New Roman"/>
          <w:i/>
        </w:rPr>
        <w:t>IR</w:t>
      </w:r>
      <w:r>
        <w:rPr>
          <w:rFonts w:ascii="Times New Roman" w:eastAsia="Times New Roman" w:hAnsi="Times New Roman" w:cs="Times New Roman"/>
          <w:i/>
          <w:vertAlign w:val="subscript"/>
        </w:rPr>
        <w:t>t</w:t>
      </w:r>
      <w:proofErr w:type="spellEnd"/>
      <w:r>
        <w:rPr>
          <w:rFonts w:ascii="Times New Roman" w:eastAsia="Times New Roman" w:hAnsi="Times New Roman" w:cs="Times New Roman"/>
        </w:rPr>
        <w:t xml:space="preserve"> is the average 30 year mortgage interest rate, </w:t>
      </w:r>
      <w:proofErr w:type="spellStart"/>
      <w:proofErr w:type="gramStart"/>
      <w:r>
        <w:rPr>
          <w:rFonts w:ascii="Times New Roman" w:eastAsia="Times New Roman" w:hAnsi="Times New Roman" w:cs="Times New Roman"/>
          <w:i/>
        </w:rPr>
        <w:t>HPA</w:t>
      </w:r>
      <w:r>
        <w:rPr>
          <w:rFonts w:ascii="Times New Roman" w:eastAsia="Times New Roman" w:hAnsi="Times New Roman" w:cs="Times New Roman"/>
          <w:i/>
          <w:vertAlign w:val="subscript"/>
        </w:rPr>
        <w:t>s,t</w:t>
      </w:r>
      <w:proofErr w:type="spellEnd"/>
      <w:proofErr w:type="gramEnd"/>
      <w:r>
        <w:rPr>
          <w:rFonts w:ascii="Times New Roman" w:eastAsia="Times New Roman" w:hAnsi="Times New Roman" w:cs="Times New Roman"/>
        </w:rPr>
        <w:t xml:space="preserve"> is the number of housing permits authorized, and </w:t>
      </w:r>
      <w:r>
        <w:rPr>
          <w:rFonts w:ascii="Times New Roman" w:eastAsia="Times New Roman" w:hAnsi="Times New Roman" w:cs="Times New Roman"/>
          <w:i/>
        </w:rPr>
        <w:t>GSVI(X)</w:t>
      </w:r>
      <w:proofErr w:type="spellStart"/>
      <w:r>
        <w:rPr>
          <w:rFonts w:ascii="Times New Roman" w:eastAsia="Times New Roman" w:hAnsi="Times New Roman" w:cs="Times New Roman"/>
          <w:i/>
          <w:vertAlign w:val="subscript"/>
        </w:rPr>
        <w:t>s,t</w:t>
      </w:r>
      <w:proofErr w:type="spellEnd"/>
      <w:r>
        <w:rPr>
          <w:rFonts w:ascii="Times New Roman" w:eastAsia="Times New Roman" w:hAnsi="Times New Roman" w:cs="Times New Roman"/>
        </w:rPr>
        <w:t xml:space="preserve"> is the Google search volume index for the search term “X” which is keyword related to housing market.</w:t>
      </w:r>
    </w:p>
    <w:p w14:paraId="6B5C4973" w14:textId="77777777" w:rsidR="00346C29" w:rsidRDefault="00945CC6">
      <w:pPr>
        <w:keepLines/>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In case if we find the terms (time seri</w:t>
      </w:r>
      <w:r>
        <w:rPr>
          <w:rFonts w:ascii="Times New Roman" w:eastAsia="Times New Roman" w:hAnsi="Times New Roman" w:cs="Times New Roman"/>
        </w:rPr>
        <w:t xml:space="preserve">es variable) are cointegrated, we will use ECM to further interpret the relationship. </w:t>
      </w:r>
    </w:p>
    <w:p w14:paraId="4E7AB058" w14:textId="77777777" w:rsidR="00346C29" w:rsidRDefault="00346C29">
      <w:pPr>
        <w:widowControl w:val="0"/>
        <w:spacing w:line="240" w:lineRule="auto"/>
        <w:jc w:val="both"/>
        <w:rPr>
          <w:rFonts w:ascii="Times New Roman" w:eastAsia="Times New Roman" w:hAnsi="Times New Roman" w:cs="Times New Roman"/>
          <w:sz w:val="10"/>
          <w:szCs w:val="10"/>
        </w:rPr>
      </w:pPr>
    </w:p>
    <w:p w14:paraId="53CC0BA4" w14:textId="77777777" w:rsidR="00346C29" w:rsidRDefault="00945CC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The following steps will be taken:</w:t>
      </w:r>
    </w:p>
    <w:p w14:paraId="55E76D17" w14:textId="77777777" w:rsidR="00346C29" w:rsidRDefault="00945CC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Selection of independent variables using partial F-test and correction of seasonality and inflation using the ARIMA model. Perform va</w:t>
      </w:r>
      <w:r>
        <w:rPr>
          <w:rFonts w:ascii="Times New Roman" w:eastAsia="Times New Roman" w:hAnsi="Times New Roman" w:cs="Times New Roman"/>
        </w:rPr>
        <w:t xml:space="preserve">riable transformation. </w:t>
      </w:r>
    </w:p>
    <w:p w14:paraId="2A50F561" w14:textId="77777777" w:rsidR="00346C29" w:rsidRDefault="00945CC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Drawdown analysis, which identifies the highest fall from the housing price peak, will be used to identify the potential bubble for a region. The duration of sharp changes will be defined as the bubble period and the rest will be tr</w:t>
      </w:r>
      <w:r>
        <w:rPr>
          <w:rFonts w:ascii="Times New Roman" w:eastAsia="Times New Roman" w:hAnsi="Times New Roman" w:cs="Times New Roman"/>
        </w:rPr>
        <w:t>eated as a non-bubble region.</w:t>
      </w:r>
    </w:p>
    <w:p w14:paraId="7EE264E6" w14:textId="77777777" w:rsidR="00346C29" w:rsidRDefault="00346C29">
      <w:pPr>
        <w:widowControl w:val="0"/>
        <w:pBdr>
          <w:top w:val="nil"/>
          <w:left w:val="nil"/>
          <w:bottom w:val="nil"/>
          <w:right w:val="nil"/>
          <w:between w:val="nil"/>
        </w:pBdr>
        <w:spacing w:line="240" w:lineRule="auto"/>
        <w:jc w:val="both"/>
        <w:rPr>
          <w:rFonts w:ascii="Times New Roman" w:eastAsia="Times New Roman" w:hAnsi="Times New Roman" w:cs="Times New Roman"/>
          <w:sz w:val="10"/>
          <w:szCs w:val="10"/>
        </w:rPr>
      </w:pPr>
    </w:p>
    <w:p w14:paraId="4E45C384" w14:textId="77777777" w:rsidR="00346C29" w:rsidRDefault="00945CC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rPr>
        <w:t>3.3 Housing affordability:</w:t>
      </w:r>
    </w:p>
    <w:p w14:paraId="656A7172" w14:textId="77777777" w:rsidR="00346C29" w:rsidRDefault="00945CC6">
      <w:pPr>
        <w:widowControl w:val="0"/>
        <w:pBdr>
          <w:bottom w:val="none" w:sz="0" w:space="8"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Quan Gan (2009) </w:t>
      </w:r>
      <w:r>
        <w:rPr>
          <w:rFonts w:ascii="Times New Roman" w:eastAsia="Times New Roman" w:hAnsi="Times New Roman" w:cs="Times New Roman"/>
          <w:highlight w:val="white"/>
        </w:rPr>
        <w:t>examined and refined the affordability definition by breaking it down into 3 different levels [10]. Purchase affordability considers a household's capacity to borrow enough funds for a purchase. Repayment affordability considers the burden imposed on a hou</w:t>
      </w:r>
      <w:r>
        <w:rPr>
          <w:rFonts w:ascii="Times New Roman" w:eastAsia="Times New Roman" w:hAnsi="Times New Roman" w:cs="Times New Roman"/>
          <w:highlight w:val="white"/>
        </w:rPr>
        <w:t>sehold of repaying the mortgage. Income affordability simply measures the ratio of house prices to income. To combine all parameters to reflect true affordability, we have decided to use the ratio between Affordability Limit and ratio of house price and gr</w:t>
      </w:r>
      <w:r>
        <w:rPr>
          <w:rFonts w:ascii="Times New Roman" w:eastAsia="Times New Roman" w:hAnsi="Times New Roman" w:cs="Times New Roman"/>
          <w:highlight w:val="white"/>
        </w:rPr>
        <w:t>oss household income. A ratio higher than 1 reflects houses deemed unaffordable. The Affordability Limit (AL) captures the first two information (repayment and purchase affordability</w:t>
      </w:r>
      <w:proofErr w:type="gramStart"/>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and it is defined as:</w:t>
      </w:r>
    </w:p>
    <w:p w14:paraId="3F8F2218" w14:textId="77777777" w:rsidR="00346C29" w:rsidRDefault="00945CC6">
      <w:pPr>
        <w:widowControl w:val="0"/>
        <w:pBdr>
          <w:bottom w:val="none" w:sz="0" w:space="8" w:color="auto"/>
        </w:pBdr>
        <w:spacing w:line="240" w:lineRule="auto"/>
        <w:jc w:val="center"/>
        <w:rPr>
          <w:rFonts w:ascii="Times New Roman" w:eastAsia="Times New Roman" w:hAnsi="Times New Roman" w:cs="Times New Roman"/>
          <w:highlight w:val="white"/>
        </w:rPr>
      </w:pPr>
      <m:oMathPara>
        <m:oMath>
          <m:r>
            <w:rPr>
              <w:rFonts w:ascii="Times New Roman" w:eastAsia="Times New Roman" w:hAnsi="Times New Roman" w:cs="Times New Roman"/>
              <w:highlight w:val="white"/>
            </w:rPr>
            <m:t>AL</m:t>
          </m:r>
          <m:r>
            <w:rPr>
              <w:rFonts w:ascii="Times New Roman" w:eastAsia="Times New Roman" w:hAnsi="Times New Roman" w:cs="Times New Roman"/>
              <w:highlight w:val="white"/>
            </w:rPr>
            <m:t xml:space="preserve"> = (</m:t>
          </m:r>
          <m:r>
            <w:rPr>
              <w:rFonts w:ascii="Times New Roman" w:eastAsia="Times New Roman" w:hAnsi="Times New Roman" w:cs="Times New Roman"/>
              <w:highlight w:val="white"/>
            </w:rPr>
            <m:t>α</m:t>
          </m:r>
          <m:r>
            <w:rPr>
              <w:rFonts w:ascii="Times New Roman" w:eastAsia="Times New Roman" w:hAnsi="Times New Roman" w:cs="Times New Roman"/>
              <w:highlight w:val="white"/>
            </w:rPr>
            <m:t>/1-</m:t>
          </m:r>
          <m:r>
            <w:rPr>
              <w:rFonts w:ascii="Times New Roman" w:eastAsia="Times New Roman" w:hAnsi="Times New Roman" w:cs="Times New Roman"/>
              <w:highlight w:val="white"/>
            </w:rPr>
            <m:t>β</m:t>
          </m:r>
          <m:r>
            <w:rPr>
              <w:rFonts w:ascii="Times New Roman" w:eastAsia="Times New Roman" w:hAnsi="Times New Roman" w:cs="Times New Roman"/>
              <w:highlight w:val="white"/>
            </w:rPr>
            <m:t>)(1 - (1+</m:t>
          </m:r>
          <m:r>
            <w:rPr>
              <w:rFonts w:ascii="Times New Roman" w:eastAsia="Times New Roman" w:hAnsi="Times New Roman" w:cs="Times New Roman"/>
              <w:highlight w:val="white"/>
            </w:rPr>
            <m:t>i</m:t>
          </m:r>
          <m:sSup>
            <m:sSupPr>
              <m:ctrlPr>
                <w:rPr>
                  <w:rFonts w:ascii="Times New Roman" w:eastAsia="Times New Roman" w:hAnsi="Times New Roman" w:cs="Times New Roman"/>
                  <w:highlight w:val="white"/>
                </w:rPr>
              </m:ctrlPr>
            </m:sSupPr>
            <m:e>
              <m:r>
                <w:rPr>
                  <w:rFonts w:ascii="Times New Roman" w:eastAsia="Times New Roman" w:hAnsi="Times New Roman" w:cs="Times New Roman"/>
                  <w:highlight w:val="white"/>
                </w:rPr>
                <m:t>)</m:t>
              </m:r>
            </m:e>
            <m:sup>
              <m:r>
                <w:rPr>
                  <w:rFonts w:ascii="Times New Roman" w:eastAsia="Times New Roman" w:hAnsi="Times New Roman" w:cs="Times New Roman"/>
                  <w:highlight w:val="white"/>
                </w:rPr>
                <m:t>-</m:t>
              </m:r>
              <m:r>
                <w:rPr>
                  <w:rFonts w:ascii="Times New Roman" w:eastAsia="Times New Roman" w:hAnsi="Times New Roman" w:cs="Times New Roman"/>
                  <w:highlight w:val="white"/>
                </w:rPr>
                <m:t>N</m:t>
              </m:r>
            </m:sup>
          </m:sSup>
          <m:r>
            <w:rPr>
              <w:rFonts w:ascii="Times New Roman" w:eastAsia="Times New Roman" w:hAnsi="Times New Roman" w:cs="Times New Roman"/>
              <w:highlight w:val="white"/>
            </w:rPr>
            <m:t xml:space="preserve"> / </m:t>
          </m:r>
          <m:r>
            <w:rPr>
              <w:rFonts w:ascii="Times New Roman" w:eastAsia="Times New Roman" w:hAnsi="Times New Roman" w:cs="Times New Roman"/>
              <w:highlight w:val="white"/>
            </w:rPr>
            <m:t>i</m:t>
          </m:r>
          <m:r>
            <w:rPr>
              <w:rFonts w:ascii="Times New Roman" w:eastAsia="Times New Roman" w:hAnsi="Times New Roman" w:cs="Times New Roman"/>
              <w:highlight w:val="white"/>
            </w:rPr>
            <m:t xml:space="preserve">) </m:t>
          </m:r>
        </m:oMath>
      </m:oMathPara>
    </w:p>
    <w:p w14:paraId="711BB9F9" w14:textId="77777777" w:rsidR="00346C29" w:rsidRDefault="00346C29">
      <w:pPr>
        <w:widowControl w:val="0"/>
        <w:pBdr>
          <w:bottom w:val="none" w:sz="0" w:space="8" w:color="auto"/>
        </w:pBdr>
        <w:spacing w:line="240" w:lineRule="auto"/>
        <w:rPr>
          <w:rFonts w:ascii="Times New Roman" w:eastAsia="Times New Roman" w:hAnsi="Times New Roman" w:cs="Times New Roman"/>
          <w:sz w:val="10"/>
          <w:szCs w:val="10"/>
          <w:highlight w:val="white"/>
        </w:rPr>
      </w:pPr>
    </w:p>
    <w:p w14:paraId="4FBA7BB1" w14:textId="77777777" w:rsidR="00346C29" w:rsidRDefault="00945CC6">
      <w:pPr>
        <w:widowControl w:val="0"/>
        <w:pBdr>
          <w:bottom w:val="none" w:sz="0" w:space="8" w:color="auto"/>
        </w:pBdr>
        <w:spacing w:line="24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where </w:t>
      </w:r>
      <w:r>
        <w:rPr>
          <w:rFonts w:ascii="Times New Roman" w:eastAsia="Times New Roman" w:hAnsi="Times New Roman" w:cs="Times New Roman"/>
          <w:i/>
          <w:highlight w:val="white"/>
        </w:rPr>
        <w:t>α</w:t>
      </w:r>
      <w:r>
        <w:rPr>
          <w:rFonts w:ascii="Times New Roman" w:eastAsia="Times New Roman" w:hAnsi="Times New Roman" w:cs="Times New Roman"/>
          <w:highlight w:val="white"/>
        </w:rPr>
        <w:t xml:space="preserve"> rep</w:t>
      </w:r>
      <w:r>
        <w:rPr>
          <w:rFonts w:ascii="Times New Roman" w:eastAsia="Times New Roman" w:hAnsi="Times New Roman" w:cs="Times New Roman"/>
          <w:highlight w:val="white"/>
        </w:rPr>
        <w:t xml:space="preserve">resent the fraction of income towards mortgage </w:t>
      </w:r>
      <w:proofErr w:type="gramStart"/>
      <w:r>
        <w:rPr>
          <w:rFonts w:ascii="Times New Roman" w:eastAsia="Times New Roman" w:hAnsi="Times New Roman" w:cs="Times New Roman"/>
          <w:highlight w:val="white"/>
        </w:rPr>
        <w:t xml:space="preserve">payment, </w:t>
      </w:r>
      <w:r>
        <w:rPr>
          <w:rFonts w:ascii="Cardo" w:eastAsia="Cardo" w:hAnsi="Cardo" w:cs="Cardo"/>
          <w:i/>
        </w:rPr>
        <w:t>ꞵ</w:t>
      </w:r>
      <w:r>
        <w:rPr>
          <w:rFonts w:ascii="Cardo" w:eastAsia="Cardo" w:hAnsi="Cardo" w:cs="Cardo"/>
          <w:i/>
        </w:rPr>
        <w:t xml:space="preserve"> </w:t>
      </w:r>
      <w:r>
        <w:rPr>
          <w:rFonts w:ascii="Times New Roman" w:eastAsia="Times New Roman" w:hAnsi="Times New Roman" w:cs="Times New Roman"/>
          <w:highlight w:val="white"/>
        </w:rPr>
        <w:t>the</w:t>
      </w:r>
      <w:proofErr w:type="gramEnd"/>
      <w:r>
        <w:rPr>
          <w:rFonts w:ascii="Times New Roman" w:eastAsia="Times New Roman" w:hAnsi="Times New Roman" w:cs="Times New Roman"/>
          <w:highlight w:val="white"/>
        </w:rPr>
        <w:t xml:space="preserve"> fraction of house price towards down payment, </w:t>
      </w:r>
      <w:r>
        <w:rPr>
          <w:rFonts w:ascii="Times New Roman" w:eastAsia="Times New Roman" w:hAnsi="Times New Roman" w:cs="Times New Roman"/>
          <w:i/>
          <w:highlight w:val="white"/>
        </w:rPr>
        <w:t>N</w:t>
      </w:r>
      <w:r>
        <w:rPr>
          <w:rFonts w:ascii="Times New Roman" w:eastAsia="Times New Roman" w:hAnsi="Times New Roman" w:cs="Times New Roman"/>
          <w:b/>
          <w:i/>
          <w:highlight w:val="white"/>
        </w:rPr>
        <w:t xml:space="preserve"> </w:t>
      </w:r>
      <w:r>
        <w:rPr>
          <w:rFonts w:ascii="Times New Roman" w:eastAsia="Times New Roman" w:hAnsi="Times New Roman" w:cs="Times New Roman"/>
          <w:highlight w:val="white"/>
        </w:rPr>
        <w:t>the loan terms (in year) and</w:t>
      </w:r>
      <w:r>
        <w:rPr>
          <w:rFonts w:ascii="Times New Roman" w:eastAsia="Times New Roman" w:hAnsi="Times New Roman" w:cs="Times New Roman"/>
          <w:b/>
          <w:i/>
          <w:highlight w:val="white"/>
        </w:rPr>
        <w:t xml:space="preserve"> </w:t>
      </w:r>
      <w:proofErr w:type="spellStart"/>
      <w:r>
        <w:rPr>
          <w:rFonts w:ascii="Times New Roman" w:eastAsia="Times New Roman" w:hAnsi="Times New Roman" w:cs="Times New Roman"/>
          <w:i/>
          <w:highlight w:val="white"/>
        </w:rPr>
        <w:t>i</w:t>
      </w:r>
      <w:proofErr w:type="spellEnd"/>
      <w:r>
        <w:rPr>
          <w:rFonts w:ascii="Times New Roman" w:eastAsia="Times New Roman" w:hAnsi="Times New Roman" w:cs="Times New Roman"/>
          <w:highlight w:val="white"/>
        </w:rPr>
        <w:t xml:space="preserve"> the interest rate. We defined HTI as the ratio between house price and gross household income, and it should always be lower than the Affordability Limit (HTI &lt; AL). </w:t>
      </w:r>
    </w:p>
    <w:p w14:paraId="4028276B" w14:textId="77777777" w:rsidR="00346C29" w:rsidRDefault="00945CC6">
      <w:pPr>
        <w:pStyle w:val="Heading2"/>
        <w:keepNext w:val="0"/>
        <w:keepLines w:val="0"/>
        <w:widowControl w:val="0"/>
        <w:jc w:val="both"/>
      </w:pPr>
      <w:bookmarkStart w:id="10" w:name="_yi9glq1cc2i" w:colFirst="0" w:colLast="0"/>
      <w:bookmarkEnd w:id="10"/>
      <w:r>
        <w:t>3.4 Information Visualization</w:t>
      </w:r>
    </w:p>
    <w:p w14:paraId="5F7CFFD9" w14:textId="77777777" w:rsidR="00346C29" w:rsidRDefault="00945CC6">
      <w:pPr>
        <w:widowControl w:val="0"/>
        <w:pBdr>
          <w:bottom w:val="none" w:sz="0" w:space="8"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project team chose to create the visualizations using </w:t>
      </w:r>
      <w:r>
        <w:rPr>
          <w:rFonts w:ascii="Times New Roman" w:eastAsia="Times New Roman" w:hAnsi="Times New Roman" w:cs="Times New Roman"/>
          <w:highlight w:val="white"/>
        </w:rPr>
        <w:t xml:space="preserve">Tableau desktop software and will publish the </w:t>
      </w:r>
      <w:r>
        <w:rPr>
          <w:rFonts w:ascii="Times New Roman" w:eastAsia="Times New Roman" w:hAnsi="Times New Roman" w:cs="Times New Roman"/>
          <w:highlight w:val="white"/>
        </w:rPr>
        <w:lastRenderedPageBreak/>
        <w:t xml:space="preserve">results on the site </w:t>
      </w:r>
      <w:hyperlink r:id="rId7">
        <w:r>
          <w:rPr>
            <w:rFonts w:ascii="Times New Roman" w:eastAsia="Times New Roman" w:hAnsi="Times New Roman" w:cs="Times New Roman"/>
            <w:color w:val="1155CC"/>
            <w:highlight w:val="white"/>
            <w:u w:val="single"/>
          </w:rPr>
          <w:t>https://public.tableau.com</w:t>
        </w:r>
      </w:hyperlink>
      <w:r>
        <w:rPr>
          <w:rFonts w:ascii="Times New Roman" w:eastAsia="Times New Roman" w:hAnsi="Times New Roman" w:cs="Times New Roman"/>
          <w:highlight w:val="white"/>
        </w:rPr>
        <w:t>. Our decision was based on research by Nair L. et al. (2016</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which found that creating interactive visualizations i</w:t>
      </w:r>
      <w:r>
        <w:rPr>
          <w:rFonts w:ascii="Times New Roman" w:eastAsia="Times New Roman" w:hAnsi="Times New Roman" w:cs="Times New Roman"/>
          <w:highlight w:val="white"/>
        </w:rPr>
        <w:t>s more effective at providing insights to the user compared to traditional static visualization methods [11].</w:t>
      </w:r>
    </w:p>
    <w:p w14:paraId="597008B7" w14:textId="77777777" w:rsidR="00346C29" w:rsidRDefault="00346C29">
      <w:pPr>
        <w:widowControl w:val="0"/>
        <w:pBdr>
          <w:bottom w:val="none" w:sz="0" w:space="8" w:color="auto"/>
        </w:pBdr>
        <w:spacing w:line="240" w:lineRule="auto"/>
        <w:jc w:val="both"/>
        <w:rPr>
          <w:rFonts w:ascii="Times New Roman" w:eastAsia="Times New Roman" w:hAnsi="Times New Roman" w:cs="Times New Roman"/>
          <w:sz w:val="10"/>
          <w:szCs w:val="10"/>
          <w:highlight w:val="white"/>
        </w:rPr>
      </w:pPr>
    </w:p>
    <w:p w14:paraId="3A0B2900" w14:textId="77777777" w:rsidR="00346C29" w:rsidRDefault="00945CC6">
      <w:pPr>
        <w:widowControl w:val="0"/>
        <w:pBdr>
          <w:bottom w:val="none" w:sz="0" w:space="8"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As far as granularity of the analysis is concerned, the housing bubble data is analyzed at the state level along with housing affordability at me</w:t>
      </w:r>
      <w:r>
        <w:rPr>
          <w:rFonts w:ascii="Times New Roman" w:eastAsia="Times New Roman" w:hAnsi="Times New Roman" w:cs="Times New Roman"/>
        </w:rPr>
        <w:t xml:space="preserve">tropolitan areas across the United States and visualized using Tableau software for clarity. </w:t>
      </w:r>
    </w:p>
    <w:p w14:paraId="5930BAA4" w14:textId="77777777" w:rsidR="00346C29" w:rsidRDefault="00945CC6">
      <w:pPr>
        <w:pStyle w:val="Heading1"/>
        <w:jc w:val="both"/>
      </w:pPr>
      <w:bookmarkStart w:id="11" w:name="_cd90m1hrd9q5" w:colFirst="0" w:colLast="0"/>
      <w:bookmarkEnd w:id="11"/>
      <w:r>
        <w:t>4. Experiments</w:t>
      </w:r>
    </w:p>
    <w:p w14:paraId="3D751705" w14:textId="77777777" w:rsidR="00346C29" w:rsidRDefault="00945CC6">
      <w:pPr>
        <w:pStyle w:val="Heading2"/>
        <w:jc w:val="both"/>
        <w:rPr>
          <w:b w:val="0"/>
        </w:rPr>
      </w:pPr>
      <w:bookmarkStart w:id="12" w:name="_ta5o2cnb8qh5" w:colFirst="0" w:colLast="0"/>
      <w:bookmarkEnd w:id="12"/>
      <w:r>
        <w:rPr>
          <w:b w:val="0"/>
        </w:rPr>
        <w:t>With our proposed method, our project team has set up various experiments testing feasibility of our approaches. These include different time serie</w:t>
      </w:r>
      <w:r>
        <w:rPr>
          <w:b w:val="0"/>
        </w:rPr>
        <w:t>s ranges, limited by the columns chosen, and exploration of different models to best capture the time series data.</w:t>
      </w:r>
    </w:p>
    <w:p w14:paraId="5000F4CE" w14:textId="77777777" w:rsidR="00346C29" w:rsidRDefault="00346C29">
      <w:pPr>
        <w:rPr>
          <w:sz w:val="10"/>
          <w:szCs w:val="10"/>
        </w:rPr>
      </w:pPr>
    </w:p>
    <w:p w14:paraId="4FBC6272" w14:textId="77777777" w:rsidR="00346C29" w:rsidRDefault="00945CC6">
      <w:pPr>
        <w:pStyle w:val="Heading3"/>
        <w:ind w:firstLine="720"/>
        <w:jc w:val="both"/>
      </w:pPr>
      <w:bookmarkStart w:id="13" w:name="_gzdvqi8zuln2" w:colFirst="0" w:colLast="0"/>
      <w:bookmarkEnd w:id="13"/>
      <w:r>
        <w:t>4.1 Data Collection/Integration</w:t>
      </w:r>
    </w:p>
    <w:p w14:paraId="09198091" w14:textId="77777777" w:rsidR="00346C29" w:rsidRDefault="00945CC6">
      <w:pPr>
        <w:spacing w:line="240" w:lineRule="auto"/>
        <w:jc w:val="both"/>
        <w:rPr>
          <w:rFonts w:ascii="Times New Roman" w:eastAsia="Times New Roman" w:hAnsi="Times New Roman" w:cs="Times New Roman"/>
          <w:color w:val="FF0000"/>
        </w:rPr>
      </w:pPr>
      <w:r>
        <w:rPr>
          <w:rFonts w:ascii="Times New Roman" w:eastAsia="Times New Roman" w:hAnsi="Times New Roman" w:cs="Times New Roman"/>
        </w:rPr>
        <w:t>We plan to dynamically collect data from various web sources such as the Google Trends API and Zillow API. For our experiment, we chose to collect a static dataset with a confined date range for analysis and comparison of models from sources such as the U.</w:t>
      </w:r>
      <w:r>
        <w:rPr>
          <w:rFonts w:ascii="Times New Roman" w:eastAsia="Times New Roman" w:hAnsi="Times New Roman" w:cs="Times New Roman"/>
        </w:rPr>
        <w:t>S. Census Bureau, Federal Housing and Finance Agency, and the Federal Reserve Bank of St. Louis [12,13,14]. Each dataset had to meet certain criteria for it to be usable in our experiment. With the exception of interest and unemployment rates, data must be</w:t>
      </w:r>
      <w:r>
        <w:rPr>
          <w:rFonts w:ascii="Times New Roman" w:eastAsia="Times New Roman" w:hAnsi="Times New Roman" w:cs="Times New Roman"/>
        </w:rPr>
        <w:t xml:space="preserve"> collected at the state level within the United States, uniquely identifiable via either a CBSA or FIPS code that denotes the appropriate </w:t>
      </w:r>
      <w:proofErr w:type="gramStart"/>
      <w:r>
        <w:rPr>
          <w:rFonts w:ascii="Times New Roman" w:eastAsia="Times New Roman" w:hAnsi="Times New Roman" w:cs="Times New Roman"/>
        </w:rPr>
        <w:t>state, and</w:t>
      </w:r>
      <w:proofErr w:type="gramEnd"/>
      <w:r>
        <w:rPr>
          <w:rFonts w:ascii="Times New Roman" w:eastAsia="Times New Roman" w:hAnsi="Times New Roman" w:cs="Times New Roman"/>
        </w:rPr>
        <w:t xml:space="preserve"> gathered at a yearly interval.</w:t>
      </w:r>
    </w:p>
    <w:p w14:paraId="3265E34A" w14:textId="77777777" w:rsidR="00346C29" w:rsidRDefault="00346C29">
      <w:pPr>
        <w:pBdr>
          <w:bottom w:val="none" w:sz="0" w:space="8" w:color="auto"/>
        </w:pBdr>
        <w:spacing w:line="240" w:lineRule="auto"/>
        <w:jc w:val="both"/>
        <w:rPr>
          <w:rFonts w:ascii="Times New Roman" w:eastAsia="Times New Roman" w:hAnsi="Times New Roman" w:cs="Times New Roman"/>
          <w:sz w:val="10"/>
          <w:szCs w:val="10"/>
          <w:highlight w:val="white"/>
        </w:rPr>
      </w:pPr>
    </w:p>
    <w:p w14:paraId="09CD5298" w14:textId="77777777" w:rsidR="00346C29" w:rsidRDefault="00945CC6">
      <w:pPr>
        <w:pBdr>
          <w:bottom w:val="none" w:sz="0" w:space="8" w:color="auto"/>
        </w:pBdr>
        <w:spacing w:line="240" w:lineRule="auto"/>
        <w:jc w:val="both"/>
        <w:rPr>
          <w:rFonts w:ascii="Times New Roman" w:eastAsia="Times New Roman" w:hAnsi="Times New Roman" w:cs="Times New Roman"/>
        </w:rPr>
      </w:pPr>
      <w:r>
        <w:rPr>
          <w:rFonts w:ascii="Times New Roman" w:eastAsia="Times New Roman" w:hAnsi="Times New Roman" w:cs="Times New Roman"/>
          <w:highlight w:val="white"/>
        </w:rPr>
        <w:t>For the analysis of affordability, we explored various data sources and exa</w:t>
      </w:r>
      <w:r>
        <w:rPr>
          <w:rFonts w:ascii="Times New Roman" w:eastAsia="Times New Roman" w:hAnsi="Times New Roman" w:cs="Times New Roman"/>
          <w:highlight w:val="white"/>
        </w:rPr>
        <w:t>mined the compatibility before finalizing the data source. For housing prices, Zillow research provides the historical data of housing price index (ZHVI) across many metropolitan areas and mortgage rates for a given period [15]. American Community Survey (</w:t>
      </w:r>
      <w:r>
        <w:rPr>
          <w:rFonts w:ascii="Times New Roman" w:eastAsia="Times New Roman" w:hAnsi="Times New Roman" w:cs="Times New Roman"/>
          <w:highlight w:val="white"/>
        </w:rPr>
        <w:t xml:space="preserve">ACS) provides extensive data for earnings at occupation level </w:t>
      </w:r>
      <w:r>
        <w:rPr>
          <w:rFonts w:ascii="Times New Roman" w:eastAsia="Times New Roman" w:hAnsi="Times New Roman" w:cs="Times New Roman"/>
          <w:b/>
          <w:color w:val="333333"/>
          <w:highlight w:val="white"/>
        </w:rPr>
        <w:t>[</w:t>
      </w:r>
      <w:r>
        <w:rPr>
          <w:rFonts w:ascii="Times New Roman" w:eastAsia="Times New Roman" w:hAnsi="Times New Roman" w:cs="Times New Roman"/>
          <w:color w:val="333333"/>
          <w:highlight w:val="white"/>
        </w:rPr>
        <w:t>16].</w:t>
      </w:r>
      <w:r>
        <w:rPr>
          <w:rFonts w:ascii="Times New Roman" w:eastAsia="Times New Roman" w:hAnsi="Times New Roman" w:cs="Times New Roman"/>
          <w:highlight w:val="white"/>
        </w:rPr>
        <w:t xml:space="preserve"> Finally, we utilized Crosswalk data to link Zillow regions and federally defined regions for counties and metro areas.</w:t>
      </w:r>
    </w:p>
    <w:p w14:paraId="24E65A5A" w14:textId="77777777" w:rsidR="00346C29" w:rsidRDefault="00945CC6">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4.2 Data Analysis</w:t>
      </w:r>
    </w:p>
    <w:p w14:paraId="3424ECF6" w14:textId="77777777" w:rsidR="00346C29" w:rsidRDefault="00945CC6">
      <w:pPr>
        <w:spacing w:line="240" w:lineRule="auto"/>
        <w:jc w:val="both"/>
        <w:rPr>
          <w:rFonts w:ascii="Times New Roman" w:eastAsia="Times New Roman" w:hAnsi="Times New Roman" w:cs="Times New Roman"/>
        </w:rPr>
      </w:pPr>
      <w:r>
        <w:rPr>
          <w:rFonts w:ascii="Times New Roman" w:eastAsia="Times New Roman" w:hAnsi="Times New Roman" w:cs="Times New Roman"/>
        </w:rPr>
        <w:t>Bubble identification system: In the case of datasets not collected at the state level, we merge the data by year. In all other cases, we merge the data by either the CBSA or FIPS code to create one ordered time series dataset for analysis.</w:t>
      </w:r>
      <w:r>
        <w:rPr>
          <w:rFonts w:ascii="Times New Roman" w:eastAsia="Times New Roman" w:hAnsi="Times New Roman" w:cs="Times New Roman"/>
          <w:b/>
        </w:rPr>
        <w:t xml:space="preserve"> </w:t>
      </w:r>
      <w:r>
        <w:rPr>
          <w:rFonts w:ascii="Times New Roman" w:eastAsia="Times New Roman" w:hAnsi="Times New Roman" w:cs="Times New Roman"/>
        </w:rPr>
        <w:t>UNDER CONSTRUCT</w:t>
      </w:r>
      <w:r>
        <w:rPr>
          <w:rFonts w:ascii="Times New Roman" w:eastAsia="Times New Roman" w:hAnsi="Times New Roman" w:cs="Times New Roman"/>
        </w:rPr>
        <w:t>ION.</w:t>
      </w:r>
    </w:p>
    <w:p w14:paraId="07A37109" w14:textId="77777777" w:rsidR="00346C29" w:rsidRDefault="00346C29">
      <w:pPr>
        <w:spacing w:line="240" w:lineRule="auto"/>
        <w:jc w:val="both"/>
        <w:rPr>
          <w:rFonts w:ascii="Times New Roman" w:eastAsia="Times New Roman" w:hAnsi="Times New Roman" w:cs="Times New Roman"/>
        </w:rPr>
      </w:pPr>
    </w:p>
    <w:p w14:paraId="24342DAE" w14:textId="77777777" w:rsidR="00346C29" w:rsidRDefault="00346C29">
      <w:pPr>
        <w:spacing w:line="240" w:lineRule="auto"/>
        <w:jc w:val="both"/>
        <w:rPr>
          <w:rFonts w:ascii="Times New Roman" w:eastAsia="Times New Roman" w:hAnsi="Times New Roman" w:cs="Times New Roman"/>
          <w:b/>
          <w:sz w:val="10"/>
          <w:szCs w:val="10"/>
        </w:rPr>
      </w:pPr>
    </w:p>
    <w:p w14:paraId="00C923A9" w14:textId="77777777" w:rsidR="00346C29" w:rsidRDefault="00945CC6">
      <w:pPr>
        <w:pBdr>
          <w:left w:val="nil"/>
          <w:bottom w:val="none" w:sz="0" w:space="8" w:color="auto"/>
          <w:right w:val="nil"/>
          <w:between w:val="nil"/>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Affordability limit: ACS data (summary files) are challenging to use due to 3.5 million data attributes stored across various files in sequence. The meta information about attributes, sequence, and geographical information are stored in separate fil</w:t>
      </w:r>
      <w:r>
        <w:rPr>
          <w:rFonts w:ascii="Times New Roman" w:eastAsia="Times New Roman" w:hAnsi="Times New Roman" w:cs="Times New Roman"/>
          <w:highlight w:val="white"/>
        </w:rPr>
        <w:t>es which require additional effort to understand the ACS data standards. Python and the request</w:t>
      </w:r>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 xml:space="preserve">module are mainly used to access the data from various sources. </w:t>
      </w:r>
    </w:p>
    <w:p w14:paraId="3F69CDC1" w14:textId="55B32F41" w:rsidR="00346C29" w:rsidRDefault="00945CC6">
      <w:pPr>
        <w:pBdr>
          <w:left w:val="nil"/>
          <w:bottom w:val="none" w:sz="0" w:space="8" w:color="auto"/>
          <w:right w:val="nil"/>
          <w:between w:val="nil"/>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At the end, we merged the</w:t>
      </w:r>
      <w:r>
        <w:rPr>
          <w:rFonts w:ascii="Times New Roman" w:eastAsia="Times New Roman" w:hAnsi="Times New Roman" w:cs="Times New Roman"/>
          <w:highlight w:val="white"/>
        </w:rPr>
        <w:t xml:space="preserve"> Zillow data and ACS data to compute the ratio between Affordability </w:t>
      </w:r>
      <w:r>
        <w:rPr>
          <w:rFonts w:ascii="Times New Roman" w:eastAsia="Times New Roman" w:hAnsi="Times New Roman" w:cs="Times New Roman"/>
          <w:highlight w:val="white"/>
        </w:rPr>
        <w:t>limit (AL) and HTI for metropolitan areas across the US.</w:t>
      </w:r>
    </w:p>
    <w:p w14:paraId="59074A44" w14:textId="77777777" w:rsidR="00346C29" w:rsidRDefault="00346C29">
      <w:pPr>
        <w:pBdr>
          <w:bottom w:val="none" w:sz="0" w:space="8" w:color="auto"/>
        </w:pBdr>
        <w:spacing w:line="240" w:lineRule="auto"/>
        <w:jc w:val="both"/>
        <w:rPr>
          <w:rFonts w:ascii="Times New Roman" w:eastAsia="Times New Roman" w:hAnsi="Times New Roman" w:cs="Times New Roman"/>
          <w:sz w:val="10"/>
          <w:szCs w:val="10"/>
          <w:highlight w:val="white"/>
        </w:rPr>
      </w:pPr>
    </w:p>
    <w:p w14:paraId="07B90041" w14:textId="77777777" w:rsidR="00346C29" w:rsidRDefault="00945CC6">
      <w:pPr>
        <w:pBdr>
          <w:bottom w:val="none" w:sz="0" w:space="8"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We decided to use Python for data gathering, clearing, model selection, and performance evaluation. </w:t>
      </w:r>
    </w:p>
    <w:p w14:paraId="5F4B6027" w14:textId="77777777" w:rsidR="00346C29" w:rsidRDefault="00945CC6">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b/>
        </w:rPr>
        <w:t>4.3 Data Visualization</w:t>
      </w:r>
    </w:p>
    <w:p w14:paraId="69B4AE41" w14:textId="77777777" w:rsidR="00346C29" w:rsidRDefault="00945CC6">
      <w:pPr>
        <w:pBdr>
          <w:bottom w:val="none" w:sz="0" w:space="8" w:color="auto"/>
        </w:pBdr>
        <w:spacing w:line="24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The main visualization on the final tableau dashboard will be a choropleth</w:t>
      </w:r>
      <w:r>
        <w:rPr>
          <w:rFonts w:ascii="Times New Roman" w:eastAsia="Times New Roman" w:hAnsi="Times New Roman" w:cs="Times New Roman"/>
          <w:highlight w:val="white"/>
        </w:rPr>
        <w:t xml:space="preserve"> map outlining CBSA geographic regions.</w:t>
      </w:r>
      <w:r>
        <w:rPr>
          <w:rFonts w:ascii="Times New Roman" w:eastAsia="Times New Roman" w:hAnsi="Times New Roman" w:cs="Times New Roman"/>
          <w:color w:val="333333"/>
          <w:highlight w:val="white"/>
        </w:rPr>
        <w:t xml:space="preserve"> According to</w:t>
      </w:r>
      <w:r>
        <w:rPr>
          <w:rFonts w:ascii="Times New Roman" w:eastAsia="Times New Roman" w:hAnsi="Times New Roman" w:cs="Times New Roman"/>
          <w:highlight w:val="white"/>
        </w:rPr>
        <w:t xml:space="preserve"> the US Census Bureau [12], they created CBSA codes to define metropolitan or micropolitan areas. Shown in Figure 1 is an experimental dashboard with each region on the choropleth map shaded according to </w:t>
      </w:r>
      <w:r>
        <w:rPr>
          <w:rFonts w:ascii="Times New Roman" w:eastAsia="Times New Roman" w:hAnsi="Times New Roman" w:cs="Times New Roman"/>
          <w:highlight w:val="white"/>
        </w:rPr>
        <w:t>the income ratio metric, however the housing price index will replace this metric in the final versions. This experiment also confirmed Tableau can automatically generate CBSA boundaries [17].</w:t>
      </w:r>
    </w:p>
    <w:p w14:paraId="538DD7A4" w14:textId="77777777" w:rsidR="00346C29" w:rsidRDefault="00945CC6">
      <w:pPr>
        <w:pBdr>
          <w:bottom w:val="none" w:sz="0" w:space="8" w:color="auto"/>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lastRenderedPageBreak/>
        <w:drawing>
          <wp:inline distT="114300" distB="114300" distL="114300" distR="114300" wp14:anchorId="457CD3E3" wp14:editId="60D98288">
            <wp:extent cx="5943600" cy="2967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67038"/>
                    </a:xfrm>
                    <a:prstGeom prst="rect">
                      <a:avLst/>
                    </a:prstGeom>
                    <a:ln/>
                  </pic:spPr>
                </pic:pic>
              </a:graphicData>
            </a:graphic>
          </wp:inline>
        </w:drawing>
      </w:r>
    </w:p>
    <w:p w14:paraId="03969B3A" w14:textId="77777777" w:rsidR="00346C29" w:rsidRDefault="00945CC6">
      <w:pPr>
        <w:pBdr>
          <w:bottom w:val="none" w:sz="0" w:space="8" w:color="auto"/>
        </w:pBdr>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Figure 1. Choropleth Map on Tableau</w:t>
      </w:r>
    </w:p>
    <w:p w14:paraId="43CDC215" w14:textId="77777777" w:rsidR="00346C29" w:rsidRDefault="00346C29">
      <w:pPr>
        <w:pBdr>
          <w:bottom w:val="none" w:sz="0" w:space="8" w:color="auto"/>
        </w:pBdr>
        <w:spacing w:line="240" w:lineRule="auto"/>
        <w:jc w:val="both"/>
        <w:rPr>
          <w:rFonts w:ascii="Times New Roman" w:eastAsia="Times New Roman" w:hAnsi="Times New Roman" w:cs="Times New Roman"/>
          <w:highlight w:val="white"/>
        </w:rPr>
      </w:pPr>
    </w:p>
    <w:p w14:paraId="479B7A71" w14:textId="77777777" w:rsidR="00346C29" w:rsidRDefault="00945CC6">
      <w:pPr>
        <w:pStyle w:val="Heading1"/>
        <w:pBdr>
          <w:bottom w:val="none" w:sz="0" w:space="8" w:color="auto"/>
        </w:pBdr>
        <w:jc w:val="both"/>
      </w:pPr>
      <w:bookmarkStart w:id="14" w:name="_8jviucxt723p" w:colFirst="0" w:colLast="0"/>
      <w:bookmarkEnd w:id="14"/>
      <w:r>
        <w:t>5</w:t>
      </w:r>
      <w:r>
        <w:t>. Conclusion</w:t>
      </w:r>
    </w:p>
    <w:p w14:paraId="32B52096" w14:textId="77777777" w:rsidR="00346C29" w:rsidRDefault="00945CC6">
      <w:pPr>
        <w:pBdr>
          <w:bottom w:val="none" w:sz="0" w:space="8" w:color="auto"/>
        </w:pBdr>
        <w:spacing w:line="240" w:lineRule="auto"/>
        <w:jc w:val="both"/>
        <w:rPr>
          <w:rFonts w:ascii="Times New Roman" w:eastAsia="Times New Roman" w:hAnsi="Times New Roman" w:cs="Times New Roman"/>
          <w:i/>
          <w:highlight w:val="white"/>
        </w:rPr>
      </w:pPr>
      <w:r>
        <w:rPr>
          <w:rFonts w:ascii="Times New Roman" w:eastAsia="Times New Roman" w:hAnsi="Times New Roman" w:cs="Times New Roman"/>
          <w:highlight w:val="white"/>
        </w:rPr>
        <w:t>The most significant project development has been to evaluate whether any indices can be used to detect the housing bubble. This is trending positive, however more evaluation is needed.  We are focusing on implementing a linear regression mode</w:t>
      </w:r>
      <w:r>
        <w:rPr>
          <w:rFonts w:ascii="Times New Roman" w:eastAsia="Times New Roman" w:hAnsi="Times New Roman" w:cs="Times New Roman"/>
          <w:highlight w:val="white"/>
        </w:rPr>
        <w:t>l.  The project scope is more focused compared to our proposal, and notable is that this warning system provides no insight into the duration of a bubble-period, only statistical confirmation that the specified region has entered a bubble. Further predicti</w:t>
      </w:r>
      <w:r>
        <w:rPr>
          <w:rFonts w:ascii="Times New Roman" w:eastAsia="Times New Roman" w:hAnsi="Times New Roman" w:cs="Times New Roman"/>
          <w:highlight w:val="white"/>
        </w:rPr>
        <w:t xml:space="preserve">ve analysis is recommended for such results. We currently project time and resources are sufficient.  </w:t>
      </w:r>
      <w:commentRangeStart w:id="15"/>
      <w:r>
        <w:rPr>
          <w:rFonts w:ascii="Times New Roman" w:eastAsia="Times New Roman" w:hAnsi="Times New Roman" w:cs="Times New Roman"/>
          <w:i/>
          <w:highlight w:val="white"/>
        </w:rPr>
        <w:t>UNDER CONSTRUCTION</w:t>
      </w:r>
      <w:commentRangeEnd w:id="15"/>
      <w:r>
        <w:commentReference w:id="15"/>
      </w:r>
    </w:p>
    <w:p w14:paraId="69AFE4AB" w14:textId="77777777" w:rsidR="00346C29" w:rsidRDefault="00346C29">
      <w:pPr>
        <w:pBdr>
          <w:bottom w:val="none" w:sz="0" w:space="8" w:color="auto"/>
        </w:pBdr>
        <w:spacing w:line="240" w:lineRule="auto"/>
        <w:jc w:val="both"/>
        <w:rPr>
          <w:rFonts w:ascii="Times New Roman" w:eastAsia="Times New Roman" w:hAnsi="Times New Roman" w:cs="Times New Roman"/>
          <w:sz w:val="10"/>
          <w:szCs w:val="10"/>
          <w:highlight w:val="white"/>
        </w:rPr>
      </w:pPr>
    </w:p>
    <w:p w14:paraId="1BE46D95" w14:textId="77777777" w:rsidR="00346C29" w:rsidRDefault="00945CC6">
      <w:pPr>
        <w:pStyle w:val="Heading2"/>
        <w:widowControl w:val="0"/>
        <w:pBdr>
          <w:bottom w:val="none" w:sz="0" w:space="8" w:color="auto"/>
        </w:pBdr>
        <w:jc w:val="both"/>
      </w:pPr>
      <w:bookmarkStart w:id="16" w:name="_o9p2tt5rsx6d" w:colFirst="0" w:colLast="0"/>
      <w:bookmarkEnd w:id="16"/>
      <w:r>
        <w:t>Team member activities and contribution: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825"/>
        <w:gridCol w:w="3870"/>
      </w:tblGrid>
      <w:tr w:rsidR="00346C29" w14:paraId="77F8F43F" w14:textId="77777777">
        <w:tc>
          <w:tcPr>
            <w:tcW w:w="1665" w:type="dxa"/>
            <w:shd w:val="clear" w:color="auto" w:fill="auto"/>
            <w:tcMar>
              <w:top w:w="72" w:type="dxa"/>
              <w:left w:w="72" w:type="dxa"/>
              <w:bottom w:w="72" w:type="dxa"/>
              <w:right w:w="72" w:type="dxa"/>
            </w:tcMar>
          </w:tcPr>
          <w:p w14:paraId="254CB177"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Group Member</w:t>
            </w:r>
          </w:p>
        </w:tc>
        <w:tc>
          <w:tcPr>
            <w:tcW w:w="3825" w:type="dxa"/>
            <w:shd w:val="clear" w:color="auto" w:fill="auto"/>
            <w:tcMar>
              <w:top w:w="72" w:type="dxa"/>
              <w:left w:w="72" w:type="dxa"/>
              <w:bottom w:w="72" w:type="dxa"/>
              <w:right w:w="72" w:type="dxa"/>
            </w:tcMar>
          </w:tcPr>
          <w:p w14:paraId="0A40EEE3"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Previous</w:t>
            </w:r>
          </w:p>
        </w:tc>
        <w:tc>
          <w:tcPr>
            <w:tcW w:w="3870" w:type="dxa"/>
            <w:shd w:val="clear" w:color="auto" w:fill="auto"/>
            <w:tcMar>
              <w:top w:w="72" w:type="dxa"/>
              <w:left w:w="72" w:type="dxa"/>
              <w:bottom w:w="72" w:type="dxa"/>
              <w:right w:w="72" w:type="dxa"/>
            </w:tcMar>
          </w:tcPr>
          <w:p w14:paraId="781926F8"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Current</w:t>
            </w:r>
          </w:p>
        </w:tc>
      </w:tr>
      <w:tr w:rsidR="00346C29" w14:paraId="19A2E4EA" w14:textId="77777777">
        <w:tc>
          <w:tcPr>
            <w:tcW w:w="1665" w:type="dxa"/>
            <w:shd w:val="clear" w:color="auto" w:fill="auto"/>
            <w:tcMar>
              <w:top w:w="72" w:type="dxa"/>
              <w:left w:w="72" w:type="dxa"/>
              <w:bottom w:w="72" w:type="dxa"/>
              <w:right w:w="72" w:type="dxa"/>
            </w:tcMar>
          </w:tcPr>
          <w:p w14:paraId="24BF1457"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Derek Cheng</w:t>
            </w:r>
          </w:p>
        </w:tc>
        <w:tc>
          <w:tcPr>
            <w:tcW w:w="3825" w:type="dxa"/>
            <w:shd w:val="clear" w:color="auto" w:fill="auto"/>
            <w:tcMar>
              <w:top w:w="72" w:type="dxa"/>
              <w:left w:w="72" w:type="dxa"/>
              <w:bottom w:w="72" w:type="dxa"/>
              <w:right w:w="72" w:type="dxa"/>
            </w:tcMar>
          </w:tcPr>
          <w:p w14:paraId="517C2665"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cleaning and analytical modeling, report organization</w:t>
            </w:r>
          </w:p>
        </w:tc>
        <w:tc>
          <w:tcPr>
            <w:tcW w:w="3870" w:type="dxa"/>
            <w:shd w:val="clear" w:color="auto" w:fill="auto"/>
            <w:tcMar>
              <w:top w:w="72" w:type="dxa"/>
              <w:left w:w="72" w:type="dxa"/>
              <w:bottom w:w="72" w:type="dxa"/>
              <w:right w:w="72" w:type="dxa"/>
            </w:tcMar>
          </w:tcPr>
          <w:p w14:paraId="22D9D3E6"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Analytical modeling, report organization, and report writing</w:t>
            </w:r>
          </w:p>
        </w:tc>
      </w:tr>
      <w:tr w:rsidR="00346C29" w14:paraId="1C170038" w14:textId="77777777">
        <w:tc>
          <w:tcPr>
            <w:tcW w:w="1665" w:type="dxa"/>
            <w:shd w:val="clear" w:color="auto" w:fill="auto"/>
            <w:tcMar>
              <w:top w:w="72" w:type="dxa"/>
              <w:left w:w="72" w:type="dxa"/>
              <w:bottom w:w="72" w:type="dxa"/>
              <w:right w:w="72" w:type="dxa"/>
            </w:tcMar>
          </w:tcPr>
          <w:p w14:paraId="1934ADFE"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Mahaveer Jain</w:t>
            </w:r>
          </w:p>
        </w:tc>
        <w:tc>
          <w:tcPr>
            <w:tcW w:w="3825" w:type="dxa"/>
            <w:shd w:val="clear" w:color="auto" w:fill="auto"/>
            <w:tcMar>
              <w:top w:w="72" w:type="dxa"/>
              <w:left w:w="72" w:type="dxa"/>
              <w:bottom w:w="72" w:type="dxa"/>
              <w:right w:w="72" w:type="dxa"/>
            </w:tcMar>
          </w:tcPr>
          <w:p w14:paraId="1503999B"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acquisition and preprocessing, analytical modeling and literature survey</w:t>
            </w:r>
          </w:p>
        </w:tc>
        <w:tc>
          <w:tcPr>
            <w:tcW w:w="3870" w:type="dxa"/>
            <w:shd w:val="clear" w:color="auto" w:fill="auto"/>
            <w:tcMar>
              <w:top w:w="72" w:type="dxa"/>
              <w:left w:w="72" w:type="dxa"/>
              <w:bottom w:w="72" w:type="dxa"/>
              <w:right w:w="72" w:type="dxa"/>
            </w:tcMar>
          </w:tcPr>
          <w:p w14:paraId="462888DA"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acquisition and preprocessing, analyti</w:t>
            </w:r>
            <w:r>
              <w:rPr>
                <w:rFonts w:ascii="Times New Roman" w:eastAsia="Times New Roman" w:hAnsi="Times New Roman" w:cs="Times New Roman"/>
                <w:highlight w:val="white"/>
              </w:rPr>
              <w:t>cal modeling, and report writing</w:t>
            </w:r>
          </w:p>
        </w:tc>
      </w:tr>
      <w:tr w:rsidR="00346C29" w14:paraId="66E1D082" w14:textId="77777777">
        <w:trPr>
          <w:trHeight w:val="10"/>
        </w:trPr>
        <w:tc>
          <w:tcPr>
            <w:tcW w:w="1665" w:type="dxa"/>
            <w:shd w:val="clear" w:color="auto" w:fill="auto"/>
            <w:tcMar>
              <w:top w:w="72" w:type="dxa"/>
              <w:left w:w="72" w:type="dxa"/>
              <w:bottom w:w="72" w:type="dxa"/>
              <w:right w:w="72" w:type="dxa"/>
            </w:tcMar>
          </w:tcPr>
          <w:p w14:paraId="397022D6"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Micah Jeng</w:t>
            </w:r>
          </w:p>
        </w:tc>
        <w:tc>
          <w:tcPr>
            <w:tcW w:w="3825" w:type="dxa"/>
            <w:shd w:val="clear" w:color="auto" w:fill="auto"/>
            <w:tcMar>
              <w:top w:w="72" w:type="dxa"/>
              <w:left w:w="72" w:type="dxa"/>
              <w:bottom w:w="72" w:type="dxa"/>
              <w:right w:w="72" w:type="dxa"/>
            </w:tcMar>
          </w:tcPr>
          <w:p w14:paraId="1DF531F4"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processing, visualization and report</w:t>
            </w:r>
          </w:p>
        </w:tc>
        <w:tc>
          <w:tcPr>
            <w:tcW w:w="3870" w:type="dxa"/>
            <w:shd w:val="clear" w:color="auto" w:fill="auto"/>
            <w:tcMar>
              <w:top w:w="72" w:type="dxa"/>
              <w:left w:w="72" w:type="dxa"/>
              <w:bottom w:w="72" w:type="dxa"/>
              <w:right w:w="72" w:type="dxa"/>
            </w:tcMar>
          </w:tcPr>
          <w:p w14:paraId="628A18AF"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source collection, data cleaning, and report writing</w:t>
            </w:r>
          </w:p>
        </w:tc>
      </w:tr>
      <w:tr w:rsidR="00346C29" w14:paraId="4C7C491D" w14:textId="77777777">
        <w:trPr>
          <w:trHeight w:val="130"/>
        </w:trPr>
        <w:tc>
          <w:tcPr>
            <w:tcW w:w="1665" w:type="dxa"/>
            <w:shd w:val="clear" w:color="auto" w:fill="auto"/>
            <w:tcMar>
              <w:top w:w="72" w:type="dxa"/>
              <w:left w:w="72" w:type="dxa"/>
              <w:bottom w:w="72" w:type="dxa"/>
              <w:right w:w="72" w:type="dxa"/>
            </w:tcMar>
          </w:tcPr>
          <w:p w14:paraId="0008EA64"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Peter Hernandez</w:t>
            </w:r>
          </w:p>
        </w:tc>
        <w:tc>
          <w:tcPr>
            <w:tcW w:w="3825" w:type="dxa"/>
            <w:shd w:val="clear" w:color="auto" w:fill="auto"/>
            <w:tcMar>
              <w:top w:w="72" w:type="dxa"/>
              <w:left w:w="72" w:type="dxa"/>
              <w:bottom w:w="72" w:type="dxa"/>
              <w:right w:w="72" w:type="dxa"/>
            </w:tcMar>
          </w:tcPr>
          <w:p w14:paraId="7114A5AA"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collection and model development, visualization</w:t>
            </w:r>
          </w:p>
        </w:tc>
        <w:tc>
          <w:tcPr>
            <w:tcW w:w="3870" w:type="dxa"/>
            <w:shd w:val="clear" w:color="auto" w:fill="auto"/>
            <w:tcMar>
              <w:top w:w="72" w:type="dxa"/>
              <w:left w:w="72" w:type="dxa"/>
              <w:bottom w:w="72" w:type="dxa"/>
              <w:right w:w="72" w:type="dxa"/>
            </w:tcMar>
          </w:tcPr>
          <w:p w14:paraId="40245276"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Data source collection, data cleaning, and report writing</w:t>
            </w:r>
          </w:p>
        </w:tc>
      </w:tr>
      <w:tr w:rsidR="00346C29" w14:paraId="6FCEF83C" w14:textId="77777777">
        <w:tc>
          <w:tcPr>
            <w:tcW w:w="1665" w:type="dxa"/>
            <w:shd w:val="clear" w:color="auto" w:fill="auto"/>
            <w:tcMar>
              <w:top w:w="72" w:type="dxa"/>
              <w:left w:w="72" w:type="dxa"/>
              <w:bottom w:w="72" w:type="dxa"/>
              <w:right w:w="72" w:type="dxa"/>
            </w:tcMar>
          </w:tcPr>
          <w:p w14:paraId="570DCBFA"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Victor </w:t>
            </w:r>
            <w:proofErr w:type="spellStart"/>
            <w:r>
              <w:rPr>
                <w:rFonts w:ascii="Times New Roman" w:eastAsia="Times New Roman" w:hAnsi="Times New Roman" w:cs="Times New Roman"/>
                <w:highlight w:val="white"/>
              </w:rPr>
              <w:t>Cerabone</w:t>
            </w:r>
            <w:proofErr w:type="spellEnd"/>
          </w:p>
        </w:tc>
        <w:tc>
          <w:tcPr>
            <w:tcW w:w="3825" w:type="dxa"/>
            <w:shd w:val="clear" w:color="auto" w:fill="auto"/>
            <w:tcMar>
              <w:top w:w="72" w:type="dxa"/>
              <w:left w:w="72" w:type="dxa"/>
              <w:bottom w:w="72" w:type="dxa"/>
              <w:right w:w="72" w:type="dxa"/>
            </w:tcMar>
          </w:tcPr>
          <w:p w14:paraId="47572BFB"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Tableau, presentation, and video</w:t>
            </w:r>
          </w:p>
        </w:tc>
        <w:tc>
          <w:tcPr>
            <w:tcW w:w="3870" w:type="dxa"/>
            <w:shd w:val="clear" w:color="auto" w:fill="auto"/>
            <w:tcMar>
              <w:top w:w="72" w:type="dxa"/>
              <w:left w:w="72" w:type="dxa"/>
              <w:bottom w:w="72" w:type="dxa"/>
              <w:right w:w="72" w:type="dxa"/>
            </w:tcMar>
          </w:tcPr>
          <w:p w14:paraId="763F272E"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Tableau, presentation, video, and report writing</w:t>
            </w:r>
          </w:p>
        </w:tc>
      </w:tr>
      <w:tr w:rsidR="00346C29" w14:paraId="5D133419" w14:textId="77777777">
        <w:trPr>
          <w:trHeight w:val="102"/>
        </w:trPr>
        <w:tc>
          <w:tcPr>
            <w:tcW w:w="1665" w:type="dxa"/>
            <w:shd w:val="clear" w:color="auto" w:fill="auto"/>
            <w:tcMar>
              <w:top w:w="72" w:type="dxa"/>
              <w:left w:w="72" w:type="dxa"/>
              <w:bottom w:w="72" w:type="dxa"/>
              <w:right w:w="72" w:type="dxa"/>
            </w:tcMar>
          </w:tcPr>
          <w:p w14:paraId="7215FE9E"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Tsz Kin Chan</w:t>
            </w:r>
          </w:p>
        </w:tc>
        <w:tc>
          <w:tcPr>
            <w:tcW w:w="3825" w:type="dxa"/>
            <w:shd w:val="clear" w:color="auto" w:fill="auto"/>
            <w:tcMar>
              <w:top w:w="72" w:type="dxa"/>
              <w:left w:w="72" w:type="dxa"/>
              <w:bottom w:w="72" w:type="dxa"/>
              <w:right w:w="72" w:type="dxa"/>
            </w:tcMar>
          </w:tcPr>
          <w:p w14:paraId="50D5F819"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Tableau and data preprocessing</w:t>
            </w:r>
          </w:p>
        </w:tc>
        <w:tc>
          <w:tcPr>
            <w:tcW w:w="3870" w:type="dxa"/>
            <w:shd w:val="clear" w:color="auto" w:fill="auto"/>
            <w:tcMar>
              <w:top w:w="72" w:type="dxa"/>
              <w:left w:w="72" w:type="dxa"/>
              <w:bottom w:w="72" w:type="dxa"/>
              <w:right w:w="72" w:type="dxa"/>
            </w:tcMar>
          </w:tcPr>
          <w:p w14:paraId="3B9BA4EF" w14:textId="77777777" w:rsidR="00346C29" w:rsidRDefault="00945CC6">
            <w:pPr>
              <w:widowControl w:val="0"/>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Left project team</w:t>
            </w:r>
          </w:p>
        </w:tc>
      </w:tr>
    </w:tbl>
    <w:p w14:paraId="44C283AA" w14:textId="77777777" w:rsidR="00346C29" w:rsidRDefault="00346C29">
      <w:pPr>
        <w:keepNext/>
        <w:keepLines/>
        <w:widowControl w:val="0"/>
        <w:spacing w:line="240" w:lineRule="auto"/>
        <w:jc w:val="both"/>
        <w:rPr>
          <w:rFonts w:ascii="Times New Roman" w:eastAsia="Times New Roman" w:hAnsi="Times New Roman" w:cs="Times New Roman"/>
          <w:sz w:val="10"/>
          <w:szCs w:val="10"/>
          <w:highlight w:val="white"/>
        </w:rPr>
      </w:pPr>
    </w:p>
    <w:p w14:paraId="7541EFC4" w14:textId="77777777" w:rsidR="00346C29" w:rsidRDefault="00945CC6">
      <w:pPr>
        <w:pBdr>
          <w:bottom w:val="none" w:sz="0" w:space="8"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After the loss of a team member, responsibilities are re-</w:t>
      </w:r>
      <w:proofErr w:type="gramStart"/>
      <w:r>
        <w:rPr>
          <w:rFonts w:ascii="Times New Roman" w:eastAsia="Times New Roman" w:hAnsi="Times New Roman" w:cs="Times New Roman"/>
          <w:highlight w:val="white"/>
        </w:rPr>
        <w:t>distributed</w:t>
      </w:r>
      <w:proofErr w:type="gramEnd"/>
      <w:r>
        <w:rPr>
          <w:rFonts w:ascii="Times New Roman" w:eastAsia="Times New Roman" w:hAnsi="Times New Roman" w:cs="Times New Roman"/>
          <w:highlight w:val="white"/>
        </w:rPr>
        <w:t xml:space="preserve"> and everyone has contributed equally.</w:t>
      </w:r>
    </w:p>
    <w:p w14:paraId="7D981854" w14:textId="77777777" w:rsidR="00346C29" w:rsidRDefault="00945CC6">
      <w:pPr>
        <w:pStyle w:val="Heading1"/>
        <w:jc w:val="center"/>
      </w:pPr>
      <w:bookmarkStart w:id="17" w:name="_rr1v6anjovu" w:colFirst="0" w:colLast="0"/>
      <w:bookmarkEnd w:id="17"/>
      <w:r>
        <w:br w:type="page"/>
      </w:r>
    </w:p>
    <w:p w14:paraId="4EEA3E88" w14:textId="77777777" w:rsidR="00346C29" w:rsidRDefault="00945CC6">
      <w:pPr>
        <w:pStyle w:val="Heading1"/>
        <w:jc w:val="center"/>
      </w:pPr>
      <w:bookmarkStart w:id="18" w:name="_whv1ooftennx" w:colFirst="0" w:colLast="0"/>
      <w:bookmarkEnd w:id="18"/>
      <w:r>
        <w:lastRenderedPageBreak/>
        <w:t>References</w:t>
      </w:r>
    </w:p>
    <w:p w14:paraId="0B6DD687"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Hans Lind. Price Bubbles on the Housing Market: Concept, theory and indicators. In International Journal of Housing Markets and Analysis</w:t>
      </w:r>
      <w:r>
        <w:rPr>
          <w:rFonts w:ascii="Times New Roman" w:eastAsia="Times New Roman" w:hAnsi="Times New Roman" w:cs="Times New Roman"/>
        </w:rPr>
        <w:t xml:space="preserve"> 2(1):78-90</w:t>
      </w:r>
    </w:p>
    <w:p w14:paraId="0FCBBAD5"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Dean Baker, Is the Housing Bubble Collapsing? 10 Economic Indicators to Watch. 2006. In </w:t>
      </w:r>
      <w:proofErr w:type="spellStart"/>
      <w:r>
        <w:rPr>
          <w:rFonts w:ascii="Times New Roman" w:eastAsia="Times New Roman" w:hAnsi="Times New Roman" w:cs="Times New Roman"/>
        </w:rPr>
        <w:t>RePEc</w:t>
      </w:r>
      <w:proofErr w:type="spellEnd"/>
      <w:r>
        <w:rPr>
          <w:rFonts w:ascii="Times New Roman" w:eastAsia="Times New Roman" w:hAnsi="Times New Roman" w:cs="Times New Roman"/>
        </w:rPr>
        <w:t>, January 2006.</w:t>
      </w:r>
    </w:p>
    <w:p w14:paraId="15CB434A"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Ole Martin </w:t>
      </w:r>
      <w:proofErr w:type="spellStart"/>
      <w:r>
        <w:rPr>
          <w:rFonts w:ascii="Times New Roman" w:eastAsia="Times New Roman" w:hAnsi="Times New Roman" w:cs="Times New Roman"/>
        </w:rPr>
        <w:t>Eidjord</w:t>
      </w:r>
      <w:proofErr w:type="spellEnd"/>
      <w:r>
        <w:rPr>
          <w:rFonts w:ascii="Times New Roman" w:eastAsia="Times New Roman" w:hAnsi="Times New Roman" w:cs="Times New Roman"/>
        </w:rPr>
        <w:t>, Are Oust. Can Google Search Data be Used as a Housing Bubble Indicator?</w:t>
      </w:r>
    </w:p>
    <w:p w14:paraId="31E1336B"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Alex Kae </w:t>
      </w:r>
      <w:proofErr w:type="spellStart"/>
      <w:r>
        <w:rPr>
          <w:rFonts w:ascii="Times New Roman" w:eastAsia="Times New Roman" w:hAnsi="Times New Roman" w:cs="Times New Roman"/>
        </w:rPr>
        <w:t>Lun</w:t>
      </w:r>
      <w:proofErr w:type="spellEnd"/>
      <w:r>
        <w:rPr>
          <w:rFonts w:ascii="Times New Roman" w:eastAsia="Times New Roman" w:hAnsi="Times New Roman" w:cs="Times New Roman"/>
        </w:rPr>
        <w:t xml:space="preserve"> Lee, </w:t>
      </w:r>
      <w:proofErr w:type="spellStart"/>
      <w:r>
        <w:rPr>
          <w:rFonts w:ascii="Times New Roman" w:eastAsia="Times New Roman" w:hAnsi="Times New Roman" w:cs="Times New Roman"/>
        </w:rPr>
        <w:t>Jothee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Sinnakkannu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Socka</w:t>
      </w:r>
      <w:r>
        <w:rPr>
          <w:rFonts w:ascii="Times New Roman" w:eastAsia="Times New Roman" w:hAnsi="Times New Roman" w:cs="Times New Roman"/>
        </w:rPr>
        <w:t>lingam</w:t>
      </w:r>
      <w:proofErr w:type="spellEnd"/>
      <w:r>
        <w:rPr>
          <w:rFonts w:ascii="Times New Roman" w:eastAsia="Times New Roman" w:hAnsi="Times New Roman" w:cs="Times New Roman"/>
        </w:rPr>
        <w:t xml:space="preserve"> R. </w:t>
      </w:r>
      <w:proofErr w:type="gramStart"/>
      <w:r>
        <w:rPr>
          <w:rFonts w:ascii="Times New Roman" w:eastAsia="Times New Roman" w:hAnsi="Times New Roman" w:cs="Times New Roman"/>
        </w:rPr>
        <w:t>Ramasamy(</w:t>
      </w:r>
      <w:proofErr w:type="gramEnd"/>
      <w:r>
        <w:rPr>
          <w:rFonts w:ascii="Times New Roman" w:eastAsia="Times New Roman" w:hAnsi="Times New Roman" w:cs="Times New Roman"/>
        </w:rPr>
        <w:t>2020). Housing bubble, affordability and credit risk to banks: a Malaysian perspective. Journal of the Asia Pacific Economy; v.26.</w:t>
      </w:r>
    </w:p>
    <w:p w14:paraId="277E58EE"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Aaron Hedlund (2019). </w:t>
      </w:r>
      <w:hyperlink r:id="rId13">
        <w:r>
          <w:rPr>
            <w:rFonts w:ascii="Times New Roman" w:eastAsia="Times New Roman" w:hAnsi="Times New Roman" w:cs="Times New Roman"/>
            <w:color w:val="1155CC"/>
            <w:u w:val="single"/>
          </w:rPr>
          <w:t>Housing Affordability: Trends, Consequences, and Policies</w:t>
        </w:r>
      </w:hyperlink>
      <w:r>
        <w:rPr>
          <w:rFonts w:ascii="Times New Roman" w:eastAsia="Times New Roman" w:hAnsi="Times New Roman" w:cs="Times New Roman"/>
        </w:rPr>
        <w:t xml:space="preserve">. </w:t>
      </w:r>
    </w:p>
    <w:p w14:paraId="352659C2"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Michael E. Stone. What is housing affordability? The case for the residual income approach. 2010.</w:t>
      </w:r>
    </w:p>
    <w:p w14:paraId="1B4E4344"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S&amp;P CoreLogic Case-Shiller Home Price Indices Methodology, </w:t>
      </w:r>
      <w:hyperlink r:id="rId14">
        <w:r>
          <w:rPr>
            <w:rFonts w:ascii="Times New Roman" w:eastAsia="Times New Roman" w:hAnsi="Times New Roman" w:cs="Times New Roman"/>
            <w:color w:val="1155CC"/>
            <w:highlight w:val="white"/>
            <w:u w:val="single"/>
          </w:rPr>
          <w:t>https://www.spglobal.com/spdji/en/documents/methodologies/methodology-sp-corelogic-cs-home-price-indices.pdf</w:t>
        </w:r>
      </w:hyperlink>
    </w:p>
    <w:p w14:paraId="24774EBD"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Wu, L. and Brynjolfsson, E. (2015) The Future of Predict</w:t>
      </w:r>
      <w:r>
        <w:rPr>
          <w:rFonts w:ascii="Times New Roman" w:eastAsia="Times New Roman" w:hAnsi="Times New Roman" w:cs="Times New Roman"/>
        </w:rPr>
        <w:t xml:space="preserve">ion How Google Searches Foreshadow Housing Prices and Sales, Chapter in NBER book Economic Analysis of the Digital Economy, editors </w:t>
      </w:r>
      <w:proofErr w:type="spellStart"/>
      <w:r>
        <w:rPr>
          <w:rFonts w:ascii="Times New Roman" w:eastAsia="Times New Roman" w:hAnsi="Times New Roman" w:cs="Times New Roman"/>
        </w:rPr>
        <w:t>Avi</w:t>
      </w:r>
      <w:proofErr w:type="spellEnd"/>
      <w:r>
        <w:rPr>
          <w:rFonts w:ascii="Times New Roman" w:eastAsia="Times New Roman" w:hAnsi="Times New Roman" w:cs="Times New Roman"/>
        </w:rPr>
        <w:t xml:space="preserve"> Goldfarb, Shane M. Greenstein, and Catherine E. Tucker, editors (p. 89 - 118).</w:t>
      </w:r>
    </w:p>
    <w:p w14:paraId="101463A2"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Lynch, Sharon (October 2, 2008</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"Metro U.S. Home Prices Fall on Higher Foreclosures"</w:t>
        </w:r>
      </w:hyperlink>
      <w:r>
        <w:rPr>
          <w:rFonts w:ascii="Times New Roman" w:eastAsia="Times New Roman" w:hAnsi="Times New Roman" w:cs="Times New Roman"/>
        </w:rPr>
        <w:t xml:space="preserve">. </w:t>
      </w:r>
      <w:hyperlink r:id="rId16">
        <w:r>
          <w:rPr>
            <w:rFonts w:ascii="Times New Roman" w:eastAsia="Times New Roman" w:hAnsi="Times New Roman" w:cs="Times New Roman"/>
            <w:color w:val="1155CC"/>
            <w:u w:val="single"/>
          </w:rPr>
          <w:t>Bloomberg</w:t>
        </w:r>
      </w:hyperlink>
      <w:r>
        <w:rPr>
          <w:rFonts w:ascii="Times New Roman" w:eastAsia="Times New Roman" w:hAnsi="Times New Roman" w:cs="Times New Roman"/>
        </w:rPr>
        <w:t>. Retrieved October 10, 2008.</w:t>
      </w:r>
    </w:p>
    <w:p w14:paraId="793EEF73"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Quan Gan and Robert J. Hill. Measuring Housing Affordability: Looking Beyond the Median. In Journal of Housing Economics, Volume 18, Issue 2, June 2009, Pages 115-125. 2009.</w:t>
      </w:r>
    </w:p>
    <w:p w14:paraId="7E75186B"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Nair L., Shetty S., Shetty S. (2016), Interactive visual analytics on Big Data: Ta</w:t>
      </w:r>
      <w:r>
        <w:rPr>
          <w:rFonts w:ascii="Times New Roman" w:eastAsia="Times New Roman" w:hAnsi="Times New Roman" w:cs="Times New Roman"/>
        </w:rPr>
        <w:t>bleau vs D3.js, Journal of e-Learning and Knowledge Society, v.12, n.4, 139-150. ISSN: 1826-6223, e-ISSN:1971-8829</w:t>
      </w:r>
    </w:p>
    <w:p w14:paraId="6D36B4A2"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Bureau, US Census. “Core-Based Statistical Areas.” Census.gov, 8 Oct. 2021, </w:t>
      </w:r>
      <w:hyperlink r:id="rId17">
        <w:r>
          <w:rPr>
            <w:rFonts w:ascii="Times New Roman" w:eastAsia="Times New Roman" w:hAnsi="Times New Roman" w:cs="Times New Roman"/>
            <w:color w:val="1155CC"/>
            <w:u w:val="single"/>
          </w:rPr>
          <w:t>https://www.census.gov/topics/housing/housing-patterns/about/core-based-statistical-areas.html</w:t>
        </w:r>
      </w:hyperlink>
      <w:r>
        <w:rPr>
          <w:rFonts w:ascii="Times New Roman" w:eastAsia="Times New Roman" w:hAnsi="Times New Roman" w:cs="Times New Roman"/>
        </w:rPr>
        <w:t>.</w:t>
      </w:r>
    </w:p>
    <w:p w14:paraId="66BC9D1D"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Federal Housing Finance Agency. “House Price Index Data”, </w:t>
      </w:r>
      <w:hyperlink r:id="rId18">
        <w:r>
          <w:rPr>
            <w:rFonts w:ascii="Times New Roman" w:eastAsia="Times New Roman" w:hAnsi="Times New Roman" w:cs="Times New Roman"/>
            <w:color w:val="1155CC"/>
            <w:highlight w:val="white"/>
            <w:u w:val="single"/>
          </w:rPr>
          <w:t>https://www.fhfa.gov/</w:t>
        </w:r>
      </w:hyperlink>
    </w:p>
    <w:p w14:paraId="6CE461E3" w14:textId="77777777" w:rsidR="00346C29" w:rsidRDefault="00945CC6">
      <w:pPr>
        <w:numPr>
          <w:ilvl w:val="0"/>
          <w:numId w:val="1"/>
        </w:num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Economic Research, Federal Reserve Bank of St. Louis. “Unemployment Rate”, </w:t>
      </w:r>
      <w:hyperlink r:id="rId19">
        <w:r>
          <w:rPr>
            <w:rFonts w:ascii="Times New Roman" w:eastAsia="Times New Roman" w:hAnsi="Times New Roman" w:cs="Times New Roman"/>
            <w:color w:val="1155CC"/>
            <w:highlight w:val="white"/>
            <w:u w:val="single"/>
          </w:rPr>
          <w:t>https://fred</w:t>
        </w:r>
        <w:r>
          <w:rPr>
            <w:rFonts w:ascii="Times New Roman" w:eastAsia="Times New Roman" w:hAnsi="Times New Roman" w:cs="Times New Roman"/>
            <w:color w:val="1155CC"/>
            <w:highlight w:val="white"/>
            <w:u w:val="single"/>
          </w:rPr>
          <w:t>.stlouisfed.org/</w:t>
        </w:r>
      </w:hyperlink>
    </w:p>
    <w:p w14:paraId="108C2114"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Zillow, Housing Data,</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color w:val="1155CC"/>
            <w:u w:val="single"/>
          </w:rPr>
          <w:t>https://www.zillow.com/research/data/</w:t>
        </w:r>
      </w:hyperlink>
    </w:p>
    <w:p w14:paraId="6ADDA70C" w14:textId="77777777" w:rsidR="00346C29" w:rsidRDefault="00945CC6">
      <w:pPr>
        <w:keepNext/>
        <w:keepLines/>
        <w:widowControl w:val="0"/>
        <w:numPr>
          <w:ilvl w:val="0"/>
          <w:numId w:val="1"/>
        </w:numPr>
        <w:shd w:val="clear" w:color="auto" w:fill="FFFFFF"/>
        <w:spacing w:line="240" w:lineRule="auto"/>
        <w:rPr>
          <w:rFonts w:ascii="Times New Roman" w:eastAsia="Times New Roman" w:hAnsi="Times New Roman" w:cs="Times New Roman"/>
        </w:rPr>
      </w:pPr>
      <w:hyperlink r:id="rId22">
        <w:r>
          <w:rPr>
            <w:rFonts w:ascii="Times New Roman" w:eastAsia="Times New Roman" w:hAnsi="Times New Roman" w:cs="Times New Roman"/>
            <w:color w:val="1155CC"/>
            <w:u w:val="single"/>
          </w:rPr>
          <w:t>American Community Survey</w:t>
        </w:r>
      </w:hyperlink>
      <w:r>
        <w:rPr>
          <w:rFonts w:ascii="Times New Roman" w:eastAsia="Times New Roman" w:hAnsi="Times New Roman" w:cs="Times New Roman"/>
        </w:rPr>
        <w:t xml:space="preserve"> (ACS) Survey summary file.</w:t>
      </w:r>
    </w:p>
    <w:p w14:paraId="545E6CB2" w14:textId="77777777" w:rsidR="00346C29" w:rsidRDefault="00945CC6">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Location data that tableau supports for building map views. Tableau. (n.d.). Retrieved November 4, 2021, from </w:t>
      </w:r>
      <w:hyperlink r:id="rId23">
        <w:r>
          <w:rPr>
            <w:rFonts w:ascii="Times New Roman" w:eastAsia="Times New Roman" w:hAnsi="Times New Roman" w:cs="Times New Roman"/>
            <w:color w:val="1155CC"/>
            <w:u w:val="single"/>
          </w:rPr>
          <w:t>https://help.tableau.com/current/pro/desktop/en-gb/maps_data.</w:t>
        </w:r>
      </w:hyperlink>
      <w:hyperlink r:id="rId24">
        <w:r>
          <w:rPr>
            <w:rFonts w:ascii="Times New Roman" w:eastAsia="Times New Roman" w:hAnsi="Times New Roman" w:cs="Times New Roman"/>
            <w:color w:val="1155CC"/>
            <w:u w:val="single"/>
          </w:rPr>
          <w:t>htm</w:t>
        </w:r>
      </w:hyperlink>
      <w:r>
        <w:rPr>
          <w:rFonts w:ascii="Times New Roman" w:eastAsia="Times New Roman" w:hAnsi="Times New Roman" w:cs="Times New Roman"/>
        </w:rPr>
        <w:t>.</w:t>
      </w:r>
    </w:p>
    <w:sectPr w:rsidR="00346C29">
      <w:headerReference w:type="default" r:id="rId25"/>
      <w:footerReference w:type="defaul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Peter Hernandez" w:date="2021-11-05T23:58:00Z" w:initials="">
    <w:p w14:paraId="137177CC" w14:textId="77777777" w:rsidR="00346C29" w:rsidRDefault="00945CC6">
      <w:pPr>
        <w:widowControl w:val="0"/>
        <w:pBdr>
          <w:top w:val="nil"/>
          <w:left w:val="nil"/>
          <w:bottom w:val="nil"/>
          <w:right w:val="nil"/>
          <w:between w:val="nil"/>
        </w:pBdr>
        <w:spacing w:line="240" w:lineRule="auto"/>
        <w:rPr>
          <w:color w:val="000000"/>
        </w:rPr>
      </w:pPr>
      <w:r>
        <w:rPr>
          <w:color w:val="000000"/>
        </w:rPr>
        <w:t>Are we still keeping this here since we've written a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17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ED49" w16cex:dateUtc="2021-11-06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177CC" w16cid:durableId="252FED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DA87" w14:textId="77777777" w:rsidR="00945CC6" w:rsidRDefault="00945CC6">
      <w:pPr>
        <w:spacing w:line="240" w:lineRule="auto"/>
      </w:pPr>
      <w:r>
        <w:separator/>
      </w:r>
    </w:p>
  </w:endnote>
  <w:endnote w:type="continuationSeparator" w:id="0">
    <w:p w14:paraId="4203BD46" w14:textId="77777777" w:rsidR="00945CC6" w:rsidRDefault="00945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5428" w14:textId="77777777" w:rsidR="00346C29" w:rsidRDefault="00945CC6">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F438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DC0D" w14:textId="77777777" w:rsidR="00945CC6" w:rsidRDefault="00945CC6">
      <w:pPr>
        <w:spacing w:line="240" w:lineRule="auto"/>
      </w:pPr>
      <w:r>
        <w:separator/>
      </w:r>
    </w:p>
  </w:footnote>
  <w:footnote w:type="continuationSeparator" w:id="0">
    <w:p w14:paraId="2B61FCC0" w14:textId="77777777" w:rsidR="00945CC6" w:rsidRDefault="00945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4534" w14:textId="77777777" w:rsidR="00346C29" w:rsidRDefault="00346C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F3F3C"/>
    <w:multiLevelType w:val="multilevel"/>
    <w:tmpl w:val="5270F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F05A0D"/>
    <w:multiLevelType w:val="multilevel"/>
    <w:tmpl w:val="D35AE3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C29"/>
    <w:rsid w:val="00346C29"/>
    <w:rsid w:val="006F438E"/>
    <w:rsid w:val="00945C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DC0D"/>
  <w15:docId w15:val="{7F1B35F4-FDDD-4544-9ED3-4DB67B1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keepLines/>
      <w:spacing w:line="240" w:lineRule="auto"/>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line="240" w:lineRule="auto"/>
      <w:jc w:val="center"/>
    </w:pPr>
    <w:rPr>
      <w:rFonts w:ascii="Times New Roman" w:eastAsia="Times New Roman" w:hAnsi="Times New Roman" w:cs="Times New Roman"/>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aronhedlund.github.io/policy/CGO_housingaffordability.pdf" TargetMode="External"/><Relationship Id="rId18" Type="http://schemas.openxmlformats.org/officeDocument/2006/relationships/hyperlink" Target="https://www.fhfa.gov/"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zillow.com/research/data/" TargetMode="External"/><Relationship Id="rId7" Type="http://schemas.openxmlformats.org/officeDocument/2006/relationships/hyperlink" Target="https://public.tableau.com" TargetMode="External"/><Relationship Id="rId12" Type="http://schemas.microsoft.com/office/2018/08/relationships/commentsExtensible" Target="commentsExtensible.xml"/><Relationship Id="rId17" Type="http://schemas.openxmlformats.org/officeDocument/2006/relationships/hyperlink" Target="https://www.census.gov/topics/housing/housing-patterns/about/core-based-statistical-areas.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Bloomberg_L.P." TargetMode="External"/><Relationship Id="rId20" Type="http://schemas.openxmlformats.org/officeDocument/2006/relationships/hyperlink" Target="https://www.zillow.com/research/data/"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help.tableau.com/current/pro/desktop/en-gb/maps_data.htm" TargetMode="External"/><Relationship Id="rId5" Type="http://schemas.openxmlformats.org/officeDocument/2006/relationships/footnotes" Target="footnotes.xml"/><Relationship Id="rId15" Type="http://schemas.openxmlformats.org/officeDocument/2006/relationships/hyperlink" Target="https://www.bloomberg.com/apps/news?pid=20601213&amp;sid=aAaW9UAEs8Dk&amp;refer=home" TargetMode="External"/><Relationship Id="rId23" Type="http://schemas.openxmlformats.org/officeDocument/2006/relationships/hyperlink" Target="https://help.tableau.com/current/pro/desktop/en-gb/maps_data.htm"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fred.stlouisfed.org/"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spglobal.com/spdji/en/documents/methodologies/methodology-sp-corelogic-cs-home-price-indices.pdf" TargetMode="External"/><Relationship Id="rId22" Type="http://schemas.openxmlformats.org/officeDocument/2006/relationships/hyperlink" Target="http://www.census.gov/programs-surveys/acs/data/summary-fil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2510</Words>
  <Characters>14312</Characters>
  <Application>Microsoft Office Word</Application>
  <DocSecurity>0</DocSecurity>
  <Lines>119</Lines>
  <Paragraphs>33</Paragraphs>
  <ScaleCrop>false</ScaleCrop>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Mahaveer</cp:lastModifiedBy>
  <cp:revision>3</cp:revision>
  <dcterms:created xsi:type="dcterms:W3CDTF">2021-11-06T00:50:00Z</dcterms:created>
  <dcterms:modified xsi:type="dcterms:W3CDTF">2021-11-06T00:57:00Z</dcterms:modified>
</cp:coreProperties>
</file>