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i w:val="1"/>
          <w:iCs w:val="1"/>
          <w:sz w:val="20"/>
          <w:szCs w:val="20"/>
          <w:rtl w:val="0"/>
          <w:lang w:val="en-US"/>
        </w:rPr>
        <w:t xml:space="preserve">For context on this tool, read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"https://infraeng.dev/decision-log/"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Decision Log @ Infrastructure Engineering</w:t>
      </w:r>
      <w:r>
        <w:rPr/>
        <w:fldChar w:fldCharType="end" w:fldLock="0"/>
      </w:r>
    </w:p>
    <w:p>
      <w:pPr>
        <w:pStyle w:val="Body"/>
      </w:pPr>
    </w:p>
    <w:p>
      <w:pPr>
        <w:pStyle w:val="Title"/>
      </w:pPr>
      <w:bookmarkStart w:name="_abc5akyi6h4" w:id="0"/>
      <w:bookmarkEnd w:id="0"/>
      <w:r>
        <w:rPr>
          <w:rStyle w:val="None"/>
          <w:rFonts w:cs="Arial Unicode MS" w:eastAsia="Arial Unicode MS"/>
          <w:rtl w:val="0"/>
          <w:lang w:val="en-US"/>
        </w:rPr>
        <w:t>I</w:t>
      </w:r>
      <w:r>
        <w:rPr>
          <w:rStyle w:val="None"/>
          <w:rFonts w:cs="Arial Unicode MS" w:eastAsia="Arial Unicode MS"/>
          <w:rtl w:val="0"/>
          <w:lang w:val="en-US"/>
        </w:rPr>
        <w:t>nfra Decision Log</w:t>
      </w:r>
    </w:p>
    <w:p>
      <w:pPr>
        <w:pStyle w:val="Body"/>
        <w:rPr>
          <w:rStyle w:val="None"/>
          <w:i w:val="1"/>
          <w:iCs w:val="1"/>
          <w:sz w:val="18"/>
          <w:szCs w:val="18"/>
        </w:rPr>
      </w:pPr>
      <w:r>
        <w:rPr>
          <w:rStyle w:val="None"/>
          <w:i w:val="1"/>
          <w:iCs w:val="1"/>
          <w:sz w:val="20"/>
          <w:szCs w:val="20"/>
          <w:rtl w:val="0"/>
          <w:lang w:val="en-US"/>
        </w:rPr>
        <w:t>Questions? Reach out in #decisions-infra on Slack</w:t>
      </w:r>
    </w:p>
    <w:p>
      <w:pPr>
        <w:pStyle w:val="Body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This document tracks open and finalized decisions for the Infrastructure organization.</w:t>
      </w:r>
    </w:p>
    <w:p>
      <w:pPr>
        <w:pStyle w:val="Heading"/>
      </w:pPr>
      <w:bookmarkStart w:name="_fxlt9mf9r2un" w:id="1"/>
      <w:bookmarkEnd w:id="1"/>
      <w:r>
        <w:rPr>
          <w:rStyle w:val="None"/>
          <w:rFonts w:cs="Arial Unicode MS" w:eastAsia="Arial Unicode MS"/>
          <w:rtl w:val="0"/>
        </w:rPr>
        <w:t>O</w:t>
      </w:r>
      <w:r>
        <w:rPr>
          <w:rStyle w:val="None"/>
          <w:rFonts w:cs="Arial Unicode MS" w:eastAsia="Arial Unicode MS"/>
          <w:rtl w:val="0"/>
          <w:lang w:val="en-US"/>
        </w:rPr>
        <w:t>pen Decisions</w:t>
      </w:r>
    </w:p>
    <w:p>
      <w:pPr>
        <w:pStyle w:val="Body"/>
        <w:rPr>
          <w:rStyle w:val="None"/>
          <w:sz w:val="20"/>
          <w:szCs w:val="2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Question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DRI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Date Added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155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Our migration away from the monolith is in year two and almost all new feature work still requires monolith changes. Should we revisit our strategy?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Michelle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2022/1/10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u w:val="none"/>
                <w:rtl w:val="0"/>
                <w:lang w:val="en-US"/>
              </w:rPr>
              <w:t xml:space="preserve">Discuss in </w:t>
            </w: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#decision-monolith</w:t>
            </w:r>
          </w:p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How should we prioritize migrating frontend Javascript to TypeScript?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Elizabeth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2022/1/17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u w:val="none"/>
                <w:rtl w:val="0"/>
                <w:lang w:val="en-US"/>
              </w:rPr>
              <w:t xml:space="preserve">Discuss in </w:t>
            </w: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#decision-typescript</w:t>
            </w:r>
          </w:p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Should we migrate our internal event collector and storage to Segment?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Jeremy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2022/2/1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u w:val="none"/>
                <w:rtl w:val="0"/>
                <w:lang w:val="en-US"/>
              </w:rPr>
              <w:t xml:space="preserve">Discuss in </w:t>
            </w: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#decision-segment</w:t>
            </w:r>
          </w:p>
        </w:tc>
      </w:tr>
    </w:tbl>
    <w:p>
      <w:pPr>
        <w:pStyle w:val="Body"/>
        <w:widowControl w:val="0"/>
        <w:spacing w:line="240" w:lineRule="auto"/>
        <w:rPr>
          <w:rStyle w:val="None"/>
          <w:sz w:val="20"/>
          <w:szCs w:val="20"/>
        </w:rPr>
      </w:pPr>
    </w:p>
    <w:p>
      <w:pPr>
        <w:pStyle w:val="Body"/>
        <w:rPr>
          <w:rStyle w:val="None"/>
          <w:sz w:val="20"/>
          <w:szCs w:val="20"/>
        </w:rPr>
      </w:pPr>
    </w:p>
    <w:p>
      <w:pPr>
        <w:pStyle w:val="Heading"/>
        <w:rPr>
          <w:rStyle w:val="None"/>
          <w:sz w:val="20"/>
          <w:szCs w:val="20"/>
        </w:rPr>
      </w:pPr>
      <w:bookmarkStart w:name="_ghjy2cr9qk" w:id="2"/>
      <w:bookmarkEnd w:id="2"/>
      <w:r>
        <w:rPr>
          <w:rStyle w:val="None"/>
          <w:rFonts w:cs="Arial Unicode MS" w:eastAsia="Arial Unicode MS"/>
          <w:rtl w:val="0"/>
        </w:rPr>
        <w:t>F</w:t>
      </w:r>
      <w:r>
        <w:rPr>
          <w:rStyle w:val="None"/>
          <w:rFonts w:cs="Arial Unicode MS" w:eastAsia="Arial Unicode MS"/>
          <w:rtl w:val="0"/>
          <w:lang w:val="en-US"/>
        </w:rPr>
        <w:t>inalized Decisions</w:t>
      </w: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40"/>
        <w:gridCol w:w="2340"/>
        <w:gridCol w:w="2340"/>
        <w:gridCol w:w="2340"/>
      </w:tblGrid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Decision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DRI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Date Decided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4c2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Approved backend languages are Go, Python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Michelle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2021/12/5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Backend Language Working Group Summary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Ongoing education budget is $1500/person/year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Jeremy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2021/2/11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Ongoing Education Policy Update</w:t>
            </w:r>
          </w:p>
        </w:tc>
      </w:tr>
      <w:tr>
        <w:tblPrEx>
          <w:shd w:val="clear" w:color="auto" w:fill="ced7e7"/>
        </w:tblPrEx>
        <w:trPr>
          <w:trHeight w:val="673" w:hRule="atLeast"/>
        </w:trPr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SREs share career ladder with Infrastructure Engineers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Elizabeth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rtl w:val="0"/>
                <w:lang w:val="en-US"/>
              </w:rPr>
              <w:t>2021/1/5</w:t>
            </w:r>
          </w:p>
        </w:tc>
        <w:tc>
          <w:tcPr>
            <w:tcW w:type="dxa" w:w="234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Why We</w:t>
            </w: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’</w:t>
            </w:r>
            <w:r>
              <w:rPr>
                <w:rStyle w:val="None"/>
                <w:sz w:val="20"/>
                <w:szCs w:val="20"/>
                <w:u w:val="single"/>
                <w:rtl w:val="0"/>
                <w:lang w:val="en-US"/>
              </w:rPr>
              <w:t>re Sharing Career Ladder Between SRE and Infra Eng</w:t>
            </w:r>
          </w:p>
        </w:tc>
      </w:tr>
    </w:tbl>
    <w:p>
      <w:pPr>
        <w:pStyle w:val="Heading"/>
        <w:widowControl w:val="0"/>
        <w:spacing w:line="240" w:lineRule="auto"/>
      </w:pPr>
      <w:r>
        <w:rPr>
          <w:rStyle w:val="None"/>
          <w:sz w:val="20"/>
          <w:szCs w:val="2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i w:val="1"/>
      <w:iCs w:val="1"/>
      <w:outline w:val="0"/>
      <w:color w:val="1155cc"/>
      <w:sz w:val="20"/>
      <w:szCs w:val="20"/>
      <w:u w:val="single" w:color="1155cc"/>
      <w14:textFill>
        <w14:solidFill>
          <w14:srgbClr w14:val="1155CC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