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8"/>
          <w:szCs w:val="38"/>
        </w:rPr>
        <w:t xml:space="preserve">Neuromorphic Field Diagnostic Unit</w:t>
      </w:r>
    </w:p>
    <w:p>
      <w:pPr>
        <w:spacing w:after="220"/>
      </w:pPr>
      <w:r>
        <w:rPr>
          <w:i/>
          <w:iCs/>
          <w:color w:val="666666"/>
          <w:sz w:val="22"/>
          <w:szCs w:val="22"/>
        </w:rPr>
        <w:t xml:space="preserve">Disaster-zone diagnostic &amp; stabilization device — project brief</w:t>
      </w:r>
    </w:p>
    <w:p>
      <w:pPr>
        <w:spacing w:after="140" w:line="272"/>
      </w:pPr>
      <w:r>
        <w:rPr>
          <w:b/>
          <w:bCs/>
        </w:rPr>
        <w:t xml:space="preserve">Concept. </w:t>
      </w:r>
      <w:r>
        <w:t xml:space="preserve">A handheld, battery-powered diagnostic instrument built on a neuromorphic processor that runs and interprets multiple point-of-care tests at once, fully offline. On-device it performs hemorrhage detection (PPG Compensatory Reserve), ECG, heart- and lung-sound analysis, capnography, pulse oximetry, respiratory rate, and thermal/neuro assessment; ultrasound and blood-chemistry modules dock for imaging and labs. It gives a first responder at the point of injury a live read on the MARCH life threats — massive hemorrhage, airway, respiration, circulation, hypothermia — and confirms whether each stabilization step is working. It is a diagnostic-and-stabilization instrument, not a patient-triage or prioritization system; ICU use is a secondary market.</w:t>
      </w:r>
    </w:p>
    <w:p>
      <w:pPr>
        <w:pStyle w:val="Heading1"/>
      </w:pPr>
      <w:r>
        <w:t xml:space="preserve">1. Problem</w:t>
      </w:r>
    </w:p>
    <w:p>
      <w:pPr>
        <w:spacing w:after="140" w:line="272"/>
      </w:pPr>
      <w:r>
        <w:t xml:space="preserve">Most disaster-zone deaths are preventable and come from a short list: hemorrhage (~91% of battlefield preventable deaths), airway obstruction (~7.9%), and tension pneumothorax (~1.1%). Nearly all are treatable in the field if caught in time.</w:t>
      </w:r>
    </w:p>
    <w:p>
      <w:pPr>
        <w:spacing w:after="140" w:line="272"/>
      </w:pPr>
      <w:r>
        <w:t xml:space="preserve">The tools that catch them — ultrasound, cardiac and blood-gas analyzers, monitors — are separate boxes that assume mains power, trained interpretation, or a cloud link. A responder has minutes, a battery, no network, and no single device that looks for all the killers at once.</w:t>
      </w:r>
    </w:p>
    <w:p>
      <w:pPr>
        <w:pStyle w:val="Heading1"/>
      </w:pPr>
      <w:r>
        <w:t xml:space="preserve">2. The device</w:t>
      </w:r>
    </w:p>
    <w:p>
      <w:pPr>
        <w:spacing w:after="140" w:line="272"/>
      </w:pPr>
      <w:r>
        <w:t xml:space="preserve">One portable unit: a neuromorphic core driving modular sensor front-ends, organized around </w:t>
      </w:r>
      <w:r>
        <w:rPr>
          <w:b/>
          <w:bCs/>
        </w:rPr>
        <w:t xml:space="preserve">MARCH</w:t>
      </w:r>
      <w:r>
        <w:t xml:space="preserve"> (Massive hemorrhage, Airway, Respiration, Circulation, Hypothermia/Head) — the sequence responders already use. Neuromorphic hardware is the enabler because continuous multi-signal sensing on a battery with no cloud is exactly its event-driven, low-power sweet spot; it keeps the unit running across a whole scene instead of an hour.</w:t>
      </w:r>
    </w:p>
    <w:p>
      <w:pPr>
        <w:spacing w:after="140" w:line="272"/>
      </w:pPr>
      <w:r>
        <w:rPr>
          <w:b/>
          <w:bCs/>
        </w:rPr>
        <w:t xml:space="preserve">Diagnose and stabilize. </w:t>
      </w:r>
      <w:r>
        <w:t xml:space="preserve">Output is what's wrong with the patient now, across every test the device runs, plus confirmation as the responder acts — verifying an airway with capnography, confirming a needle decompression re-expanded the lung, tracking whether hemorrhage control restores perfusion.</w:t>
      </w:r>
    </w:p>
    <w:p>
      <w:pPr>
        <w:spacing w:after="140" w:line="272"/>
      </w:pPr>
      <w:r>
        <w:rPr>
          <w:b/>
          <w:bCs/>
        </w:rPr>
        <w:t xml:space="preserve">AI is the core, not an add-on. </w:t>
      </w:r>
      <w:r>
        <w:t xml:space="preserve">Every test is a machine-learning model interpreting a raw signal: reading ECG for arrhythmia or STEMI, classifying heart and lung sounds, extracting the Compensatory Reserve signature from PPG, detecting seizures in EEG, interpreting ultrasound features. These are trained offline and run as spiking neural networks on the neuromorphic chip — edge inference, fully offline, with no cloud and no on-device training. The novelty is not a new diagnostic algorithm but running many of them concurrently at a milliwatt budget where a GPU never could. It is decision support: the AI flags and confirms while the responder stays in control.</w:t>
      </w:r>
    </w:p>
    <w:p>
      <w:pPr>
        <w:pStyle w:val="Heading1"/>
      </w:pPr>
      <w:r>
        <w:t xml:space="preserve">3. How many tests actually fit</w:t>
      </w:r>
    </w:p>
    <w:p>
      <w:pPr>
        <w:spacing w:after="140" w:line="272"/>
      </w:pPr>
      <w:r>
        <w:t xml:space="preserve">Tests split three ways by how they attach to the core. Most physiological diagnostics are pure compute and run </w:t>
      </w:r>
      <w:r>
        <w:rPr>
          <w:b/>
          <w:bCs/>
        </w:rPr>
        <w:t xml:space="preserve">on-core</w:t>
      </w:r>
      <w:r>
        <w:t xml:space="preserve">; ultrasound needs a </w:t>
      </w:r>
      <w:r>
        <w:rPr>
          <w:b/>
          <w:bCs/>
        </w:rPr>
        <w:t xml:space="preserve">docked probe</w:t>
      </w:r>
      <w:r>
        <w:t xml:space="preserve">; labs need a </w:t>
      </w:r>
      <w:r>
        <w:rPr>
          <w:b/>
          <w:bCs/>
        </w:rPr>
        <w:t xml:space="preserve">cartridge module</w:t>
      </w:r>
      <w:r>
        <w:t xml:space="preserve">. The unit spans all three; only the on-core class is native.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360"/>
        <w:gridCol w:w="2400"/>
      </w:tblGrid>
      <w:tr>
        <w:trPr>
          <w:tblHeader/>
        </w:trPr>
        <w:tc>
          <w:tcPr>
            <w:tcW w:type="dxa" w:w="16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MARCH step</w:t>
            </w:r>
          </w:p>
        </w:tc>
        <w:tc>
          <w:tcPr>
            <w:tcW w:type="dxa" w:w="536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Diagnostic tests</w:t>
            </w:r>
          </w:p>
        </w:tc>
        <w:tc>
          <w:tcPr>
            <w:tcW w:type="dxa" w:w="2400"/>
            <w:tcBorders>
              <w:top w:val="single" w:color="CCCCCC" w:sz="1"/>
              <w:left w:val="single" w:color="CCCCCC" w:sz="1"/>
              <w:bottom w:val="single" w:color="CCCCCC" w:sz="1"/>
              <w:right w:val="single" w:color="CCCCCC" w:sz="1"/>
            </w:tcBorders>
            <w:shd w:fill="1F3A5F" w:val="clear"/>
            <w:tcMar>
              <w:top w:type="dxa" w:w="80"/>
              <w:left w:type="dxa" w:w="120"/>
              <w:bottom w:type="dxa" w:w="80"/>
              <w:right w:type="dxa" w:w="120"/>
            </w:tcMar>
          </w:tcPr>
          <w:p>
            <w:r>
              <w:rPr>
                <w:b/>
                <w:bCs/>
                <w:color w:val="FFFFFF"/>
                <w:sz w:val="20"/>
                <w:szCs w:val="20"/>
              </w:rPr>
              <w:t xml:space="preserve">How it attaches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 — Hemorrhage</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PPG-waveform Compensatory Reserve (occult hemorrhage before vitals move); perfusion; shock index; hemoglobin</w:t>
            </w:r>
          </w:p>
        </w:tc>
        <w:tc>
          <w:tcPr>
            <w:tcW w:type="dxa" w:w="24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sz w:val="20"/>
                <w:szCs w:val="20"/>
              </w:rPr>
              <w:t xml:space="preserve">On-core (v1)</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 — Airway</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Breath-sound presence; stridor/obstruction; end-tidal CO₂ for tube confirmation</w:t>
            </w:r>
          </w:p>
        </w:tc>
        <w:tc>
          <w:tcPr>
            <w:tcW w:type="dxa" w:w="24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sz w:val="20"/>
                <w:szCs w:val="20"/>
              </w:rPr>
              <w:t xml:space="preserve">On-core (v1)</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 — Respiration</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Lung sounds (pneumothorax, edema); respiratory rate; SpO₂; eFAST for pneumothorax</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sz w:val="20"/>
                <w:szCs w:val="20"/>
              </w:rPr>
              <w:t xml:space="preserve">Docked probe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 — Circulation</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ECG (arrhythmia, STEMI); heart sounds (tamponade); FAST for internal bleeding; lactate; blood gas</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sz w:val="20"/>
                <w:szCs w:val="20"/>
              </w:rPr>
              <w:t xml:space="preserve">Docked probe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H — Hypothermia / Head</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Thermal imaging; perfusion asymmetry; EEG (seizure, TBI); pupillary response</w:t>
            </w:r>
          </w:p>
        </w:tc>
        <w:tc>
          <w:tcPr>
            <w:tcW w:type="dxa" w:w="240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sz w:val="20"/>
                <w:szCs w:val="20"/>
              </w:rPr>
              <w:t xml:space="preserve">On-core (v1)</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CCCCCC" w:sz="1"/>
              <w:left w:val="single" w:color="CCCCCC" w:sz="1"/>
              <w:bottom w:val="single" w:color="CCCCCC" w:sz="1"/>
              <w:right w:val="single" w:color="CCCCCC" w:sz="1"/>
            </w:tcBorders>
            <w:shd w:fill="D9EAD3" w:val="clear"/>
            <w:tcMar>
              <w:top w:type="dxa" w:w="80"/>
              <w:left w:type="dxa" w:w="120"/>
              <w:bottom w:type="dxa" w:w="80"/>
              <w:right w:type="dxa" w:w="120"/>
            </w:tcMar>
          </w:tcPr>
          <w:p>
            <w:r>
              <w:rPr>
                <w:b/>
                <w:bCs/>
              </w:rPr>
              <w:t xml:space="preserve">On-core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Signal + inference run on the neuromorphic core: ECG, PPG, auscultation, respiration, capnography, EEG, thermal, vision. These are v1.</w:t>
            </w:r>
          </w:p>
        </w:tc>
      </w:tr>
      <w:tr>
        <w:tc>
          <w:tcPr>
            <w:tcW w:type="dxa" w:w="31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b/>
                <w:bCs/>
              </w:rPr>
              <w:t xml:space="preserve">Docked probe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Physics-bound front-end (ultrasound transducer + beamforming). The core interprets; it can't generate the signal.</w:t>
            </w:r>
          </w:p>
        </w:tc>
      </w:tr>
      <w:tr>
        <w:tc>
          <w:tcPr>
            <w:tcW w:type="dxa" w:w="3120"/>
            <w:tcBorders>
              <w:top w:val="single" w:color="CCCCCC" w:sz="1"/>
              <w:left w:val="single" w:color="CCCCCC" w:sz="1"/>
              <w:bottom w:val="single" w:color="CCCCCC" w:sz="1"/>
              <w:right w:val="single" w:color="CCCCCC" w:sz="1"/>
            </w:tcBorders>
            <w:shd w:fill="F4CCCC" w:val="clear"/>
            <w:tcMar>
              <w:top w:type="dxa" w:w="80"/>
              <w:left w:type="dxa" w:w="120"/>
              <w:bottom w:type="dxa" w:w="80"/>
              <w:right w:type="dxa" w:w="120"/>
            </w:tcMar>
          </w:tcPr>
          <w:p>
            <w:r>
              <w:rPr>
                <w:b/>
                <w:bCs/>
              </w:rPr>
              <w:t xml:space="preserve">Cartridge module</w:t>
            </w:r>
          </w:p>
        </w:tc>
        <w:tc>
          <w:tcPr>
            <w:tcW w:type="dxa" w:w="62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Reagent chemistry, not compute: lactate, hemoglobin, blood gas, troponin, pathogen panels. Docks as a POC analyzer.</w:t>
            </w:r>
          </w:p>
        </w:tc>
      </w:tr>
    </w:tbl>
    <w:p>
      <w:pPr>
        <w:spacing w:after="100"/>
      </w:pPr>
    </w:p>
    <w:p>
      <w:pPr>
        <w:spacing w:after="140" w:line="272"/>
      </w:pPr>
      <w:r>
        <w:rPr>
          <w:b/>
          <w:bCs/>
        </w:rPr>
        <w:t xml:space="preserve">Two hard walls. </w:t>
      </w:r>
      <w:r>
        <w:t xml:space="preserve">A chip can't "do" ultrasound — a transducer physically generates the signal and the core only interprets it. Labs are reagent chemistry, not computation. Building the hub around these walls is what makes "many tests on one device" real.</w:t>
      </w:r>
    </w:p>
    <w:p>
      <w:pPr>
        <w:pStyle w:val="Heading1"/>
      </w:pPr>
      <w:r>
        <w:t xml:space="preserve">4. Technical design</w:t>
      </w:r>
    </w:p>
    <w:p>
      <w:pPr>
        <w:spacing w:after="140" w:line="272"/>
      </w:pPr>
      <w:r>
        <w:rPr>
          <w:b/>
          <w:bCs/>
        </w:rPr>
        <w:t xml:space="preserve">Signal path. </w:t>
      </w:r>
      <w:r>
        <w:t xml:space="preserve">Each modality is captured as a continuous waveform, converted to sparse spike events, and classified by a spiking neural network (SNN) running on the neuromorphic core. Compute happens only when the signal changes, so energy scales with the number of events, not the sample rate.</w:t>
      </w:r>
    </w:p>
    <w:p>
      <w:pPr>
        <w:spacing w:after="140" w:line="272"/>
      </w:pPr>
      <w:r>
        <w:rPr>
          <w:b/>
          <w:bCs/>
        </w:rPr>
        <w:t xml:space="preserve">Encoding — delta / level-crossing. </w:t>
      </w:r>
      <w:r>
        <w:t xml:space="preserve">A window is normalized (zero-mean, unit-variance), then delta-encoded: an ON event fires when the signal rises by a set threshold since the last event, an OFF event when it falls by that threshold, giving a two-channel ON/OFF spike raster. This is the same asynchronous scheme used by event cameras and neuromorphic ADCs. A higher threshold yields sparser events; combined with a training-time sparsity penalty, this is what earns the energy advantage — an SNN is only cheaper than a conventional network when it is sparse and uses few timesteps (operations scale with spike-rate x timesteps).</w:t>
      </w:r>
    </w:p>
    <w:p>
      <w:pPr>
        <w:spacing w:after="140" w:line="272"/>
      </w:pPr>
      <w:r>
        <w:rPr>
          <w:b/>
          <w:bCs/>
        </w:rPr>
        <w:t xml:space="preserve">Model. </w:t>
      </w:r>
      <w:r>
        <w:t xml:space="preserve">Leaky integrate-and-fire (LIF) neurons in feed-forward layers: membrane potential integrates synaptic current, fires at threshold, resets by subtraction. Trained off-device with surrogate-gradient backpropagation, then deployed as fixed-weight inference — the standard neuromorphic pattern. No on-device training.</w:t>
      </w:r>
    </w:p>
    <w:p>
      <w:pPr>
        <w:spacing w:after="140" w:line="272"/>
      </w:pPr>
      <w:r>
        <w:rPr>
          <w:b/>
          <w:bCs/>
        </w:rPr>
        <w:t xml:space="preserve">On-chip fidelity — a design constraint we diagnosed. </w:t>
      </w:r>
      <w:r>
        <w:t xml:space="preserve">Quantizing the trained model to the chip's 8-bit integer arithmetic degrades accuracy, and diagnosis localized the cause: it is not weight precision or decay approximation (both were ruled out by ablation) but per-timestep integer state-rounding that compounds nonlinearly over the analysis window, because the spiking reset makes errors cascade rather than average out. The practical consequence is a platform design principle — on-chip fidelity scales with the number of timesteps, so windows should be kept short, and there is a real trade-off between very sparse firing (which we favor for energy) and quantization robustness. This is the current engineering frontier: keeping the deployed integer model faithful to the trained one across every modality.</w:t>
      </w:r>
    </w:p>
    <w:p>
      <w:pPr>
        <w:spacing w:after="140" w:line="272"/>
      </w:pPr>
      <w:r>
        <w:rPr>
          <w:b/>
          <w:bCs/>
        </w:rPr>
        <w:t xml:space="preserve">Hardware target — SynSense Xylo (tier 1). </w:t>
      </w:r>
      <w:r>
        <w:t xml:space="preserve">The primary target is Xylo, an ultra-low-power (~30-500 uW) digital SNN core purpose-built for low-dimensional biosignals; SynSense publishes always-on ECG analysis at ~30 uW on it. The delta-encoded spike raster is exactly what Xylo's core consumes, and its LIF neuron matches the trained model, so the pipeline maps with no architectural change. Development uses SynSense's Rockpool SDK: the trained network is mapped to a Xylo hardware specification, its weights quantized to 8-bit, and run on the XyloSim bit-accurate simulator — which reproduces on-chip integer dynamics exactly, allowing full functional verification before any chip is purchased.</w:t>
      </w:r>
    </w:p>
    <w:p>
      <w:pPr>
        <w:spacing w:after="140" w:line="272"/>
      </w:pPr>
      <w:r>
        <w:rPr>
          <w:b/>
          <w:bCs/>
        </w:rPr>
        <w:t xml:space="preserve">Hardware extension — BrainChip Akida (tier 2, planned). </w:t>
      </w:r>
      <w:r>
        <w:t xml:space="preserve">Xylo covers the always-on 1-D biosignal tests but cannot do 2-D convolution, large fusion networks, or on-chip learning. Those — ultrasound and thermal imaging interpretation, deep multimodal MARCH fusion, on-device adaptation — are the intended second tier on BrainChip Akida, spun up intermittently while Xylo runs continuously. A production device could carry both: Xylo as the always-on sentinel, Akida woken for imaging and full fusion.</w:t>
      </w:r>
    </w:p>
    <w:p>
      <w:pPr>
        <w:pStyle w:val="Heading1"/>
      </w:pPr>
      <w:r>
        <w:t xml:space="preserve">5. Market position</w:t>
      </w:r>
    </w:p>
    <w:p>
      <w:pPr>
        <w:spacing w:after="140" w:line="272"/>
      </w:pPr>
      <w:r>
        <w:t xml:space="preserve">Point-of-care testing in austere settings is active but fragmented — ultrasound (Butterfly), labs (i-STAT-class), and vitals monitors are separate powered boxes. No one ships an integrated, offline, low-power unit that runs many tests together and ties them to stabilization. That integration, at a battery-realistic power budget, is the whitespace.</w:t>
      </w:r>
    </w:p>
    <w:p>
      <w:pPr>
        <w:spacing w:after="140" w:line="272"/>
      </w:pPr>
      <w:r>
        <w:rPr>
          <w:b/>
          <w:bCs/>
        </w:rPr>
        <w:t xml:space="preserve">Buy the silicon. </w:t>
      </w:r>
      <w:r>
        <w:t xml:space="preserve">Innatera and BrainChip (raised $25M Dec 2025, targeting medical/wearables) supply the processor. The contribution is the offline multimodal system, not a new chip — where a processing-in-memory / architecture background is the advantage.</w:t>
      </w:r>
    </w:p>
    <w:p>
      <w:pPr>
        <w:pStyle w:val="Heading1"/>
      </w:pPr>
      <w:r>
        <w:t xml:space="preserve">6. Regulatory</w:t>
      </w:r>
    </w:p>
    <w:p>
      <w:pPr>
        <w:spacing w:after="140" w:line="272"/>
      </w:pPr>
      <w:r>
        <w:t xml:space="preserve">Position as a diagnostic-support tool with the clinician in control, keeping it out of the highest-risk lane. Each diagnostic function can carry its own clearance, and 97% of AI devices clear via 510(k) predicate (FDA eased decision-support rules Jan 2026). This is why capability is phased: ship a defensible test cluster first, add modules against their own predicates.</w:t>
      </w:r>
    </w:p>
    <w:p>
      <w:pPr>
        <w:pStyle w:val="Heading1"/>
      </w:pPr>
      <w:r>
        <w:t xml:space="preserve">7. Go-to-market</w:t>
      </w:r>
    </w:p>
    <w:p>
      <w:pPr>
        <w:pStyle w:val="ListParagraph"/>
        <w:numPr>
          <w:ilvl w:val="0"/>
          <w:numId w:val="2"/>
        </w:numPr>
        <w:spacing w:after="90"/>
      </w:pPr>
      <w:r>
        <w:rPr>
          <w:b/>
          <w:bCs/>
        </w:rPr>
        <w:t xml:space="preserve">Primary — disaster &amp; far-forward: </w:t>
      </w:r>
      <w:r>
        <w:t xml:space="preserve">USAR, humanitarian and military medics, rural clinicians. DARPA (MASH, Triage Challenge) and TATRC's Autonomous Casualty Care are a non-dilutive on-ramp and early buyer.</w:t>
      </w:r>
    </w:p>
    <w:p>
      <w:pPr>
        <w:pStyle w:val="ListParagraph"/>
        <w:numPr>
          <w:ilvl w:val="0"/>
          <w:numId w:val="2"/>
        </w:numPr>
        <w:spacing w:after="90"/>
      </w:pPr>
      <w:r>
        <w:rPr>
          <w:b/>
          <w:bCs/>
        </w:rPr>
        <w:t xml:space="preserve">Secondary — ICU/transport: </w:t>
      </w:r>
      <w:r>
        <w:t xml:space="preserve">value during power loss or transport, but incumbents are entrenched and cycles are long. Expansion, not wedge.</w:t>
      </w:r>
    </w:p>
    <w:p>
      <w:pPr>
        <w:pStyle w:val="Heading1"/>
      </w:pPr>
      <w:r>
        <w:t xml:space="preserve">8. Moat</w:t>
      </w:r>
    </w:p>
    <w:p>
      <w:pPr>
        <w:spacing w:after="140" w:line="272"/>
      </w:pPr>
      <w:r>
        <w:t xml:space="preserve">Not the silicon (vendors sell it) or any single test (point solutions own each). The moat is the integration: an offline, milliwatt-scale core fusing many diagnostics, validated early-diagnosis signatures like PPG Compensatory Reserve that catch hemorrhage before vitals move, and an event-driven memory/compute design suited to a PIM background — wrapped in the MARCH stabilization loop.</w:t>
      </w:r>
    </w:p>
    <w:p>
      <w:pPr>
        <w:pStyle w:val="Heading1"/>
      </w:pPr>
      <w:r>
        <w:t xml:space="preserve">9. v1 scope</w:t>
      </w:r>
    </w:p>
    <w:p>
      <w:pPr>
        <w:spacing w:after="140" w:line="272"/>
      </w:pPr>
      <w:r>
        <w:t xml:space="preserve">Keep breadth as the north star; ship the </w:t>
      </w:r>
      <w:r>
        <w:rPr>
          <w:b/>
          <w:bCs/>
        </w:rPr>
        <w:t xml:space="preserve">MARCH-critical on-core cluster</w:t>
      </w:r>
      <w:r>
        <w:t xml:space="preserve"> first — the tests that catch the preventable killers with no consumables:</w:t>
      </w:r>
    </w:p>
    <w:p>
      <w:pPr>
        <w:pStyle w:val="ListParagraph"/>
        <w:numPr>
          <w:ilvl w:val="0"/>
          <w:numId w:val="2"/>
        </w:numPr>
        <w:spacing w:after="90"/>
      </w:pPr>
      <w:r>
        <w:rPr>
          <w:b/>
          <w:bCs/>
        </w:rPr>
        <w:t xml:space="preserve">Hemorrhage: </w:t>
      </w:r>
      <w:r>
        <w:t xml:space="preserve">PPG Compensatory Reserve + perfusion + shock index.</w:t>
      </w:r>
    </w:p>
    <w:p>
      <w:pPr>
        <w:pStyle w:val="ListParagraph"/>
        <w:numPr>
          <w:ilvl w:val="0"/>
          <w:numId w:val="2"/>
        </w:numPr>
        <w:spacing w:after="90"/>
      </w:pPr>
      <w:r>
        <w:rPr>
          <w:b/>
          <w:bCs/>
        </w:rPr>
        <w:t xml:space="preserve">Airway / respiration: </w:t>
      </w:r>
      <w:r>
        <w:t xml:space="preserve">breath-sound + stridor analysis + capnography + SpO₂.</w:t>
      </w:r>
    </w:p>
    <w:p>
      <w:pPr>
        <w:pStyle w:val="ListParagraph"/>
        <w:numPr>
          <w:ilvl w:val="0"/>
          <w:numId w:val="2"/>
        </w:numPr>
        <w:spacing w:after="90"/>
      </w:pPr>
      <w:r>
        <w:rPr>
          <w:b/>
          <w:bCs/>
        </w:rPr>
        <w:t xml:space="preserve">Circulation: </w:t>
      </w:r>
      <w:r>
        <w:t xml:space="preserve">ECG + heart-sound analysis.</w:t>
      </w:r>
    </w:p>
    <w:p>
      <w:pPr>
        <w:pStyle w:val="ListParagraph"/>
        <w:numPr>
          <w:ilvl w:val="0"/>
          <w:numId w:val="2"/>
        </w:numPr>
        <w:spacing w:after="90"/>
      </w:pPr>
      <w:r>
        <w:rPr>
          <w:b/>
          <w:bCs/>
        </w:rPr>
        <w:t xml:space="preserve">Hypothermia / head: </w:t>
      </w:r>
      <w:r>
        <w:t xml:space="preserve">thermal + basic EEG/neuro signs.</w:t>
      </w:r>
    </w:p>
    <w:p>
      <w:pPr>
        <w:spacing w:after="140" w:line="272"/>
      </w:pPr>
      <w:r>
        <w:t xml:space="preserve">Design the sensor bus so an ultrasound probe and a POC-lab module dock later against their own clearances.</w:t>
      </w:r>
    </w:p>
    <w:p>
      <w:pPr>
        <w:pStyle w:val="Heading1"/>
      </w:pPr>
      <w:r>
        <w:t xml:space="preserve">10. Risks</w:t>
      </w:r>
    </w:p>
    <w:p>
      <w:pPr>
        <w:pStyle w:val="ListParagraph"/>
        <w:numPr>
          <w:ilvl w:val="0"/>
          <w:numId w:val="2"/>
        </w:numPr>
        <w:spacing w:after="90"/>
      </w:pPr>
      <w:r>
        <w:rPr>
          <w:b/>
          <w:bCs/>
        </w:rPr>
        <w:t xml:space="preserve">Field noise: </w:t>
      </w:r>
      <w:r>
        <w:t xml:space="preserve">motion, blast noise, and poor contact degrade CRM and acoustic tests — the MVP must stress-test this first.</w:t>
      </w:r>
    </w:p>
    <w:p>
      <w:pPr>
        <w:pStyle w:val="ListParagraph"/>
        <w:numPr>
          <w:ilvl w:val="0"/>
          <w:numId w:val="2"/>
        </w:numPr>
        <w:spacing w:after="90"/>
      </w:pPr>
      <w:r>
        <w:rPr>
          <w:b/>
          <w:bCs/>
        </w:rPr>
        <w:t xml:space="preserve">Over-scope: </w:t>
      </w:r>
      <w:r>
        <w:t xml:space="preserve">building the full hub into v1 multiplies validation and stalls the program. Hold the on-core cluster.</w:t>
      </w:r>
    </w:p>
    <w:p>
      <w:pPr>
        <w:pStyle w:val="ListParagraph"/>
        <w:numPr>
          <w:ilvl w:val="0"/>
          <w:numId w:val="2"/>
        </w:numPr>
        <w:spacing w:after="90"/>
      </w:pPr>
      <w:r>
        <w:rPr>
          <w:b/>
          <w:bCs/>
        </w:rPr>
        <w:t xml:space="preserve">Tooling: </w:t>
      </w:r>
      <w:r>
        <w:t xml:space="preserve">neuromorphic software lags CUDA/PyTorch; budget real time for spiking-model development.</w:t>
      </w:r>
    </w:p>
    <w:p>
      <w:pPr>
        <w:pStyle w:val="ListParagraph"/>
        <w:numPr>
          <w:ilvl w:val="0"/>
          <w:numId w:val="2"/>
        </w:numPr>
        <w:spacing w:after="90"/>
      </w:pPr>
      <w:r>
        <w:rPr>
          <w:b/>
          <w:bCs/>
        </w:rPr>
        <w:t xml:space="preserve">Bundling: </w:t>
      </w:r>
      <w:r>
        <w:t xml:space="preserve">an ultrasound or lab incumbent could add offline modes; the moat must stay multi-modality integration.</w:t>
      </w:r>
    </w:p>
    <w:p>
      <w:pPr>
        <w:pStyle w:val="Heading1"/>
      </w:pPr>
      <w:r>
        <w:t xml:space="preserve">11. Validation roadmap</w:t>
      </w:r>
    </w:p>
    <w:p>
      <w:pPr>
        <w:spacing w:after="140" w:line="272"/>
      </w:pPr>
      <w:r>
        <w:rPr>
          <w:b/>
          <w:bCs/>
        </w:rPr>
        <w:t xml:space="preserve">What is proven. </w:t>
      </w:r>
      <w:r>
        <w:t xml:space="preserve">The full Xylo deployment path works end to end in software: a trained spiking network maps, quantizes to 8-bit, and runs on SynSense's bit-precise XyloSim — which reproduces on-chip behaviour exactly — so the hardware target is de-risked before any chip is bought. Data provenance is enforced (every result is labelled real vs. synthetic and guarded against silent substitution), and each dataset is trained and reported separately with its own caveats rather than averaged away.</w:t>
      </w:r>
    </w:p>
    <w:p>
      <w:pPr>
        <w:spacing w:after="140" w:line="272"/>
      </w:pPr>
      <w:r>
        <w:rPr>
          <w:b/>
          <w:bCs/>
        </w:rPr>
        <w:t xml:space="preserve">What is not yet solid — stated plainly. </w:t>
      </w:r>
      <w:r>
        <w:t xml:space="preserve">The per-modality models themselves are early, and honest measurement has been more valuable than headline accuracy. Real ECG (MIT-BIH) initially looked strong at ~0.92 but was collapsing to the majority class on a 92/8 split; fixing it (class-weighted loss, model selection by balanced accuracy) produced a model that genuinely discriminates both classes — and revealed a real on-chip fidelity gap that the degenerate model had masked (float-vs-XyloSim agreement is ~0.56, not a trivial 1.0). Synthetic ECG shows a similar quantization gap; shortening the analysis window helps modestly in simulation but does not transfer cleanly to real 360 Hz data. Real PPG remains near its base rate because its label is still the SpO₂ proxy, not a hemorrhage signal.</w:t>
      </w:r>
    </w:p>
    <w:p>
      <w:pPr>
        <w:spacing w:after="140" w:line="272"/>
      </w:pPr>
      <w:r>
        <w:rPr>
          <w:b/>
          <w:bCs/>
        </w:rPr>
        <w:t xml:space="preserve">Architecture caveat. </w:t>
      </w:r>
      <w:r>
        <w:t xml:space="preserve">One-chip co-residence of two modalities is structurally confirmed (independent per-neuron dynamics, block-placed weights, a valid config), but it carries a real fidelity cost under Xylo's single shared 8-bit quantization scale — combining ECG and PPG dropped PPG's simulator agreement from ~0.88 to ~0.65, and per-channel quantization did not recover it. So the one-chip decision is proven feasible but not free; the multi-chip fallback (one Xylo per modality, fused on the Akida tier) stays open. Crucially, these fidelity numbers are being read off models that are not yet solid, so no architecture conclusion is final until at least one modality is both non-degenerate and quantization-robust. Immediate priorities: harden per-modality models and close the quantization gap, then re-measure co-residence, and replace the PPG proxy label with a real induced-hypovolemia (LBNP) dataset.</w:t>
      </w:r>
    </w:p>
    <w:p>
      <w:pPr>
        <w:pStyle w:val="ListParagraph"/>
        <w:numPr>
          <w:ilvl w:val="0"/>
          <w:numId w:val="2"/>
        </w:numPr>
        <w:spacing w:after="90"/>
      </w:pPr>
      <w:r>
        <w:rPr>
          <w:b/>
          <w:bCs/>
        </w:rPr>
        <w:t xml:space="preserve">Phase 0 — software MVP (now): </w:t>
      </w:r>
      <w:r>
        <w:t xml:space="preserve">simulate the multi-test pipeline on public datasets and show concurrent detection of the MARCH killers at a fraction of conventional compute/energy.</w:t>
      </w:r>
    </w:p>
    <w:p>
      <w:pPr>
        <w:pStyle w:val="ListParagraph"/>
        <w:numPr>
          <w:ilvl w:val="0"/>
          <w:numId w:val="2"/>
        </w:numPr>
        <w:spacing w:after="90"/>
      </w:pPr>
      <w:r>
        <w:rPr>
          <w:b/>
          <w:bCs/>
        </w:rPr>
        <w:t xml:space="preserve">Phase 1 — architecture eval: </w:t>
      </w:r>
      <w:r>
        <w:t xml:space="preserve">benchmark spiking vs. conventional (latency, energy, accuracy) with Lava / Nengo / SpikingJelly vs. PyTorch.</w:t>
      </w:r>
    </w:p>
    <w:p>
      <w:pPr>
        <w:pStyle w:val="ListParagraph"/>
        <w:numPr>
          <w:ilvl w:val="0"/>
          <w:numId w:val="2"/>
        </w:numPr>
        <w:spacing w:after="90"/>
      </w:pPr>
      <w:r>
        <w:rPr>
          <w:b/>
          <w:bCs/>
        </w:rPr>
        <w:t xml:space="preserve">Phase 2 — FPGA prototype: </w:t>
      </w:r>
      <w:r>
        <w:t xml:space="preserve">implement the core; measure real power/latency on noisy field-like data.</w:t>
      </w:r>
    </w:p>
    <w:p>
      <w:pPr>
        <w:pStyle w:val="ListParagraph"/>
        <w:numPr>
          <w:ilvl w:val="0"/>
          <w:numId w:val="2"/>
        </w:numPr>
        <w:spacing w:after="90"/>
      </w:pPr>
      <w:r>
        <w:rPr>
          <w:b/>
          <w:bCs/>
        </w:rPr>
        <w:t xml:space="preserve">Phase 3 — silicon + clinical validation: </w:t>
      </w:r>
      <w:r>
        <w:t xml:space="preserve">after the cluster is proven and a pilot is secured.</w:t>
      </w:r>
    </w:p>
    <w:p>
      <w:pPr>
        <w:pStyle w:val="Heading1"/>
      </w:pPr>
      <w:r>
        <w:t xml:space="preserve">12. Open questions</w:t>
      </w:r>
    </w:p>
    <w:p>
      <w:pPr>
        <w:pStyle w:val="ListParagraph"/>
        <w:numPr>
          <w:ilvl w:val="0"/>
          <w:numId w:val="2"/>
        </w:numPr>
        <w:spacing w:after="90"/>
      </w:pPr>
      <w:r>
        <w:t xml:space="preserve">Which on-core tests hold accuracy under motion and noise — and which need a docked probe to be trustworthy?</w:t>
      </w:r>
    </w:p>
    <w:p>
      <w:pPr>
        <w:pStyle w:val="ListParagraph"/>
        <w:numPr>
          <w:ilvl w:val="0"/>
          <w:numId w:val="2"/>
        </w:numPr>
        <w:spacing w:after="90"/>
      </w:pPr>
      <w:r>
        <w:t xml:space="preserve">What minimum test set would a disaster or military buyer actually deploy?</w:t>
      </w:r>
    </w:p>
    <w:p>
      <w:pPr>
        <w:pStyle w:val="ListParagraph"/>
        <w:numPr>
          <w:ilvl w:val="0"/>
          <w:numId w:val="2"/>
        </w:numPr>
        <w:spacing w:after="90"/>
      </w:pPr>
      <w:r>
        <w:t xml:space="preserve">Full field unit vs. a licensable neuromorphic diagnostic core — which fits the team and funding?</w:t>
      </w:r>
    </w:p>
    <w:p>
      <w:pPr>
        <w:pStyle w:val="Heading1"/>
      </w:pPr>
      <w:r>
        <w:t xml:space="preserve">Sources</w:t>
      </w:r>
    </w:p>
    <w:p>
      <w:pPr>
        <w:spacing w:after="140" w:line="272"/>
      </w:pPr>
      <w:hyperlink w:history="1" r:id="rIdajzlxbigagssrrum7wws3">
        <w:r>
          <w:rPr>
            <w:rStyle w:val="Hyperlink"/>
          </w:rPr>
          <w:t xml:space="preserve">Preventable prehospital death &amp; MARCH</w:t>
        </w:r>
      </w:hyperlink>
      <w:r>
        <w:t xml:space="preserve">  ·  </w:t>
      </w:r>
      <w:hyperlink w:history="1" r:id="rIdde2fmi-eipm8dieacue38">
        <w:r>
          <w:rPr>
            <w:rStyle w:val="Hyperlink"/>
          </w:rPr>
          <w:t xml:space="preserve">MARCH algorithm</w:t>
        </w:r>
      </w:hyperlink>
      <w:r>
        <w:t xml:space="preserve">  ·  </w:t>
      </w:r>
      <w:hyperlink w:history="1" r:id="rIdc_lwap-n0eiamyf4c7ncj">
        <w:r>
          <w:rPr>
            <w:rStyle w:val="Hyperlink"/>
          </w:rPr>
          <w:t xml:space="preserve">POC testing in disaster/critical care</w:t>
        </w:r>
      </w:hyperlink>
      <w:r>
        <w:t xml:space="preserve">  ·  </w:t>
      </w:r>
      <w:hyperlink w:history="1" r:id="rIdvcjugn3odjwwjw4unxkgl">
        <w:r>
          <w:rPr>
            <w:rStyle w:val="Hyperlink"/>
          </w:rPr>
          <w:t xml:space="preserve">POC ultrasound in austere environments</w:t>
        </w:r>
      </w:hyperlink>
    </w:p>
    <w:p>
      <w:pPr>
        <w:spacing w:after="140" w:line="272"/>
      </w:pPr>
      <w:hyperlink w:history="1" r:id="rIdw-7aheo9gaptlgufy1n4f">
        <w:r>
          <w:rPr>
            <w:rStyle w:val="Hyperlink"/>
          </w:rPr>
          <w:t xml:space="preserve">CRM wearable validation</w:t>
        </w:r>
      </w:hyperlink>
      <w:r>
        <w:t xml:space="preserve">  ·  </w:t>
      </w:r>
      <w:hyperlink w:history="1" r:id="rId5o2h6_u_wxfmkpadlkfn0">
        <w:r>
          <w:rPr>
            <w:rStyle w:val="Hyperlink"/>
          </w:rPr>
          <w:t xml:space="preserve">CRM vs. traditional vitals</w:t>
        </w:r>
      </w:hyperlink>
      <w:r>
        <w:t xml:space="preserve">  ·  </w:t>
      </w:r>
      <w:hyperlink w:history="1" r:id="rId51vrxrgxeaxaten70aq_e">
        <w:r>
          <w:rPr>
            <w:rStyle w:val="Hyperlink"/>
          </w:rPr>
          <w:t xml:space="preserve">DARPA MASH</w:t>
        </w:r>
      </w:hyperlink>
      <w:r>
        <w:t xml:space="preserve">  ·  </w:t>
      </w:r>
      <w:hyperlink w:history="1" r:id="rId5hud6nk6cq1minzphwpc2">
        <w:r>
          <w:rPr>
            <w:rStyle w:val="Hyperlink"/>
          </w:rPr>
          <w:t xml:space="preserve">BrainChip $25M</w:t>
        </w:r>
      </w:hyperlink>
      <w:r>
        <w:t xml:space="preserve">  ·  </w:t>
      </w:r>
      <w:hyperlink w:history="1" r:id="rIdvodf0f567gwwiad80nyec">
        <w:r>
          <w:rPr>
            <w:rStyle w:val="Hyperlink"/>
          </w:rPr>
          <w:t xml:space="preserve">FDA AI/SaMD pathway</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66666"/>
        <w:sz w:val="16"/>
        <w:szCs w:val="16"/>
      </w:rPr>
      <w:t xml:space="preserve">Neuromorphic Field Diagnostic Unit</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pPr>
    <w:r>
      <w:rPr>
        <w:color w:val="666666"/>
        <w:sz w:val="16"/>
        <w:szCs w:val="16"/>
      </w:rPr>
      <w:t xml:space="preserve">Project EIA — Working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3"/>
      </w:pBdr>
      <w:spacing w:after="120" w:before="280"/>
      <w:outlineLvl w:val="0"/>
    </w:pPr>
    <w:rPr>
      <w:rFonts w:ascii="Arial" w:cs="Arial" w:eastAsia="Arial" w:hAnsi="Arial"/>
      <w:b/>
      <w:bCs/>
      <w:color w:val="1F3A5F"/>
      <w:sz w:val="27"/>
      <w:szCs w:val="27"/>
    </w:rPr>
  </w:style>
  <w:style w:type="paragraph" w:styleId="Heading2">
    <w:name w:val="Heading 2"/>
    <w:basedOn w:val="Normal"/>
    <w:next w:val="Normal"/>
    <w:qFormat/>
    <w:pPr>
      <w:spacing w:after="90" w:before="180"/>
      <w:outlineLvl w:val="1"/>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jzlxbigagssrrum7wws3" Type="http://schemas.openxmlformats.org/officeDocument/2006/relationships/hyperlink" Target="https://link.springer.com/article/10.1186/s13049-023-01107-8" TargetMode="External"/><Relationship Id="rIdde2fmi-eipm8dieacue38" Type="http://schemas.openxmlformats.org/officeDocument/2006/relationships/hyperlink" Target="https://www.tactical-medicine.com/pages/the-march-algorithm-definitive-2026-reference" TargetMode="External"/><Relationship Id="rIdc_lwap-n0eiamyf4c7ncj" Type="http://schemas.openxmlformats.org/officeDocument/2006/relationships/hyperlink" Target="https://pmc.ncbi.nlm.nih.gov/articles/PMC3769791/" TargetMode="External"/><Relationship Id="rIdvcjugn3odjwwjw4unxkgl" Type="http://schemas.openxmlformats.org/officeDocument/2006/relationships/hyperlink" Target="https://www.ncbi.nlm.nih.gov/pmc/articles/PMC11620461/" TargetMode="External"/><Relationship Id="rIdw-7aheo9gaptlgufy1n4f" Type="http://schemas.openxmlformats.org/officeDocument/2006/relationships/hyperlink" Target="https://www.mdpi.com/1424-8220/26/8/2513" TargetMode="External"/><Relationship Id="rId5o2h6_u_wxfmkpadlkfn0" Type="http://schemas.openxmlformats.org/officeDocument/2006/relationships/hyperlink" Target="https://www.ncbi.nlm.nih.gov/pubmed/25423536" TargetMode="External"/><Relationship Id="rId51vrxrgxeaxaten70aq_e" Type="http://schemas.openxmlformats.org/officeDocument/2006/relationships/hyperlink" Target="https://www.darpa.mil/news/2025/sensor-guided-robots-could-boost-lifesaving-combat-casualty-care" TargetMode="External"/><Relationship Id="rId5hud6nk6cq1minzphwpc2" Type="http://schemas.openxmlformats.org/officeDocument/2006/relationships/hyperlink" Target="https://siliconangle.com/2025/12/10/brainchip-lands-25m-bring-neuromorphic-ai-edge/" TargetMode="External"/><Relationship Id="rIdvodf0f567gwwiad80nyec" Type="http://schemas.openxmlformats.org/officeDocument/2006/relationships/hyperlink" Target="https://www.fda.gov/medical-devices/software-medical-device-samd/artificial-intelligence-software-medical-device"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2026-07-06T19:23:07.890Z</dcterms:created>
  <dcterms:modified xsi:type="dcterms:W3CDTF">2026-07-06T19:23:07.890Z</dcterms:modified>
</cp:coreProperties>
</file>

<file path=docProps/custom.xml><?xml version="1.0" encoding="utf-8"?>
<Properties xmlns="http://schemas.openxmlformats.org/officeDocument/2006/custom-properties" xmlns:vt="http://schemas.openxmlformats.org/officeDocument/2006/docPropsVTypes"/>
</file>