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07D23" w14:textId="77777777" w:rsidR="005E6069" w:rsidRDefault="00000000">
      <w:pPr>
        <w:spacing w:before="800" w:after="200"/>
        <w:jc w:val="center"/>
      </w:pPr>
      <w:r>
        <w:rPr>
          <w:b/>
          <w:bCs/>
          <w:color w:val="1F3864"/>
          <w:sz w:val="40"/>
          <w:szCs w:val="40"/>
        </w:rPr>
        <w:t>RELATÓRIO ANALÍTICO DO PROCESSO</w:t>
      </w:r>
    </w:p>
    <w:p w14:paraId="76CD98DB" w14:textId="77777777" w:rsidR="005E6069" w:rsidRDefault="00000000">
      <w:pPr>
        <w:spacing w:after="120"/>
        <w:jc w:val="center"/>
      </w:pPr>
      <w:r>
        <w:rPr>
          <w:color w:val="2E75B6"/>
          <w:sz w:val="28"/>
          <w:szCs w:val="28"/>
        </w:rPr>
        <w:t>Ação Civil Pública Nº 5012227-71.2018.4.04.7205/SC</w:t>
      </w:r>
    </w:p>
    <w:p w14:paraId="486DEE0A" w14:textId="77777777" w:rsidR="005E6069" w:rsidRDefault="00000000">
      <w:pPr>
        <w:spacing w:after="600"/>
        <w:jc w:val="center"/>
      </w:pPr>
      <w:r>
        <w:rPr>
          <w:i/>
          <w:iCs/>
          <w:color w:val="44546A"/>
        </w:rPr>
        <w:t xml:space="preserve">Barragens do Alto Vale do Itajaí — Terra Indígena </w:t>
      </w:r>
      <w:proofErr w:type="spellStart"/>
      <w:r>
        <w:rPr>
          <w:i/>
          <w:iCs/>
          <w:color w:val="44546A"/>
        </w:rPr>
        <w:t>Ibirama-La</w:t>
      </w:r>
      <w:proofErr w:type="spellEnd"/>
      <w:r>
        <w:rPr>
          <w:i/>
          <w:iCs/>
          <w:color w:val="44546A"/>
        </w:rPr>
        <w:t xml:space="preserve"> </w:t>
      </w:r>
      <w:proofErr w:type="spellStart"/>
      <w:r>
        <w:rPr>
          <w:i/>
          <w:iCs/>
          <w:color w:val="44546A"/>
        </w:rPr>
        <w:t>Klãnõ</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26"/>
      </w:tblGrid>
      <w:tr w:rsidR="005E6069" w14:paraId="11A7434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1BF70" w14:textId="77777777" w:rsidR="005E6069" w:rsidRDefault="00000000">
            <w:r>
              <w:rPr>
                <w:b/>
                <w:bCs/>
                <w:sz w:val="22"/>
                <w:szCs w:val="22"/>
              </w:rPr>
              <w:t>Processo</w:t>
            </w:r>
          </w:p>
        </w:tc>
        <w:tc>
          <w:tcPr>
            <w:tcW w:w="6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A024E" w14:textId="77777777" w:rsidR="005E6069" w:rsidRDefault="00000000">
            <w:r>
              <w:rPr>
                <w:sz w:val="22"/>
                <w:szCs w:val="22"/>
              </w:rPr>
              <w:t>5012227-71.2018.4.04.7205/SC (originário: 1997.72.05.005198-7/SC)</w:t>
            </w:r>
          </w:p>
        </w:tc>
      </w:tr>
      <w:tr w:rsidR="005E6069" w14:paraId="0137F60D"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8CCC592" w14:textId="77777777" w:rsidR="005E6069" w:rsidRDefault="00000000">
            <w:r>
              <w:rPr>
                <w:b/>
                <w:bCs/>
                <w:sz w:val="22"/>
                <w:szCs w:val="22"/>
              </w:rPr>
              <w:t>Tipo de Ação</w:t>
            </w:r>
          </w:p>
        </w:tc>
        <w:tc>
          <w:tcPr>
            <w:tcW w:w="63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2C45685" w14:textId="77777777" w:rsidR="005E6069" w:rsidRDefault="00000000">
            <w:r>
              <w:rPr>
                <w:sz w:val="22"/>
                <w:szCs w:val="22"/>
              </w:rPr>
              <w:t>Ação Civil Pública — Obrigação de Fazer (Dano Ambiental)</w:t>
            </w:r>
          </w:p>
        </w:tc>
      </w:tr>
      <w:tr w:rsidR="005E6069" w14:paraId="4EF54A40"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6FA02" w14:textId="77777777" w:rsidR="005E6069" w:rsidRDefault="00000000">
            <w:r>
              <w:rPr>
                <w:b/>
                <w:bCs/>
                <w:sz w:val="22"/>
                <w:szCs w:val="22"/>
              </w:rPr>
              <w:t>Autuação Original</w:t>
            </w:r>
          </w:p>
        </w:tc>
        <w:tc>
          <w:tcPr>
            <w:tcW w:w="6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1FBC9" w14:textId="77777777" w:rsidR="005E6069" w:rsidRDefault="00000000">
            <w:r>
              <w:rPr>
                <w:sz w:val="22"/>
                <w:szCs w:val="22"/>
              </w:rPr>
              <w:t>14/10/1997</w:t>
            </w:r>
          </w:p>
        </w:tc>
      </w:tr>
      <w:tr w:rsidR="005E6069" w14:paraId="7C42AFF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32E593C" w14:textId="77777777" w:rsidR="005E6069" w:rsidRDefault="00000000">
            <w:r>
              <w:rPr>
                <w:b/>
                <w:bCs/>
                <w:sz w:val="22"/>
                <w:szCs w:val="22"/>
              </w:rPr>
              <w:t>Trânsito em Julgado</w:t>
            </w:r>
          </w:p>
        </w:tc>
        <w:tc>
          <w:tcPr>
            <w:tcW w:w="63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422206D" w14:textId="77777777" w:rsidR="005E6069" w:rsidRDefault="00000000">
            <w:r>
              <w:rPr>
                <w:sz w:val="22"/>
                <w:szCs w:val="22"/>
              </w:rPr>
              <w:t>Outubro de 2010 (mais de 15 anos de sentença sem cumprimento integral)</w:t>
            </w:r>
          </w:p>
        </w:tc>
      </w:tr>
      <w:tr w:rsidR="005E6069" w14:paraId="45ACF35E"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583AE" w14:textId="77777777" w:rsidR="005E6069" w:rsidRDefault="00000000">
            <w:r>
              <w:rPr>
                <w:b/>
                <w:bCs/>
                <w:sz w:val="22"/>
                <w:szCs w:val="22"/>
              </w:rPr>
              <w:t>Juízo</w:t>
            </w:r>
          </w:p>
        </w:tc>
        <w:tc>
          <w:tcPr>
            <w:tcW w:w="6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961E2" w14:textId="77777777" w:rsidR="005E6069" w:rsidRDefault="00000000">
            <w:r>
              <w:rPr>
                <w:sz w:val="22"/>
                <w:szCs w:val="22"/>
              </w:rPr>
              <w:t xml:space="preserve">1ª Vara Federal de Blumenau/SC — Dr. Leandro Paulo </w:t>
            </w:r>
            <w:proofErr w:type="spellStart"/>
            <w:r>
              <w:rPr>
                <w:sz w:val="22"/>
                <w:szCs w:val="22"/>
              </w:rPr>
              <w:t>Cypriani</w:t>
            </w:r>
            <w:proofErr w:type="spellEnd"/>
          </w:p>
        </w:tc>
      </w:tr>
      <w:tr w:rsidR="005E6069" w14:paraId="3B4AB80D"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70135F1" w14:textId="77777777" w:rsidR="005E6069" w:rsidRDefault="00000000">
            <w:r>
              <w:rPr>
                <w:b/>
                <w:bCs/>
                <w:sz w:val="22"/>
                <w:szCs w:val="22"/>
              </w:rPr>
              <w:t>Autores</w:t>
            </w:r>
          </w:p>
        </w:tc>
        <w:tc>
          <w:tcPr>
            <w:tcW w:w="63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47F1B65" w14:textId="77777777" w:rsidR="005E6069" w:rsidRDefault="00000000">
            <w:r>
              <w:rPr>
                <w:sz w:val="22"/>
                <w:szCs w:val="22"/>
              </w:rPr>
              <w:t>Ministério Público Federal + Ministério Público do Estado de Santa Catarina</w:t>
            </w:r>
          </w:p>
        </w:tc>
      </w:tr>
      <w:tr w:rsidR="005E6069" w14:paraId="353C008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393B4" w14:textId="77777777" w:rsidR="005E6069" w:rsidRDefault="00000000">
            <w:r>
              <w:rPr>
                <w:b/>
                <w:bCs/>
                <w:sz w:val="22"/>
                <w:szCs w:val="22"/>
              </w:rPr>
              <w:t>Réus</w:t>
            </w:r>
          </w:p>
        </w:tc>
        <w:tc>
          <w:tcPr>
            <w:tcW w:w="6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63716" w14:textId="77777777" w:rsidR="005E6069" w:rsidRDefault="00000000">
            <w:r>
              <w:rPr>
                <w:sz w:val="22"/>
                <w:szCs w:val="22"/>
              </w:rPr>
              <w:t>Estado de Santa Catarina + União Federal (Advocacia-Geral da União)</w:t>
            </w:r>
          </w:p>
        </w:tc>
      </w:tr>
      <w:tr w:rsidR="005E6069" w14:paraId="5814405E"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9ED74CA" w14:textId="77777777" w:rsidR="005E6069" w:rsidRDefault="00000000">
            <w:r>
              <w:rPr>
                <w:b/>
                <w:bCs/>
                <w:sz w:val="22"/>
                <w:szCs w:val="22"/>
              </w:rPr>
              <w:t>Objeto</w:t>
            </w:r>
          </w:p>
        </w:tc>
        <w:tc>
          <w:tcPr>
            <w:tcW w:w="63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5A64E3D" w14:textId="77777777" w:rsidR="005E6069" w:rsidRDefault="00000000">
            <w:r>
              <w:rPr>
                <w:sz w:val="22"/>
                <w:szCs w:val="22"/>
              </w:rPr>
              <w:t xml:space="preserve">Manutenção e recuperação das Barragens Norte (José Boiteux), Sul (Ituporanga) e Oeste (Taió), com obrigações sociais à comunidade indígena </w:t>
            </w:r>
            <w:proofErr w:type="spellStart"/>
            <w:r>
              <w:rPr>
                <w:sz w:val="22"/>
                <w:szCs w:val="22"/>
              </w:rPr>
              <w:t>Laklãnõ</w:t>
            </w:r>
            <w:proofErr w:type="spellEnd"/>
            <w:r>
              <w:rPr>
                <w:sz w:val="22"/>
                <w:szCs w:val="22"/>
              </w:rPr>
              <w:t>-Xokleng</w:t>
            </w:r>
          </w:p>
        </w:tc>
      </w:tr>
      <w:tr w:rsidR="005E6069" w14:paraId="4C18CA7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6378F" w14:textId="77777777" w:rsidR="005E6069" w:rsidRDefault="00000000">
            <w:r>
              <w:rPr>
                <w:b/>
                <w:bCs/>
                <w:sz w:val="22"/>
                <w:szCs w:val="22"/>
              </w:rPr>
              <w:t>Data do Relatório</w:t>
            </w:r>
          </w:p>
        </w:tc>
        <w:tc>
          <w:tcPr>
            <w:tcW w:w="6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E2185" w14:textId="77777777" w:rsidR="005E6069" w:rsidRDefault="00000000">
            <w:r>
              <w:rPr>
                <w:sz w:val="22"/>
                <w:szCs w:val="22"/>
              </w:rPr>
              <w:t>10 de março de 2026</w:t>
            </w:r>
          </w:p>
        </w:tc>
      </w:tr>
    </w:tbl>
    <w:p w14:paraId="6E1C7805" w14:textId="77777777" w:rsidR="005E6069" w:rsidRDefault="005E6069">
      <w:pPr>
        <w:spacing w:before="600"/>
      </w:pPr>
    </w:p>
    <w:p w14:paraId="55353F84" w14:textId="77777777" w:rsidR="005E6069" w:rsidRDefault="005E6069">
      <w:pPr>
        <w:pBdr>
          <w:bottom w:val="single" w:sz="6" w:space="0" w:color="2E75B6"/>
        </w:pBdr>
        <w:spacing w:before="200" w:after="200"/>
      </w:pPr>
    </w:p>
    <w:p w14:paraId="76D293C6" w14:textId="77777777" w:rsidR="005E6069" w:rsidRDefault="00000000">
      <w:pPr>
        <w:pStyle w:val="Ttulo1"/>
      </w:pPr>
      <w:r>
        <w:t>1. SUMÁRIO EXECUTIVO</w:t>
      </w:r>
    </w:p>
    <w:p w14:paraId="077C178E" w14:textId="77777777" w:rsidR="005E6069" w:rsidRDefault="00000000">
      <w:pPr>
        <w:spacing w:after="160"/>
      </w:pPr>
      <w:r>
        <w:t>Este relatório analisa o estado atual de cumprimento das decisões judiciais na Ação Civil Pública nº 5012227-71.2018.4.04.7205/SC, que tramita na 1ª Vara Federal de Blumenau/SC há mais de 27 anos. A ação foi movida pelo Ministério Público Federal e pelo Ministério Público Estadual contra o Estado de Santa Catarina e a União Federal em razão da omissão na manutenção e recuperação do sistema de barragens do Alto Vale do Itajaí.</w:t>
      </w:r>
    </w:p>
    <w:p w14:paraId="3EA0698B" w14:textId="77777777" w:rsidR="005E6069" w:rsidRDefault="00000000">
      <w:pPr>
        <w:spacing w:after="160"/>
      </w:pPr>
      <w:r>
        <w:t>A sentença transitou em julgado em outubro de 2010 — há mais de 15 anos — e os réus ainda não cumpriram integralmente as obrigações impostas. O relatório mapeia: (i) quem está falhando no cumprimento das determinações judiciais; (</w:t>
      </w:r>
      <w:proofErr w:type="spellStart"/>
      <w:r>
        <w:t>ii</w:t>
      </w:r>
      <w:proofErr w:type="spellEnd"/>
      <w:r>
        <w:t>) quem está prometendo mais do que pode entregar; e (</w:t>
      </w:r>
      <w:proofErr w:type="spellStart"/>
      <w:r>
        <w:t>iii</w:t>
      </w:r>
      <w:proofErr w:type="spellEnd"/>
      <w:r>
        <w:t xml:space="preserve">) se há utilização da </w:t>
      </w:r>
      <w:r>
        <w:lastRenderedPageBreak/>
        <w:t>localização do bem (Barragem Norte/Terra Indígena) como instrumento de pressão ou retaliação.</w:t>
      </w:r>
    </w:p>
    <w:p w14:paraId="2AFDD3DC" w14:textId="77777777" w:rsidR="005E6069" w:rsidRDefault="005E6069">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6069" w14:paraId="4935BDB3" w14:textId="77777777">
        <w:tblPrEx>
          <w:tblCellMar>
            <w:top w:w="0" w:type="dxa"/>
            <w:bottom w:w="0" w:type="dxa"/>
          </w:tblCellMar>
        </w:tblPrEx>
        <w:tc>
          <w:tcPr>
            <w:tcW w:w="0" w:type="auto"/>
            <w:tcBorders>
              <w:top w:val="single" w:sz="2" w:space="0" w:color="D6B656"/>
              <w:left w:val="thick" w:sz="12" w:space="0" w:color="D6B656"/>
              <w:bottom w:val="single" w:sz="2" w:space="0" w:color="D6B656"/>
              <w:right w:val="single" w:sz="2" w:space="0" w:color="D6B656"/>
            </w:tcBorders>
            <w:shd w:val="clear" w:color="auto" w:fill="FFF2CC"/>
            <w:tcMar>
              <w:top w:w="120" w:type="dxa"/>
              <w:left w:w="200" w:type="dxa"/>
              <w:bottom w:w="120" w:type="dxa"/>
              <w:right w:w="200" w:type="dxa"/>
            </w:tcMar>
          </w:tcPr>
          <w:p w14:paraId="66B57B02" w14:textId="77777777" w:rsidR="005E6069" w:rsidRDefault="00000000">
            <w:proofErr w:type="gramStart"/>
            <w:r>
              <w:rPr>
                <w:b/>
                <w:bCs/>
                <w:color w:val="D6B656"/>
                <w:sz w:val="22"/>
                <w:szCs w:val="22"/>
              </w:rPr>
              <w:t>⚠  SITUAÇÃO</w:t>
            </w:r>
            <w:proofErr w:type="gramEnd"/>
            <w:r>
              <w:rPr>
                <w:b/>
                <w:bCs/>
                <w:color w:val="D6B656"/>
                <w:sz w:val="22"/>
                <w:szCs w:val="22"/>
              </w:rPr>
              <w:t xml:space="preserve"> CRÍTICA</w:t>
            </w:r>
          </w:p>
          <w:p w14:paraId="5B3CDEA1" w14:textId="77777777" w:rsidR="005E6069" w:rsidRDefault="00000000">
            <w:r>
              <w:rPr>
                <w:sz w:val="22"/>
                <w:szCs w:val="22"/>
              </w:rPr>
              <w:t>A Barragem Norte (José Boiteux) verteu pela primeira vez na história em 2023. O sistema serve de proteção para aproximadamente 1,9 milhão de catarinenses. A omissão continuada dos réus representa risco real à vida e ao patrimônio da população do Vale do Itajaí.</w:t>
            </w:r>
          </w:p>
        </w:tc>
      </w:tr>
    </w:tbl>
    <w:p w14:paraId="2DBB557E" w14:textId="77777777" w:rsidR="005E6069" w:rsidRDefault="005E6069">
      <w:pPr>
        <w:spacing w:before="300"/>
      </w:pPr>
    </w:p>
    <w:p w14:paraId="06CB97F9" w14:textId="77777777" w:rsidR="005E6069" w:rsidRDefault="005E6069">
      <w:pPr>
        <w:pBdr>
          <w:bottom w:val="single" w:sz="6" w:space="0" w:color="2E75B6"/>
        </w:pBdr>
        <w:spacing w:before="200" w:after="200"/>
      </w:pPr>
    </w:p>
    <w:p w14:paraId="4B91CCBA" w14:textId="77777777" w:rsidR="005E6069" w:rsidRDefault="00000000">
      <w:pPr>
        <w:pStyle w:val="Ttulo1"/>
      </w:pPr>
      <w:r>
        <w:t>2. PARTES E PAPÉIS NO PROCESSO</w:t>
      </w:r>
    </w:p>
    <w:p w14:paraId="3367C7EC" w14:textId="77777777" w:rsidR="005E6069" w:rsidRDefault="00000000">
      <w:pPr>
        <w:spacing w:after="160"/>
      </w:pPr>
      <w:r>
        <w:t>O processo envolve um amplo espectro de partes, com papéis distintos. O quadro abaixo resume a participação de cada ator:</w:t>
      </w:r>
    </w:p>
    <w:p w14:paraId="2F6D8619" w14:textId="77777777" w:rsidR="005E6069" w:rsidRDefault="005E606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4826"/>
      </w:tblGrid>
      <w:tr w:rsidR="005E6069" w14:paraId="03AC9822"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7BE2D00" w14:textId="77777777" w:rsidR="005E6069" w:rsidRDefault="00000000">
            <w:r>
              <w:rPr>
                <w:b/>
                <w:bCs/>
                <w:color w:val="FFFFFF"/>
                <w:sz w:val="22"/>
                <w:szCs w:val="22"/>
              </w:rPr>
              <w:t>Parte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5D10A26" w14:textId="77777777" w:rsidR="005E6069" w:rsidRDefault="00000000">
            <w:r>
              <w:rPr>
                <w:b/>
                <w:bCs/>
                <w:color w:val="FFFFFF"/>
                <w:sz w:val="22"/>
                <w:szCs w:val="22"/>
              </w:rPr>
              <w:t>Posição</w:t>
            </w:r>
          </w:p>
        </w:tc>
        <w:tc>
          <w:tcPr>
            <w:tcW w:w="48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7F5A00" w14:textId="77777777" w:rsidR="005E6069" w:rsidRDefault="00000000">
            <w:r>
              <w:rPr>
                <w:b/>
                <w:bCs/>
                <w:color w:val="FFFFFF"/>
                <w:sz w:val="22"/>
                <w:szCs w:val="22"/>
              </w:rPr>
              <w:t>Função / Interesse</w:t>
            </w:r>
          </w:p>
        </w:tc>
      </w:tr>
      <w:tr w:rsidR="005E6069" w14:paraId="5D2C42F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4F3A5" w14:textId="77777777" w:rsidR="005E6069" w:rsidRDefault="00000000">
            <w:r>
              <w:rPr>
                <w:sz w:val="22"/>
                <w:szCs w:val="22"/>
              </w:rPr>
              <w:t>MPF + MPSC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3C99F" w14:textId="77777777" w:rsidR="005E6069" w:rsidRDefault="00000000">
            <w:r>
              <w:rPr>
                <w:sz w:val="22"/>
                <w:szCs w:val="22"/>
              </w:rPr>
              <w:t>Autores</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AB9F2" w14:textId="77777777" w:rsidR="005E6069" w:rsidRDefault="00000000">
            <w:r>
              <w:rPr>
                <w:sz w:val="22"/>
                <w:szCs w:val="22"/>
              </w:rPr>
              <w:t>Titular da ação; exige cumprimento das obrigações ambientais e sociais</w:t>
            </w:r>
          </w:p>
        </w:tc>
      </w:tr>
      <w:tr w:rsidR="005E6069" w14:paraId="60DE026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6110314" w14:textId="77777777" w:rsidR="005E6069" w:rsidRDefault="00000000">
            <w:r>
              <w:rPr>
                <w:sz w:val="22"/>
                <w:szCs w:val="22"/>
              </w:rPr>
              <w:t>Estado de Santa Catarina</w:t>
            </w:r>
          </w:p>
        </w:tc>
        <w:tc>
          <w:tcPr>
            <w:tcW w:w="1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5AFBC7A" w14:textId="77777777" w:rsidR="005E6069" w:rsidRDefault="00000000">
            <w:r>
              <w:rPr>
                <w:sz w:val="22"/>
                <w:szCs w:val="22"/>
              </w:rPr>
              <w:t>Réu Principal</w:t>
            </w:r>
          </w:p>
        </w:tc>
        <w:tc>
          <w:tcPr>
            <w:tcW w:w="48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1DE8696" w14:textId="77777777" w:rsidR="005E6069" w:rsidRDefault="00000000">
            <w:r>
              <w:rPr>
                <w:sz w:val="22"/>
                <w:szCs w:val="22"/>
              </w:rPr>
              <w:t>Responsável direto pelas obras nas barragens e pelas obrigações sociais à comunidade indígena</w:t>
            </w:r>
          </w:p>
        </w:tc>
      </w:tr>
      <w:tr w:rsidR="005E6069" w14:paraId="7C4540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F286C" w14:textId="77777777" w:rsidR="005E6069" w:rsidRDefault="00000000">
            <w:r>
              <w:rPr>
                <w:sz w:val="22"/>
                <w:szCs w:val="22"/>
              </w:rPr>
              <w:t>União Federal (AGU)</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E8C81" w14:textId="77777777" w:rsidR="005E6069" w:rsidRDefault="00000000">
            <w:r>
              <w:rPr>
                <w:sz w:val="22"/>
                <w:szCs w:val="22"/>
              </w:rPr>
              <w:t>Réu Secundário</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0FF77" w14:textId="77777777" w:rsidR="005E6069" w:rsidRDefault="00000000">
            <w:r>
              <w:rPr>
                <w:sz w:val="22"/>
                <w:szCs w:val="22"/>
              </w:rPr>
              <w:t>Responsável pelo repasse de recursos; depositou R$ 3 milhões em juízo em processo conexo (nº 5013528-53.2018.4.04.7205)</w:t>
            </w:r>
          </w:p>
        </w:tc>
      </w:tr>
      <w:tr w:rsidR="005E6069" w14:paraId="4CD243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7C6CC9B" w14:textId="77777777" w:rsidR="005E6069" w:rsidRDefault="00000000">
            <w:r>
              <w:rPr>
                <w:sz w:val="22"/>
                <w:szCs w:val="22"/>
              </w:rPr>
              <w:t>FUNAI</w:t>
            </w:r>
          </w:p>
        </w:tc>
        <w:tc>
          <w:tcPr>
            <w:tcW w:w="1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0A412C6" w14:textId="77777777" w:rsidR="005E6069" w:rsidRDefault="00000000">
            <w:r>
              <w:rPr>
                <w:sz w:val="22"/>
                <w:szCs w:val="22"/>
              </w:rPr>
              <w:t>Interessada</w:t>
            </w:r>
          </w:p>
        </w:tc>
        <w:tc>
          <w:tcPr>
            <w:tcW w:w="48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171262C" w14:textId="77777777" w:rsidR="005E6069" w:rsidRDefault="00000000">
            <w:r>
              <w:rPr>
                <w:sz w:val="22"/>
                <w:szCs w:val="22"/>
              </w:rPr>
              <w:t xml:space="preserve">Órgão indigenista; deve supervisionar políticas públicas voltadas à comunidade </w:t>
            </w:r>
            <w:proofErr w:type="spellStart"/>
            <w:r>
              <w:rPr>
                <w:sz w:val="22"/>
                <w:szCs w:val="22"/>
              </w:rPr>
              <w:t>Laklãnõ</w:t>
            </w:r>
            <w:proofErr w:type="spellEnd"/>
            <w:r>
              <w:rPr>
                <w:sz w:val="22"/>
                <w:szCs w:val="22"/>
              </w:rPr>
              <w:t>-Xokleng e anuir às intervenções na TI</w:t>
            </w:r>
          </w:p>
        </w:tc>
      </w:tr>
      <w:tr w:rsidR="005E6069" w14:paraId="74340E2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CCC9A" w14:textId="77777777" w:rsidR="005E6069" w:rsidRDefault="00000000">
            <w:r>
              <w:rPr>
                <w:sz w:val="22"/>
                <w:szCs w:val="22"/>
              </w:rPr>
              <w:t>DPU</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1F2DC" w14:textId="77777777" w:rsidR="005E6069" w:rsidRDefault="00000000">
            <w:r>
              <w:rPr>
                <w:sz w:val="22"/>
                <w:szCs w:val="22"/>
              </w:rPr>
              <w:t>Interessada</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E9D44" w14:textId="77777777" w:rsidR="005E6069" w:rsidRDefault="00000000">
            <w:r>
              <w:rPr>
                <w:sz w:val="22"/>
                <w:szCs w:val="22"/>
              </w:rPr>
              <w:t>Defensora dos interesses da comunidade indígena; requereu fixação de multa ao Estado</w:t>
            </w:r>
          </w:p>
        </w:tc>
      </w:tr>
      <w:tr w:rsidR="005E6069" w14:paraId="30E5716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C0F967C" w14:textId="77777777" w:rsidR="005E6069" w:rsidRDefault="00000000">
            <w:r>
              <w:rPr>
                <w:sz w:val="22"/>
                <w:szCs w:val="22"/>
              </w:rPr>
              <w:t>IBAMA / IPHAN</w:t>
            </w:r>
          </w:p>
        </w:tc>
        <w:tc>
          <w:tcPr>
            <w:tcW w:w="1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D0CBC08" w14:textId="77777777" w:rsidR="005E6069" w:rsidRDefault="00000000">
            <w:r>
              <w:rPr>
                <w:sz w:val="22"/>
                <w:szCs w:val="22"/>
              </w:rPr>
              <w:t>Interessados</w:t>
            </w:r>
          </w:p>
        </w:tc>
        <w:tc>
          <w:tcPr>
            <w:tcW w:w="48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C966674" w14:textId="77777777" w:rsidR="005E6069" w:rsidRDefault="00000000">
            <w:r>
              <w:rPr>
                <w:sz w:val="22"/>
                <w:szCs w:val="22"/>
              </w:rPr>
              <w:t>Órgãos licenciadores cujas autorizações são exigidas para obras na Terra Indígena</w:t>
            </w:r>
          </w:p>
        </w:tc>
      </w:tr>
      <w:tr w:rsidR="005E6069" w14:paraId="32F085E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BEFE7" w14:textId="77777777" w:rsidR="005E6069" w:rsidRDefault="00000000">
            <w:r>
              <w:rPr>
                <w:sz w:val="22"/>
                <w:szCs w:val="22"/>
              </w:rPr>
              <w:t>FACISC / ACIB / SOMAR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F644F" w14:textId="77777777" w:rsidR="005E6069" w:rsidRDefault="00000000">
            <w:r>
              <w:rPr>
                <w:sz w:val="22"/>
                <w:szCs w:val="22"/>
              </w:rPr>
              <w:t xml:space="preserve">Amicus </w:t>
            </w:r>
            <w:proofErr w:type="spellStart"/>
            <w:r>
              <w:rPr>
                <w:sz w:val="22"/>
                <w:szCs w:val="22"/>
              </w:rPr>
              <w:t>curiae</w:t>
            </w:r>
            <w:proofErr w:type="spellEnd"/>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7FA0C" w14:textId="77777777" w:rsidR="005E6069" w:rsidRDefault="00000000">
            <w:r>
              <w:rPr>
                <w:sz w:val="22"/>
                <w:szCs w:val="22"/>
              </w:rPr>
              <w:t xml:space="preserve">Representantes do setor empresarial; ingressaram como </w:t>
            </w:r>
            <w:proofErr w:type="spellStart"/>
            <w:r>
              <w:rPr>
                <w:sz w:val="22"/>
                <w:szCs w:val="22"/>
              </w:rPr>
              <w:t>amici</w:t>
            </w:r>
            <w:proofErr w:type="spellEnd"/>
            <w:r>
              <w:rPr>
                <w:sz w:val="22"/>
                <w:szCs w:val="22"/>
              </w:rPr>
              <w:t xml:space="preserve"> e depois renunciaram à participação alegando falta de expertise técnica</w:t>
            </w:r>
          </w:p>
        </w:tc>
      </w:tr>
      <w:tr w:rsidR="005E6069" w14:paraId="1BDCE9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04E1688" w14:textId="77777777" w:rsidR="005E6069" w:rsidRDefault="00000000">
            <w:r>
              <w:rPr>
                <w:sz w:val="22"/>
                <w:szCs w:val="22"/>
              </w:rPr>
              <w:t xml:space="preserve">Comunidade </w:t>
            </w:r>
            <w:proofErr w:type="spellStart"/>
            <w:r>
              <w:rPr>
                <w:sz w:val="22"/>
                <w:szCs w:val="22"/>
              </w:rPr>
              <w:t>Laklãnõ</w:t>
            </w:r>
            <w:proofErr w:type="spellEnd"/>
            <w:r>
              <w:rPr>
                <w:sz w:val="22"/>
                <w:szCs w:val="22"/>
              </w:rPr>
              <w:t>-Xokleng</w:t>
            </w:r>
          </w:p>
        </w:tc>
        <w:tc>
          <w:tcPr>
            <w:tcW w:w="1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EC345E8" w14:textId="77777777" w:rsidR="005E6069" w:rsidRDefault="00000000">
            <w:r>
              <w:rPr>
                <w:sz w:val="22"/>
                <w:szCs w:val="22"/>
              </w:rPr>
              <w:t>Terceiro afetado</w:t>
            </w:r>
          </w:p>
        </w:tc>
        <w:tc>
          <w:tcPr>
            <w:tcW w:w="48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45DC1B5" w14:textId="77777777" w:rsidR="005E6069" w:rsidRDefault="00000000">
            <w:r>
              <w:rPr>
                <w:sz w:val="22"/>
                <w:szCs w:val="22"/>
              </w:rPr>
              <w:t xml:space="preserve">Moradores da Terra Indígena </w:t>
            </w:r>
            <w:proofErr w:type="spellStart"/>
            <w:r>
              <w:rPr>
                <w:sz w:val="22"/>
                <w:szCs w:val="22"/>
              </w:rPr>
              <w:t>Ibirama-La</w:t>
            </w:r>
            <w:proofErr w:type="spellEnd"/>
            <w:r>
              <w:rPr>
                <w:sz w:val="22"/>
                <w:szCs w:val="22"/>
              </w:rPr>
              <w:t xml:space="preserve"> </w:t>
            </w:r>
            <w:proofErr w:type="spellStart"/>
            <w:r>
              <w:rPr>
                <w:sz w:val="22"/>
                <w:szCs w:val="22"/>
              </w:rPr>
              <w:t>Klãnõ</w:t>
            </w:r>
            <w:proofErr w:type="spellEnd"/>
            <w:r>
              <w:rPr>
                <w:sz w:val="22"/>
                <w:szCs w:val="22"/>
              </w:rPr>
              <w:t>, diretamente impactados pela barragem; controlam o acesso ao local</w:t>
            </w:r>
          </w:p>
        </w:tc>
      </w:tr>
    </w:tbl>
    <w:p w14:paraId="0504841A" w14:textId="77777777" w:rsidR="005E6069" w:rsidRDefault="005E6069">
      <w:pPr>
        <w:spacing w:before="300"/>
      </w:pPr>
    </w:p>
    <w:p w14:paraId="194C917F" w14:textId="77777777" w:rsidR="005E6069" w:rsidRDefault="005E6069">
      <w:pPr>
        <w:pBdr>
          <w:bottom w:val="single" w:sz="6" w:space="0" w:color="2E75B6"/>
        </w:pBdr>
        <w:spacing w:before="200" w:after="200"/>
      </w:pPr>
    </w:p>
    <w:p w14:paraId="29766385" w14:textId="77777777" w:rsidR="005E6069" w:rsidRDefault="00000000">
      <w:pPr>
        <w:pStyle w:val="Ttulo1"/>
      </w:pPr>
      <w:r>
        <w:t>3. ANÁLISE DOS DESCUMPRIMENTOS JUDICIAIS</w:t>
      </w:r>
    </w:p>
    <w:p w14:paraId="3DD4A980" w14:textId="77777777" w:rsidR="005E6069" w:rsidRDefault="00000000">
      <w:pPr>
        <w:pStyle w:val="Ttulo2"/>
      </w:pPr>
      <w:r>
        <w:t>3.1 Estado de Santa Catarina — Réu Principal</w:t>
      </w:r>
    </w:p>
    <w:p w14:paraId="22777895" w14:textId="77777777" w:rsidR="005E6069" w:rsidRDefault="00000000">
      <w:pPr>
        <w:spacing w:after="160"/>
      </w:pPr>
      <w:r>
        <w:t>O Estado de Santa Catarina é o ator com maior histórico de descumprimento documentado nos autos. A sentença transitou em julgado há mais de 15 anos e as obrigações permanecem parcialmente ou completamente inadimplidas.</w:t>
      </w:r>
    </w:p>
    <w:p w14:paraId="5C59A0E1" w14:textId="77777777" w:rsidR="005E6069" w:rsidRDefault="00000000">
      <w:pPr>
        <w:pStyle w:val="Ttulo3"/>
      </w:pPr>
      <w:r>
        <w:t>3.1.1 Descumprimentos na Audiência de junho de 2024 (Evento 508)</w:t>
      </w:r>
    </w:p>
    <w:p w14:paraId="757DACC7" w14:textId="77777777" w:rsidR="005E6069" w:rsidRDefault="00000000">
      <w:pPr>
        <w:spacing w:after="160"/>
      </w:pPr>
      <w:r>
        <w:t>Na audiência conjunta realizada em 26/06/2024, o Juiz Federal determinou quatro obrigações com prazo de 10 dias. O Estado descumpriu três delas: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3947"/>
        <w:gridCol w:w="2111"/>
        <w:gridCol w:w="2488"/>
      </w:tblGrid>
      <w:tr w:rsidR="005E6069" w14:paraId="13085B4F"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15A54B6" w14:textId="77777777" w:rsidR="005E6069" w:rsidRDefault="00000000">
            <w:r>
              <w:rPr>
                <w:b/>
                <w:bCs/>
                <w:color w:val="FFFFFF"/>
                <w:sz w:val="22"/>
                <w:szCs w:val="22"/>
              </w:rPr>
              <w:t>Nº</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170C53A" w14:textId="77777777" w:rsidR="005E6069" w:rsidRDefault="00000000">
            <w:r>
              <w:rPr>
                <w:b/>
                <w:bCs/>
                <w:color w:val="FFFFFF"/>
                <w:sz w:val="22"/>
                <w:szCs w:val="22"/>
              </w:rPr>
              <w:t>Obrigação Determinada (Ev. 508)</w:t>
            </w:r>
          </w:p>
        </w:tc>
        <w:tc>
          <w:tcPr>
            <w:tcW w:w="21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E4B0654" w14:textId="77777777" w:rsidR="005E6069" w:rsidRDefault="00000000">
            <w:r>
              <w:rPr>
                <w:b/>
                <w:bCs/>
                <w:color w:val="FFFFFF"/>
                <w:sz w:val="22"/>
                <w:szCs w:val="22"/>
              </w:rPr>
              <w:t>Prazo</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3EB090" w14:textId="77777777" w:rsidR="005E6069" w:rsidRDefault="00000000">
            <w:r>
              <w:rPr>
                <w:b/>
                <w:bCs/>
                <w:color w:val="FFFFFF"/>
                <w:sz w:val="22"/>
                <w:szCs w:val="22"/>
              </w:rPr>
              <w:t>Situação</w:t>
            </w:r>
          </w:p>
        </w:tc>
      </w:tr>
      <w:tr w:rsidR="005E6069" w14:paraId="4793D4A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394C1" w14:textId="77777777" w:rsidR="005E6069" w:rsidRDefault="00000000">
            <w:r>
              <w:rPr>
                <w:sz w:val="22"/>
                <w:szCs w:val="22"/>
              </w:rPr>
              <w:t>1</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E8CA7" w14:textId="77777777" w:rsidR="005E6069" w:rsidRDefault="00000000">
            <w:r>
              <w:rPr>
                <w:sz w:val="22"/>
                <w:szCs w:val="22"/>
              </w:rPr>
              <w:t>Informar razão do IBAMA não ter concedido autorização</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6A2A8" w14:textId="77777777" w:rsidR="005E6069" w:rsidRDefault="00000000">
            <w:r>
              <w:rPr>
                <w:sz w:val="22"/>
                <w:szCs w:val="22"/>
              </w:rPr>
              <w:t>10 dias (até 15/07/2024)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AE585" w14:textId="77777777" w:rsidR="005E6069" w:rsidRDefault="00000000">
            <w:r>
              <w:rPr>
                <w:b/>
                <w:bCs/>
                <w:sz w:val="22"/>
                <w:szCs w:val="22"/>
              </w:rPr>
              <w:t>NÃO CUMPRIDO — silêncio total</w:t>
            </w:r>
          </w:p>
        </w:tc>
      </w:tr>
      <w:tr w:rsidR="005E6069" w14:paraId="12F9B79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D526430" w14:textId="77777777" w:rsidR="005E6069" w:rsidRDefault="00000000">
            <w:r>
              <w:rPr>
                <w:sz w:val="22"/>
                <w:szCs w:val="22"/>
              </w:rPr>
              <w:t>2</w:t>
            </w:r>
          </w:p>
        </w:tc>
        <w:tc>
          <w:tcPr>
            <w:tcW w:w="4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CDA4487" w14:textId="77777777" w:rsidR="005E6069" w:rsidRDefault="00000000">
            <w:r>
              <w:rPr>
                <w:sz w:val="22"/>
                <w:szCs w:val="22"/>
              </w:rPr>
              <w:t>Comunicar a FUNAI de Brasília para que atue junto ao IBAMA</w:t>
            </w:r>
          </w:p>
        </w:tc>
        <w:tc>
          <w:tcPr>
            <w:tcW w:w="21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C83C6A2" w14:textId="77777777" w:rsidR="005E6069" w:rsidRDefault="00000000">
            <w:r>
              <w:rPr>
                <w:sz w:val="22"/>
                <w:szCs w:val="22"/>
              </w:rPr>
              <w:t>10 dias (até 15/07/2024)</w:t>
            </w:r>
          </w:p>
        </w:tc>
        <w:tc>
          <w:tcPr>
            <w:tcW w:w="2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6681BA6" w14:textId="77777777" w:rsidR="005E6069" w:rsidRDefault="00000000">
            <w:r>
              <w:rPr>
                <w:b/>
                <w:bCs/>
                <w:sz w:val="22"/>
                <w:szCs w:val="22"/>
              </w:rPr>
              <w:t>NÃO CUMPRIDO — sem comprovação de contato</w:t>
            </w:r>
          </w:p>
        </w:tc>
      </w:tr>
      <w:tr w:rsidR="005E6069" w14:paraId="2987F99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55202" w14:textId="77777777" w:rsidR="005E6069" w:rsidRDefault="00000000">
            <w:r>
              <w:rPr>
                <w:sz w:val="22"/>
                <w:szCs w:val="22"/>
              </w:rPr>
              <w:t>3</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7E002" w14:textId="77777777" w:rsidR="005E6069" w:rsidRDefault="00000000">
            <w:r>
              <w:rPr>
                <w:sz w:val="22"/>
                <w:szCs w:val="22"/>
              </w:rPr>
              <w:t>Informar o Juízo sobre atividades nas três barragens</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978ED" w14:textId="77777777" w:rsidR="005E6069" w:rsidRDefault="00000000">
            <w:r>
              <w:rPr>
                <w:sz w:val="22"/>
                <w:szCs w:val="22"/>
              </w:rPr>
              <w:t>10 dias (até 15/07/2024)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111E3" w14:textId="77777777" w:rsidR="005E6069" w:rsidRDefault="00000000">
            <w:r>
              <w:rPr>
                <w:sz w:val="22"/>
                <w:szCs w:val="22"/>
              </w:rPr>
              <w:t>PARCIALMENTE CUMPRIDO — respondeu em 19/07/2024 afirmando estar 'em fase de conclusão de contratação'</w:t>
            </w:r>
          </w:p>
        </w:tc>
      </w:tr>
      <w:tr w:rsidR="005E6069" w14:paraId="775A064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0801F87" w14:textId="77777777" w:rsidR="005E6069" w:rsidRDefault="00000000">
            <w:r>
              <w:rPr>
                <w:sz w:val="22"/>
                <w:szCs w:val="22"/>
              </w:rPr>
              <w:t>4</w:t>
            </w:r>
          </w:p>
        </w:tc>
        <w:tc>
          <w:tcPr>
            <w:tcW w:w="4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E4664EC" w14:textId="77777777" w:rsidR="005E6069" w:rsidRDefault="00000000">
            <w:r>
              <w:rPr>
                <w:sz w:val="22"/>
                <w:szCs w:val="22"/>
              </w:rPr>
              <w:t>(União) Manifestar-se sobre destinação dos R$ 3 milhões depositados</w:t>
            </w:r>
          </w:p>
        </w:tc>
        <w:tc>
          <w:tcPr>
            <w:tcW w:w="21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D9A7445" w14:textId="77777777" w:rsidR="005E6069" w:rsidRDefault="00000000">
            <w:r>
              <w:rPr>
                <w:sz w:val="22"/>
                <w:szCs w:val="22"/>
              </w:rPr>
              <w:t>10 dias</w:t>
            </w:r>
          </w:p>
        </w:tc>
        <w:tc>
          <w:tcPr>
            <w:tcW w:w="2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96B604C" w14:textId="77777777" w:rsidR="005E6069" w:rsidRDefault="00000000">
            <w:r>
              <w:rPr>
                <w:sz w:val="22"/>
                <w:szCs w:val="22"/>
              </w:rPr>
              <w:t>A União se manifestou com atraso; SC não esclareceu como usaria os valores</w:t>
            </w:r>
          </w:p>
        </w:tc>
      </w:tr>
    </w:tbl>
    <w:p w14:paraId="53B05E69" w14:textId="77777777" w:rsidR="005E6069" w:rsidRDefault="005E6069">
      <w:pPr>
        <w:spacing w:before="200"/>
      </w:pPr>
    </w:p>
    <w:p w14:paraId="3022C307" w14:textId="77777777" w:rsidR="005E6069" w:rsidRDefault="00000000">
      <w:pPr>
        <w:spacing w:after="160"/>
      </w:pPr>
      <w:r>
        <w:t>Conforme documentado no Evento 535 (Ofício da FACISC ao Juízo), 'passados quase 3 meses desde a audiência', o Estado de Santa Catarina ainda afirmava 'estar em fase de conclusão de contratação' sem efetivamente comprovar nenhuma ação concreta. A FUNAI (Ev. 522) e a DPU (Ev. 525) requereram reiteração da intimação e fixação de multa.</w:t>
      </w:r>
    </w:p>
    <w:p w14:paraId="40A0B810" w14:textId="77777777" w:rsidR="005E6069" w:rsidRDefault="00000000">
      <w:pPr>
        <w:spacing w:after="160"/>
      </w:pPr>
      <w:r>
        <w:t>O Estado foi novamente intimado (Ev. 532) e, pela segunda vez, 'quedou-se inerte'.</w:t>
      </w:r>
    </w:p>
    <w:p w14:paraId="70C21374" w14:textId="77777777" w:rsidR="005E6069" w:rsidRDefault="00000000">
      <w:pPr>
        <w:pStyle w:val="Ttulo3"/>
      </w:pPr>
      <w:r>
        <w:t>3.1.2 Multa Diária por Descumprimento (Decisão — Evento 534, 30/09/2024)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6069" w14:paraId="466B5E40" w14:textId="77777777">
        <w:tblPrEx>
          <w:tblCellMar>
            <w:top w:w="0" w:type="dxa"/>
            <w:bottom w:w="0" w:type="dxa"/>
          </w:tblCellMar>
        </w:tblPrEx>
        <w:tc>
          <w:tcPr>
            <w:tcW w:w="0" w:type="auto"/>
            <w:tcBorders>
              <w:top w:val="single" w:sz="2" w:space="0" w:color="C55A11"/>
              <w:left w:val="thick" w:sz="12" w:space="0" w:color="C55A11"/>
              <w:bottom w:val="single" w:sz="2" w:space="0" w:color="C55A11"/>
              <w:right w:val="single" w:sz="2" w:space="0" w:color="C55A11"/>
            </w:tcBorders>
            <w:shd w:val="clear" w:color="auto" w:fill="FDECEA"/>
            <w:tcMar>
              <w:top w:w="120" w:type="dxa"/>
              <w:left w:w="200" w:type="dxa"/>
              <w:bottom w:w="120" w:type="dxa"/>
              <w:right w:w="200" w:type="dxa"/>
            </w:tcMar>
          </w:tcPr>
          <w:p w14:paraId="60713A95" w14:textId="77777777" w:rsidR="005E6069" w:rsidRDefault="00000000">
            <w:proofErr w:type="gramStart"/>
            <w:r>
              <w:rPr>
                <w:b/>
                <w:bCs/>
                <w:color w:val="C55A11"/>
                <w:sz w:val="22"/>
                <w:szCs w:val="22"/>
              </w:rPr>
              <w:t>⚖  MULTA</w:t>
            </w:r>
            <w:proofErr w:type="gramEnd"/>
            <w:r>
              <w:rPr>
                <w:b/>
                <w:bCs/>
                <w:color w:val="C55A11"/>
                <w:sz w:val="22"/>
                <w:szCs w:val="22"/>
              </w:rPr>
              <w:t xml:space="preserve"> IMPOSTA PELO JUÍZO</w:t>
            </w:r>
          </w:p>
          <w:p w14:paraId="72E14044" w14:textId="77777777" w:rsidR="005E6069" w:rsidRDefault="00000000">
            <w:r>
              <w:rPr>
                <w:sz w:val="22"/>
                <w:szCs w:val="22"/>
              </w:rPr>
              <w:t xml:space="preserve">Em 30/09/2024, o Juiz Federal Leandro Paulo </w:t>
            </w:r>
            <w:proofErr w:type="spellStart"/>
            <w:r>
              <w:rPr>
                <w:sz w:val="22"/>
                <w:szCs w:val="22"/>
              </w:rPr>
              <w:t>Cypriani</w:t>
            </w:r>
            <w:proofErr w:type="spellEnd"/>
            <w:r>
              <w:rPr>
                <w:sz w:val="22"/>
                <w:szCs w:val="22"/>
              </w:rPr>
              <w:t>, com base no art. 537 do CPC, fixou multa diária de R$ 500,00 por descumprimento do item 3 da decisão do Evento 256, após o Estado de Santa Catarina ter deixado transcorrer dois prazos consecutivos sem qualquer providência.</w:t>
            </w:r>
          </w:p>
        </w:tc>
      </w:tr>
    </w:tbl>
    <w:p w14:paraId="200B864F" w14:textId="77777777" w:rsidR="005E6069" w:rsidRDefault="005E6069">
      <w:pPr>
        <w:spacing w:before="200"/>
      </w:pPr>
    </w:p>
    <w:p w14:paraId="752C3BFE" w14:textId="77777777" w:rsidR="005E6069" w:rsidRDefault="00000000">
      <w:pPr>
        <w:spacing w:after="160"/>
      </w:pPr>
      <w:r>
        <w:t>O texto da decisão é claro: 'intime-se o Estado de Santa Catarina para cumprir o item 3 da decisão do ev.256, no prazo de 24 horas. Decorrido o prazo sem manifestação, com amparo no art. 537 do Código de Processo Civil, fixo multa diária por descumprimento no valor de R$ 500,00, inicialmente pelos primeiros 10 dias.' (Ev. 534, p. 1)</w:t>
      </w:r>
    </w:p>
    <w:p w14:paraId="3D06816D" w14:textId="77777777" w:rsidR="005E6069" w:rsidRDefault="00000000">
      <w:pPr>
        <w:pStyle w:val="Ttulo3"/>
      </w:pPr>
      <w:r>
        <w:t>3.1.3 Descumprimento do Acordo de 2015 — Casas para Famílias Indígenas</w:t>
      </w:r>
    </w:p>
    <w:p w14:paraId="3D9FF9B5" w14:textId="77777777" w:rsidR="005E6069" w:rsidRDefault="00000000">
      <w:pPr>
        <w:spacing w:after="160"/>
      </w:pPr>
      <w:r>
        <w:t>Em outubro de 2015, firmou-se acordo nos autos do processo conexo nº 5013528-53.2018.4.04.7205, em que o MPF e o Estado acordaram que, em contrapartida ao acesso à Barragem Norte, o Estado construiria casas para as famílias indígenas cujas residências ficariam submersas, com prazo 'até o final de 2015'.</w:t>
      </w:r>
    </w:p>
    <w:p w14:paraId="3D3B56B1" w14:textId="77777777" w:rsidR="005E6069" w:rsidRDefault="00000000">
      <w:pPr>
        <w:spacing w:after="160"/>
      </w:pPr>
      <w:r>
        <w:t>Nos autos analisados, documentos de 2024 (Ev. 442, despacho da consultoria jurídica da SIE) demonstram que as casas ainda não foram construídas: 'Caso até o presente momento não tenham sido efetivadas as providências suscitadas acima, deve ser apresentado as razões fáticas e jurídicas que justifiquem, assim como o prazo que ocorrerá tal regularização.'</w:t>
      </w:r>
    </w:p>
    <w:p w14:paraId="28799826" w14:textId="77777777" w:rsidR="005E6069" w:rsidRDefault="00000000">
      <w:pPr>
        <w:spacing w:after="160"/>
      </w:pPr>
      <w:r>
        <w:t>Trata-se de descumprimento de quase 10 anos de um compromisso central do acordo, que é utilizado pela própria comunidade indígena como justificativa para bloquear o acesso à barragem.</w:t>
      </w:r>
    </w:p>
    <w:p w14:paraId="5BCEA718" w14:textId="77777777" w:rsidR="005E6069" w:rsidRDefault="00000000">
      <w:pPr>
        <w:pStyle w:val="Ttulo3"/>
      </w:pPr>
      <w:r>
        <w:t>3.1.4 Situação em 2025 e 2026</w:t>
      </w:r>
    </w:p>
    <w:p w14:paraId="21ED33E3" w14:textId="77777777" w:rsidR="005E6069" w:rsidRDefault="00000000">
      <w:pPr>
        <w:spacing w:after="160"/>
      </w:pPr>
      <w:r>
        <w:t>Somente em novembro de 2025 (Ev. 664), ao atender nova intimação judicial com prazo de 15 dias, o Estado apresentou a Informação Técnica nº 160/SDC/DIOP/2025, listando contratos de manutenção menores vigentes. A obra principal de reforma (Convênio Federal 883988/2019, valor de R$ 3 milhões) tinha previsão de abertura de licitação para 16/12/2025 — mais de 6 anos após a celebração do convênio.</w:t>
      </w:r>
    </w:p>
    <w:p w14:paraId="23EC6216" w14:textId="77777777" w:rsidR="005E6069" w:rsidRDefault="00000000">
      <w:pPr>
        <w:spacing w:after="160"/>
      </w:pPr>
      <w:r>
        <w:t xml:space="preserve">Em fevereiro de 2026, o Juízo (Ev. 661, </w:t>
      </w:r>
      <w:proofErr w:type="spellStart"/>
      <w:r>
        <w:t>nov</w:t>
      </w:r>
      <w:proofErr w:type="spellEnd"/>
      <w:r>
        <w:t>/2025) reiterou a intimação do Estado para informar 'a atual situação das obras de manutenção/restauração da barragem em cena e as perspectivas quanto à conclusão', demonstrando que a situação permanece sem solução definitiva.</w:t>
      </w:r>
    </w:p>
    <w:p w14:paraId="3E7B9892" w14:textId="77777777" w:rsidR="005E6069" w:rsidRDefault="005E6069">
      <w:pPr>
        <w:spacing w:before="200"/>
      </w:pPr>
    </w:p>
    <w:p w14:paraId="2698E3D2" w14:textId="77777777" w:rsidR="005E6069" w:rsidRDefault="00000000">
      <w:pPr>
        <w:pStyle w:val="Ttulo2"/>
      </w:pPr>
      <w:r>
        <w:t>3.2 União Federal — Réu Secundário</w:t>
      </w:r>
    </w:p>
    <w:p w14:paraId="5268AD67" w14:textId="77777777" w:rsidR="005E6069" w:rsidRDefault="00000000">
      <w:pPr>
        <w:spacing w:after="160"/>
      </w:pPr>
      <w:r>
        <w:t>A União tem apresentado comportamento de menor descumprimento direto, mas com atrasos relevantes na prestação de informações:</w:t>
      </w:r>
    </w:p>
    <w:p w14:paraId="14D13883" w14:textId="77777777" w:rsidR="005E6069" w:rsidRDefault="00000000">
      <w:pPr>
        <w:pStyle w:val="PargrafodaLista"/>
        <w:numPr>
          <w:ilvl w:val="0"/>
          <w:numId w:val="2"/>
        </w:numPr>
        <w:spacing w:after="120"/>
      </w:pPr>
      <w:r>
        <w:t>Após a audiência de 26/06/2024, foi deferido prazo de 10 dias para manifestação sobre a destinação dos R$ 3 milhões depositados. A União informou que se manifestaria no prazo de outro processo (5013528-53.2018.4.04.7205), aguardando 'informações conclusivas da Pasta Ministerial' (Ev. 514).</w:t>
      </w:r>
    </w:p>
    <w:p w14:paraId="3971C93D" w14:textId="77777777" w:rsidR="005E6069" w:rsidRDefault="00000000">
      <w:pPr>
        <w:pStyle w:val="PargrafodaLista"/>
        <w:numPr>
          <w:ilvl w:val="0"/>
          <w:numId w:val="2"/>
        </w:numPr>
        <w:spacing w:after="120"/>
      </w:pPr>
      <w:r>
        <w:t xml:space="preserve">A Nota da Advocacia-Geral da União (Ev. 556, MIDR) confirmou que o depósito é parcialmente destinado às intervenções tratadas, mas não </w:t>
      </w:r>
      <w:r>
        <w:lastRenderedPageBreak/>
        <w:t>formalizou os projetos, pedindo que o Estado de SC esclarecesse quais obras seriam custeadas.</w:t>
      </w:r>
    </w:p>
    <w:p w14:paraId="5D420638" w14:textId="77777777" w:rsidR="005E6069" w:rsidRDefault="00000000">
      <w:pPr>
        <w:pStyle w:val="PargrafodaLista"/>
        <w:numPr>
          <w:ilvl w:val="0"/>
          <w:numId w:val="2"/>
        </w:numPr>
        <w:spacing w:after="120"/>
      </w:pPr>
      <w:r>
        <w:t>A AGU adotou posição mais colaborativa no processo, contribuindo com informações e sendo mais célere que o Estado nas respostas. Contudo, a falta de prestação de contas sobre os R$ 3 milhões já depositados representa omissão relevante.</w:t>
      </w:r>
    </w:p>
    <w:p w14:paraId="48F5831C" w14:textId="77777777" w:rsidR="005E6069" w:rsidRDefault="005E6069">
      <w:pPr>
        <w:spacing w:before="200"/>
      </w:pPr>
    </w:p>
    <w:p w14:paraId="0DB3B12D" w14:textId="77777777" w:rsidR="005E6069" w:rsidRDefault="00000000">
      <w:pPr>
        <w:pStyle w:val="Ttulo2"/>
      </w:pPr>
      <w:r>
        <w:t>3.3 IBAMA e IPHAN — Órgãos Licenciadores</w:t>
      </w:r>
    </w:p>
    <w:p w14:paraId="41A0C352" w14:textId="77777777" w:rsidR="005E6069" w:rsidRDefault="00000000">
      <w:pPr>
        <w:spacing w:after="160"/>
      </w:pPr>
      <w:r>
        <w:t>Embora não sejam réus, os órgãos ambientais contribuem para a morosidade processual:</w:t>
      </w:r>
    </w:p>
    <w:p w14:paraId="4F71EE90" w14:textId="77777777" w:rsidR="005E6069" w:rsidRDefault="00000000">
      <w:pPr>
        <w:pStyle w:val="PargrafodaLista"/>
        <w:numPr>
          <w:ilvl w:val="0"/>
          <w:numId w:val="2"/>
        </w:numPr>
        <w:spacing w:after="120"/>
      </w:pPr>
      <w:r>
        <w:t>O IBAMA concedeu autorização limitada para algumas obras (manutenção de estradas em leito natural), mas não autorizou obras que envolvem supressão vegetal mais ampla ou intervenções que excedem os limites da Terra Indígena — como a construção de ponte de concreto, que requer licenciamento ambiental completo.</w:t>
      </w:r>
    </w:p>
    <w:p w14:paraId="60D9F8FB" w14:textId="77777777" w:rsidR="005E6069" w:rsidRDefault="00000000">
      <w:pPr>
        <w:pStyle w:val="PargrafodaLista"/>
        <w:numPr>
          <w:ilvl w:val="0"/>
          <w:numId w:val="2"/>
        </w:numPr>
        <w:spacing w:after="120"/>
      </w:pPr>
      <w:r>
        <w:t xml:space="preserve">O IPHAN informou (Ev. 573, </w:t>
      </w:r>
      <w:proofErr w:type="spellStart"/>
      <w:r>
        <w:t>jan</w:t>
      </w:r>
      <w:proofErr w:type="spellEnd"/>
      <w:r>
        <w:t>/2025) que os estudos arqueológicos para o licenciamento do Canal Extravasor ainda estão em andamento, sem previsão de conclusão, bloqueando uma das obras prioritárias determinadas judicialmente.</w:t>
      </w:r>
    </w:p>
    <w:p w14:paraId="253199E4" w14:textId="77777777" w:rsidR="005E6069" w:rsidRDefault="00000000">
      <w:pPr>
        <w:spacing w:after="160"/>
      </w:pPr>
      <w:r>
        <w:t>Esses entraves burocráticos, embora legalmente válidos, não foram antecipados nem gerenciados proativamente pelo Estado — que os utiliza como justificativa adicional para a inação.</w:t>
      </w:r>
    </w:p>
    <w:p w14:paraId="7AE97819" w14:textId="77777777" w:rsidR="005E6069" w:rsidRDefault="005E6069">
      <w:pPr>
        <w:spacing w:before="200"/>
      </w:pPr>
    </w:p>
    <w:p w14:paraId="69B140BB" w14:textId="77777777" w:rsidR="005E6069" w:rsidRDefault="005E6069">
      <w:pPr>
        <w:pBdr>
          <w:bottom w:val="single" w:sz="6" w:space="0" w:color="2E75B6"/>
        </w:pBdr>
        <w:spacing w:before="200" w:after="200"/>
      </w:pPr>
    </w:p>
    <w:p w14:paraId="500D2445" w14:textId="77777777" w:rsidR="005E6069" w:rsidRDefault="00000000">
      <w:pPr>
        <w:pStyle w:val="Ttulo1"/>
      </w:pPr>
      <w:r>
        <w:t>4. QUEM ESTÁ PROMETENDO MAIS DO QUE NECESSÁRIO (OU POSSÍVEL)</w:t>
      </w:r>
    </w:p>
    <w:p w14:paraId="233538D8" w14:textId="77777777" w:rsidR="005E6069" w:rsidRDefault="00000000">
      <w:pPr>
        <w:pStyle w:val="Ttulo2"/>
      </w:pPr>
      <w:r>
        <w:t>4.1 Estado de Santa Catarina — Padrão de Promessas sem Entregas</w:t>
      </w:r>
    </w:p>
    <w:p w14:paraId="4BD27EC6" w14:textId="77777777" w:rsidR="005E6069" w:rsidRDefault="00000000">
      <w:pPr>
        <w:spacing w:after="160"/>
      </w:pPr>
      <w:r>
        <w:t>O Estado de Santa Catarina apresenta um padrão sistemático de oferecer informações vagas e progressos formais sem substância real:</w:t>
      </w:r>
    </w:p>
    <w:p w14:paraId="655656A2" w14:textId="77777777" w:rsidR="005E6069" w:rsidRDefault="00000000">
      <w:pPr>
        <w:pStyle w:val="PargrafodaLista"/>
        <w:numPr>
          <w:ilvl w:val="0"/>
          <w:numId w:val="2"/>
        </w:numPr>
        <w:spacing w:after="120"/>
      </w:pPr>
      <w:r>
        <w:t>Em 19/07/2024 (quase 3 meses após a audiência que fixou prazo de 10 dias), o Estado apenas afirmou estar 'em fase de conclusão a contratação de serviços de engenharia, obras e projetos previstos para as barragens Ituporanga, José Boiteux e Taió'. Nenhum contrato assinado, nenhum cronograma apresentado.</w:t>
      </w:r>
    </w:p>
    <w:p w14:paraId="3C46637D" w14:textId="77777777" w:rsidR="005E6069" w:rsidRDefault="00000000">
      <w:pPr>
        <w:pStyle w:val="PargrafodaLista"/>
        <w:numPr>
          <w:ilvl w:val="0"/>
          <w:numId w:val="2"/>
        </w:numPr>
        <w:spacing w:after="120"/>
      </w:pPr>
      <w:r>
        <w:t>No Evento 549 (out/2024), o Estado alegou que 'a referida determinação restou cumprida' em relação ao item 3, com base num simples ofício interno da Defesa Civil, sem documentação probatória suficiente.</w:t>
      </w:r>
    </w:p>
    <w:p w14:paraId="736375B1" w14:textId="77777777" w:rsidR="005E6069" w:rsidRDefault="00000000">
      <w:pPr>
        <w:pStyle w:val="PargrafodaLista"/>
        <w:numPr>
          <w:ilvl w:val="0"/>
          <w:numId w:val="2"/>
        </w:numPr>
        <w:spacing w:after="120"/>
      </w:pPr>
      <w:r>
        <w:t xml:space="preserve">A Informação Técnica nº 160/2025, apresentada apenas em novembro de 2025, lista contratos de manutenção menores realizados ao longo do ano, </w:t>
      </w:r>
      <w:r>
        <w:lastRenderedPageBreak/>
        <w:t>sem abordar o cronograma da reforma principal — que tem previsão de licitação para dezembro de 2025, seis anos depois da assinatura do convênio de financiamento.</w:t>
      </w:r>
    </w:p>
    <w:p w14:paraId="49A70BD9" w14:textId="77777777" w:rsidR="005E6069" w:rsidRDefault="00000000">
      <w:pPr>
        <w:pStyle w:val="PargrafodaLista"/>
        <w:numPr>
          <w:ilvl w:val="0"/>
          <w:numId w:val="2"/>
        </w:numPr>
        <w:spacing w:after="120"/>
      </w:pPr>
      <w:r>
        <w:t>O Estado menciona reiteradamente 'ações voltadas à comunidade indígena' (unidades habitacionais, escolas, quadras, pontes) em documentos recentes, mas essas obras são, em grande parte, objeto do acordo de 2015 ainda descumprido.</w:t>
      </w:r>
    </w:p>
    <w:p w14:paraId="287E6A1C" w14:textId="77777777" w:rsidR="005E6069" w:rsidRDefault="00000000">
      <w:pPr>
        <w:pStyle w:val="Ttulo2"/>
      </w:pPr>
      <w:r>
        <w:t>4.2 FACISC/Comitê das Águas — Intervenção Contraditória</w:t>
      </w:r>
    </w:p>
    <w:p w14:paraId="14B98BB1" w14:textId="77777777" w:rsidR="005E6069" w:rsidRDefault="00000000">
      <w:pPr>
        <w:spacing w:after="160"/>
      </w:pPr>
      <w:r>
        <w:t>A FACISC (Federação das Associações Empresariais de Santa Catarina) e sua estrutura denominada 'Comitê das Águas' protagonizaram um episódio revelador de promessa excessiva:</w:t>
      </w:r>
    </w:p>
    <w:p w14:paraId="2D30BEC6" w14:textId="77777777" w:rsidR="005E6069" w:rsidRDefault="00000000">
      <w:pPr>
        <w:pStyle w:val="PargrafodaLista"/>
        <w:numPr>
          <w:ilvl w:val="0"/>
          <w:numId w:val="2"/>
        </w:numPr>
        <w:spacing w:after="120"/>
      </w:pPr>
      <w:r>
        <w:t>A entidade enviou espontaneamente um ofício ao Juízo (Ev. 535), relatando anos de acompanhamento técnico da situação, expondo preocupação com 1,94 milhão de catarinenses afetados pelas cheias, e demandando celeridade ao poder público. O documento foi longo e tecnicamente embasado.</w:t>
      </w:r>
    </w:p>
    <w:p w14:paraId="4213719E" w14:textId="77777777" w:rsidR="005E6069" w:rsidRDefault="00000000">
      <w:pPr>
        <w:pStyle w:val="PargrafodaLista"/>
        <w:numPr>
          <w:ilvl w:val="0"/>
          <w:numId w:val="2"/>
        </w:numPr>
        <w:spacing w:after="120"/>
      </w:pPr>
      <w:r>
        <w:t xml:space="preserve">Com base nesse ofício, a União requereu e o Juízo deferiu a admissão da FACISC como amicus </w:t>
      </w:r>
      <w:proofErr w:type="spellStart"/>
      <w:r>
        <w:t>curiae</w:t>
      </w:r>
      <w:proofErr w:type="spellEnd"/>
      <w:r>
        <w:t xml:space="preserve"> para contribuir tecnicamente com o processo.</w:t>
      </w:r>
    </w:p>
    <w:p w14:paraId="7EFAA35F" w14:textId="77777777" w:rsidR="005E6069" w:rsidRDefault="00000000">
      <w:pPr>
        <w:pStyle w:val="PargrafodaLista"/>
        <w:numPr>
          <w:ilvl w:val="0"/>
          <w:numId w:val="2"/>
        </w:numPr>
        <w:spacing w:after="120"/>
      </w:pPr>
      <w:r>
        <w:t xml:space="preserve">Admitida, a FACISC surpreendeu ao requerer sua exclusão (Ev. 638, </w:t>
      </w:r>
      <w:proofErr w:type="spellStart"/>
      <w:r>
        <w:t>ago</w:t>
      </w:r>
      <w:proofErr w:type="spellEnd"/>
      <w:r>
        <w:t>/2025), declarando não possuir 'aptidão técnica necessária à atuação nos autos', nem 'conhecimento técnico especializado em engenharia de barragens, geologia ou questões indigenistas'.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6069" w14:paraId="396011D3" w14:textId="77777777">
        <w:tblPrEx>
          <w:tblCellMar>
            <w:top w:w="0" w:type="dxa"/>
            <w:bottom w:w="0" w:type="dxa"/>
          </w:tblCellMar>
        </w:tblPrEx>
        <w:tc>
          <w:tcPr>
            <w:tcW w:w="0" w:type="auto"/>
            <w:tcBorders>
              <w:top w:val="single" w:sz="2" w:space="0" w:color="1FA0C9"/>
              <w:left w:val="thick" w:sz="12" w:space="0" w:color="1FA0C9"/>
              <w:bottom w:val="single" w:sz="2" w:space="0" w:color="1FA0C9"/>
              <w:right w:val="single" w:sz="2" w:space="0" w:color="1FA0C9"/>
            </w:tcBorders>
            <w:shd w:val="clear" w:color="auto" w:fill="E9F3F7"/>
            <w:tcMar>
              <w:top w:w="120" w:type="dxa"/>
              <w:left w:w="200" w:type="dxa"/>
              <w:bottom w:w="120" w:type="dxa"/>
              <w:right w:w="200" w:type="dxa"/>
            </w:tcMar>
          </w:tcPr>
          <w:p w14:paraId="705A5FB5" w14:textId="77777777" w:rsidR="005E6069" w:rsidRDefault="00000000">
            <w:proofErr w:type="gramStart"/>
            <w:r>
              <w:rPr>
                <w:b/>
                <w:bCs/>
                <w:color w:val="1FA0C9"/>
                <w:sz w:val="22"/>
                <w:szCs w:val="22"/>
              </w:rPr>
              <w:t>⚡  COMPORTAMENTO</w:t>
            </w:r>
            <w:proofErr w:type="gramEnd"/>
            <w:r>
              <w:rPr>
                <w:b/>
                <w:bCs/>
                <w:color w:val="1FA0C9"/>
                <w:sz w:val="22"/>
                <w:szCs w:val="22"/>
              </w:rPr>
              <w:t xml:space="preserve"> CONTRADITÓRIO DA FACISC</w:t>
            </w:r>
          </w:p>
          <w:p w14:paraId="561687AE" w14:textId="77777777" w:rsidR="005E6069" w:rsidRDefault="00000000">
            <w:r>
              <w:rPr>
                <w:sz w:val="22"/>
                <w:szCs w:val="22"/>
              </w:rPr>
              <w:t xml:space="preserve">A União apontou formalmente (Ev. 653) que a FACISC demonstrou comportamento contraditório: ingressou no processo alardeando expertise técnica e preocupação legítima, obteve status processual de amicus </w:t>
            </w:r>
            <w:proofErr w:type="spellStart"/>
            <w:r>
              <w:rPr>
                <w:sz w:val="22"/>
                <w:szCs w:val="22"/>
              </w:rPr>
              <w:t>curiae</w:t>
            </w:r>
            <w:proofErr w:type="spellEnd"/>
            <w:r>
              <w:rPr>
                <w:sz w:val="22"/>
                <w:szCs w:val="22"/>
              </w:rPr>
              <w:t>, e em seguida recuou alegando exatamente a falta de conhecimento que antes afirmava ter. O MPF (Ev. 650) não se opôs à exclusão, mas a conduta gerou questionamentos sobre os reais objetivos do ingresso da entidade no processo.</w:t>
            </w:r>
          </w:p>
        </w:tc>
      </w:tr>
    </w:tbl>
    <w:p w14:paraId="3598AFE8" w14:textId="77777777" w:rsidR="005E6069" w:rsidRDefault="005E6069">
      <w:pPr>
        <w:spacing w:before="200"/>
      </w:pPr>
    </w:p>
    <w:p w14:paraId="3DA13278" w14:textId="77777777" w:rsidR="005E6069" w:rsidRDefault="005E6069">
      <w:pPr>
        <w:pBdr>
          <w:bottom w:val="single" w:sz="6" w:space="0" w:color="2E75B6"/>
        </w:pBdr>
        <w:spacing w:before="200" w:after="200"/>
      </w:pPr>
    </w:p>
    <w:p w14:paraId="6C1A019A" w14:textId="77777777" w:rsidR="005E6069" w:rsidRDefault="00000000">
      <w:pPr>
        <w:pStyle w:val="Ttulo1"/>
      </w:pPr>
      <w:r>
        <w:t>5. USO DA TERRA INDÍGENA COMO INSTRUMENTO DE PRESSÃO</w:t>
      </w:r>
    </w:p>
    <w:p w14:paraId="3CBC733F" w14:textId="77777777" w:rsidR="005E6069" w:rsidRDefault="00000000">
      <w:pPr>
        <w:spacing w:after="160"/>
      </w:pPr>
      <w:r>
        <w:t xml:space="preserve">Há evidências robustas nos autos de que a Barragem Norte — localizada dentro da Terra Indígena </w:t>
      </w:r>
      <w:proofErr w:type="spellStart"/>
      <w:r>
        <w:t>Ibirama-La</w:t>
      </w:r>
      <w:proofErr w:type="spellEnd"/>
      <w:r>
        <w:t xml:space="preserve"> </w:t>
      </w:r>
      <w:proofErr w:type="spellStart"/>
      <w:r>
        <w:t>Klãnõ</w:t>
      </w:r>
      <w:proofErr w:type="spellEnd"/>
      <w:r>
        <w:t xml:space="preserve"> — está sendo utilizada como instrumento de pressão por diferentes atores, em direções distintas.</w:t>
      </w:r>
    </w:p>
    <w:p w14:paraId="249E0CEF" w14:textId="77777777" w:rsidR="005E6069" w:rsidRDefault="00000000">
      <w:pPr>
        <w:pStyle w:val="Ttulo2"/>
      </w:pPr>
      <w:r>
        <w:t>5.1 A Dinâmica de Interdependência</w:t>
      </w:r>
    </w:p>
    <w:p w14:paraId="5E62E684" w14:textId="77777777" w:rsidR="005E6069" w:rsidRDefault="00000000">
      <w:pPr>
        <w:spacing w:after="160"/>
      </w:pPr>
      <w:r>
        <w:t xml:space="preserve">A situação cria uma interdependência perversa: o Estado alega não poder realizar as obras por falta de acesso à Terra Indígena, enquanto a comunidade indígena nega o acesso porque o Estado não cumpriu as obrigações sociais prometidas </w:t>
      </w:r>
      <w:r>
        <w:lastRenderedPageBreak/>
        <w:t>desde 2015. Ambos os lados usam a omissão do outro como justificativa para a própria inação.</w:t>
      </w:r>
    </w:p>
    <w:p w14:paraId="133250EA" w14:textId="77777777" w:rsidR="005E6069" w:rsidRDefault="00000000">
      <w:pPr>
        <w:pStyle w:val="Ttulo2"/>
      </w:pPr>
      <w:r>
        <w:t>5.2 Episódio do Bloqueio — 8 de outubro de 2023</w:t>
      </w:r>
    </w:p>
    <w:p w14:paraId="0C56D742" w14:textId="77777777" w:rsidR="005E6069" w:rsidRDefault="00000000">
      <w:pPr>
        <w:spacing w:after="160"/>
      </w:pPr>
      <w:r>
        <w:t>O episódio mais grave documentado ocorreu em 08/10/2023, registrado em Boletim de Ocorrência (REGISTRO 0898757/2023-BO-00615.2023.0008097, Delegacia de José Boiteux):</w:t>
      </w:r>
    </w:p>
    <w:p w14:paraId="7A8CC5EE" w14:textId="77777777" w:rsidR="005E6069" w:rsidRDefault="00000000">
      <w:pPr>
        <w:pStyle w:val="PargrafodaLista"/>
        <w:numPr>
          <w:ilvl w:val="0"/>
          <w:numId w:val="2"/>
        </w:numPr>
        <w:spacing w:after="120"/>
      </w:pPr>
      <w:r>
        <w:t>Uma equipe da Defesa Civil de Santa Catarina foi ao local para realizar vistoria técnica na barragem, em função das fortes chuvas e do aumento do nível d'água.</w:t>
      </w:r>
    </w:p>
    <w:p w14:paraId="05923C31" w14:textId="77777777" w:rsidR="005E6069" w:rsidRDefault="00000000">
      <w:pPr>
        <w:pStyle w:val="PargrafodaLista"/>
        <w:numPr>
          <w:ilvl w:val="0"/>
          <w:numId w:val="2"/>
        </w:numPr>
        <w:spacing w:after="120"/>
      </w:pPr>
      <w:r>
        <w:t>Mais de 20 membros da comunidade indígena sitiaram a viatura, arremessando pedras que quebraram o para-brisa e furaram dois pneus, além de desferirem chutes no veículo.</w:t>
      </w:r>
    </w:p>
    <w:p w14:paraId="561BD9AC" w14:textId="77777777" w:rsidR="005E6069" w:rsidRDefault="00000000">
      <w:pPr>
        <w:pStyle w:val="PargrafodaLista"/>
        <w:numPr>
          <w:ilvl w:val="0"/>
          <w:numId w:val="2"/>
        </w:numPr>
        <w:spacing w:after="120"/>
      </w:pPr>
      <w:r>
        <w:t>A equipe técnica e os policiais militares que a acompanhavam ficaram mantidos como reféns por mais de 3 horas, cercados por indígenas portando facas, facões e foices.</w:t>
      </w:r>
    </w:p>
    <w:p w14:paraId="057A8C55" w14:textId="77777777" w:rsidR="005E6069" w:rsidRDefault="00000000">
      <w:pPr>
        <w:pStyle w:val="PargrafodaLista"/>
        <w:numPr>
          <w:ilvl w:val="0"/>
          <w:numId w:val="2"/>
        </w:numPr>
        <w:spacing w:after="120"/>
      </w:pPr>
      <w:r>
        <w:t>A liberação só ocorreu com a intervenção da Polícia Federal.</w:t>
      </w:r>
    </w:p>
    <w:p w14:paraId="49663B1F" w14:textId="77777777" w:rsidR="005E6069" w:rsidRDefault="00000000">
      <w:pPr>
        <w:spacing w:after="160"/>
      </w:pPr>
      <w:r>
        <w:t>O assessor técnico Alex Sandro Souza de Oliveira registrou o ocorrido e reportou formalmente à Defesa Civil, e o episódio foi juntado aos autos judiciais.</w:t>
      </w:r>
    </w:p>
    <w:p w14:paraId="71F6EE79" w14:textId="77777777" w:rsidR="005E6069" w:rsidRDefault="00000000">
      <w:pPr>
        <w:pStyle w:val="Ttulo2"/>
      </w:pPr>
      <w:r>
        <w:t>5.3 O Padrão de Bloqueio como Instrumento de Negociação</w:t>
      </w:r>
    </w:p>
    <w:p w14:paraId="29278C79" w14:textId="77777777" w:rsidR="005E6069" w:rsidRDefault="00000000">
      <w:pPr>
        <w:spacing w:after="160"/>
      </w:pPr>
      <w:r>
        <w:t>Além do episódio de outubro/2023, o Estado documenta nos autos (Ev. 386, página 4, relatório da FACISC):</w:t>
      </w:r>
    </w:p>
    <w:p w14:paraId="6D44C2D0" w14:textId="77777777" w:rsidR="005E6069" w:rsidRDefault="00000000">
      <w:pPr>
        <w:pStyle w:val="PargrafodaLista"/>
        <w:numPr>
          <w:ilvl w:val="0"/>
          <w:numId w:val="2"/>
        </w:numPr>
        <w:spacing w:after="120"/>
      </w:pPr>
      <w:r>
        <w:t>Em março de 2024, uma nova tentativa de vistoria da Defesa Civil (com técnicos da CELESC Geração) foi cancelada por 'não autorização da comunidade indígena para que os técnicos adentrassem na barragem'.</w:t>
      </w:r>
    </w:p>
    <w:p w14:paraId="01F2A2FF" w14:textId="77777777" w:rsidR="005E6069" w:rsidRDefault="00000000">
      <w:pPr>
        <w:pStyle w:val="PargrafodaLista"/>
        <w:numPr>
          <w:ilvl w:val="0"/>
          <w:numId w:val="2"/>
        </w:numPr>
        <w:spacing w:after="120"/>
      </w:pPr>
      <w:r>
        <w:t>O Estado afirmou que 'até o momento, não foram autorizadas novas ações de manutenção na estrutura' e que 'num futuro próximo não se vislumbram ações de manutenção substanciais na estrutura'.</w:t>
      </w:r>
    </w:p>
    <w:p w14:paraId="5463C6CF" w14:textId="77777777" w:rsidR="005E6069" w:rsidRDefault="00000000">
      <w:pPr>
        <w:pStyle w:val="PargrafodaLista"/>
        <w:numPr>
          <w:ilvl w:val="0"/>
          <w:numId w:val="2"/>
        </w:numPr>
        <w:spacing w:after="120"/>
      </w:pPr>
      <w:r>
        <w:t>Dois convênios federais de grande vulto (Convênio SNSH-MDR 883988/2019 e 883989/2019) estavam paralisados por 'não-autorização por parte da comunidade indígena'.</w:t>
      </w:r>
    </w:p>
    <w:p w14:paraId="12CED98F" w14:textId="77777777" w:rsidR="005E6069" w:rsidRDefault="00000000">
      <w:pPr>
        <w:pStyle w:val="Ttulo2"/>
      </w:pPr>
      <w:r>
        <w:t>5.4 A Raiz do Problema: Obrigações Sociais Descumpridas pelo Estado</w:t>
      </w:r>
    </w:p>
    <w:p w14:paraId="247CEBB6" w14:textId="77777777" w:rsidR="005E6069" w:rsidRDefault="00000000">
      <w:pPr>
        <w:spacing w:after="160"/>
      </w:pPr>
      <w:r>
        <w:t>O bloqueio imposto pela comunidade não é aleatório. Há uma causa jurídica subjacente: o Estado de Santa Catarina comprometeu-se, no acordo de 2015, a executar uma série de benfeitorias em favor da comunidade como condição para operar a Barragem Norte. Essas obrigações não foram cumpridas, conforme documentado nos próprios autos do processo:</w:t>
      </w:r>
    </w:p>
    <w:p w14:paraId="676B77C3" w14:textId="77777777" w:rsidR="005E6069" w:rsidRDefault="00000000">
      <w:pPr>
        <w:pStyle w:val="PargrafodaLista"/>
        <w:numPr>
          <w:ilvl w:val="0"/>
          <w:numId w:val="2"/>
        </w:numPr>
        <w:spacing w:after="120"/>
      </w:pPr>
      <w:r>
        <w:t>Construção de casas para as famílias cujas residências seriam submersas pelo fechamento das comportas — prometido para o 'final de 2015', ainda não concluído em 2024 (quase 10 anos de atraso, Ev. 442).</w:t>
      </w:r>
    </w:p>
    <w:p w14:paraId="20DE5B18" w14:textId="77777777" w:rsidR="005E6069" w:rsidRDefault="00000000">
      <w:pPr>
        <w:pStyle w:val="PargrafodaLista"/>
        <w:numPr>
          <w:ilvl w:val="0"/>
          <w:numId w:val="2"/>
        </w:numPr>
        <w:spacing w:after="120"/>
      </w:pPr>
      <w:r>
        <w:lastRenderedPageBreak/>
        <w:t>Elaboração de projeto executivo para abertura, melhoria e manutenção das estradas da Terra Indígena.</w:t>
      </w:r>
    </w:p>
    <w:p w14:paraId="0D5966BD" w14:textId="77777777" w:rsidR="005E6069" w:rsidRDefault="00000000">
      <w:pPr>
        <w:pStyle w:val="PargrafodaLista"/>
        <w:numPr>
          <w:ilvl w:val="0"/>
          <w:numId w:val="2"/>
        </w:numPr>
        <w:spacing w:after="120"/>
      </w:pPr>
      <w:r>
        <w:t>Outras obrigações de natureza humanitária relacionadas a saúde, saneamento, habitação e infraestrutura.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6069" w14:paraId="664952CD" w14:textId="77777777">
        <w:tblPrEx>
          <w:tblCellMar>
            <w:top w:w="0" w:type="dxa"/>
            <w:bottom w:w="0" w:type="dxa"/>
          </w:tblCellMar>
        </w:tblPrEx>
        <w:tc>
          <w:tcPr>
            <w:tcW w:w="0" w:type="auto"/>
            <w:tcBorders>
              <w:top w:val="single" w:sz="2" w:space="0" w:color="538135"/>
              <w:left w:val="thick" w:sz="12" w:space="0" w:color="538135"/>
              <w:bottom w:val="single" w:sz="2" w:space="0" w:color="538135"/>
              <w:right w:val="single" w:sz="2" w:space="0" w:color="538135"/>
            </w:tcBorders>
            <w:shd w:val="clear" w:color="auto" w:fill="E2EFDA"/>
            <w:tcMar>
              <w:top w:w="120" w:type="dxa"/>
              <w:left w:w="200" w:type="dxa"/>
              <w:bottom w:w="120" w:type="dxa"/>
              <w:right w:w="200" w:type="dxa"/>
            </w:tcMar>
          </w:tcPr>
          <w:p w14:paraId="39C70AEC" w14:textId="77777777" w:rsidR="005E6069" w:rsidRDefault="00000000">
            <w:proofErr w:type="gramStart"/>
            <w:r>
              <w:rPr>
                <w:b/>
                <w:bCs/>
                <w:color w:val="538135"/>
                <w:sz w:val="22"/>
                <w:szCs w:val="22"/>
              </w:rPr>
              <w:t>🔍  ANÁLISE</w:t>
            </w:r>
            <w:proofErr w:type="gramEnd"/>
            <w:r>
              <w:rPr>
                <w:b/>
                <w:bCs/>
                <w:color w:val="538135"/>
                <w:sz w:val="22"/>
                <w:szCs w:val="22"/>
              </w:rPr>
              <w:t xml:space="preserve"> JURÍDICA — NEXO CAUSAL DO BLOQUEIO</w:t>
            </w:r>
          </w:p>
          <w:p w14:paraId="23FAC44C" w14:textId="77777777" w:rsidR="005E6069" w:rsidRDefault="00000000">
            <w:r>
              <w:rPr>
                <w:sz w:val="22"/>
                <w:szCs w:val="22"/>
              </w:rPr>
              <w:t>Do ponto de vista jurídico, o comportamento da comunidade indígena constitui autotutela decorrente do inadimplemento do Estado. A comunidade usa o controle do acesso ao bem como moeda de troca para exigir o cumprimento das obrigações sociais previamente acordadas. Não é correto qualificar esse comportamento exclusivamente como 'chantagem' sem reconhecer que ele é, em grande parte, resposta a um inadimplemento estatal de quase uma década. O Estado não pode alegar dificuldade de acesso criada por sua própria omissão para justificar o descumprimento de obrigações judiciais.</w:t>
            </w:r>
          </w:p>
        </w:tc>
      </w:tr>
    </w:tbl>
    <w:p w14:paraId="25FA6F58" w14:textId="77777777" w:rsidR="005E6069" w:rsidRDefault="005E6069">
      <w:pPr>
        <w:spacing w:before="200"/>
      </w:pPr>
    </w:p>
    <w:p w14:paraId="138E59E3" w14:textId="77777777" w:rsidR="005E6069" w:rsidRDefault="005E6069">
      <w:pPr>
        <w:pBdr>
          <w:bottom w:val="single" w:sz="6" w:space="0" w:color="2E75B6"/>
        </w:pBdr>
        <w:spacing w:before="200" w:after="200"/>
      </w:pPr>
    </w:p>
    <w:p w14:paraId="571B27EA" w14:textId="77777777" w:rsidR="005E6069" w:rsidRDefault="00000000">
      <w:pPr>
        <w:pStyle w:val="Ttulo1"/>
      </w:pPr>
      <w:r>
        <w:t>6. OUTROS PONTOS RELEVANTES IDENTIFICADOS</w:t>
      </w:r>
    </w:p>
    <w:p w14:paraId="47D71CAA" w14:textId="77777777" w:rsidR="005E6069" w:rsidRDefault="00000000">
      <w:pPr>
        <w:pStyle w:val="Ttulo2"/>
      </w:pPr>
      <w:r>
        <w:t>6.1 Risco de Segurança Pública — Urgência Extrema</w:t>
      </w:r>
    </w:p>
    <w:p w14:paraId="22738BBD" w14:textId="77777777" w:rsidR="005E6069" w:rsidRDefault="00000000">
      <w:pPr>
        <w:spacing w:after="160"/>
      </w:pPr>
      <w:r>
        <w:t>A barragem possui dimensão de interesse público que ultrapassa em muito o conflito entre as partes:</w:t>
      </w:r>
    </w:p>
    <w:p w14:paraId="45C48D4E" w14:textId="77777777" w:rsidR="005E6069" w:rsidRDefault="00000000">
      <w:pPr>
        <w:pStyle w:val="PargrafodaLista"/>
        <w:numPr>
          <w:ilvl w:val="0"/>
          <w:numId w:val="2"/>
        </w:numPr>
        <w:spacing w:after="120"/>
      </w:pPr>
      <w:r>
        <w:t>O sistema de barragens do Alto Vale do Itajaí protege 1.940.785 habitantes de inundações catastróficas.</w:t>
      </w:r>
    </w:p>
    <w:p w14:paraId="206DB34B" w14:textId="77777777" w:rsidR="005E6069" w:rsidRDefault="00000000">
      <w:pPr>
        <w:pStyle w:val="PargrafodaLista"/>
        <w:numPr>
          <w:ilvl w:val="0"/>
          <w:numId w:val="2"/>
        </w:numPr>
        <w:spacing w:after="120"/>
      </w:pPr>
      <w:r>
        <w:t>Em 2023, pela primeira vez na história, o vertedouro da Barragem Norte transbordou, evidenciando que a capacidade operacional está no limite.</w:t>
      </w:r>
    </w:p>
    <w:p w14:paraId="2B840270" w14:textId="77777777" w:rsidR="005E6069" w:rsidRDefault="00000000">
      <w:pPr>
        <w:pStyle w:val="PargrafodaLista"/>
        <w:numPr>
          <w:ilvl w:val="0"/>
          <w:numId w:val="2"/>
        </w:numPr>
        <w:spacing w:after="120"/>
      </w:pPr>
      <w:r>
        <w:t xml:space="preserve">O relatório técnico da Defesa Civil (Ev. 558) aponta: galeria de descarga com infiltrações, comportas com funcionamento deficiente, acesso ao </w:t>
      </w:r>
      <w:proofErr w:type="spellStart"/>
      <w:r>
        <w:t>shaft</w:t>
      </w:r>
      <w:proofErr w:type="spellEnd"/>
      <w:r>
        <w:t xml:space="preserve"> de controle prejudicado, necessidade de automatização urgente.</w:t>
      </w:r>
    </w:p>
    <w:p w14:paraId="025E5364" w14:textId="77777777" w:rsidR="005E6069" w:rsidRDefault="00000000">
      <w:pPr>
        <w:pStyle w:val="PargrafodaLista"/>
        <w:numPr>
          <w:ilvl w:val="0"/>
          <w:numId w:val="2"/>
        </w:numPr>
        <w:spacing w:after="120"/>
      </w:pPr>
      <w:r>
        <w:t>A combinação de uma barragem estruturalmente comprometida, sem manutenção adequada há anos, com acesso bloqueado pela comunidade indígena e obras paralisadas por pendências burocráticas, configura uma situação de risco iminente para toda a bacia hidrográfica.</w:t>
      </w:r>
    </w:p>
    <w:p w14:paraId="77B1C87D" w14:textId="77777777" w:rsidR="005E6069" w:rsidRDefault="00000000">
      <w:pPr>
        <w:pStyle w:val="Ttulo2"/>
      </w:pPr>
      <w:r>
        <w:t>6.2 Emaranhado Burocrático entre IBAMA e IPHAN</w:t>
      </w:r>
    </w:p>
    <w:p w14:paraId="7A656735" w14:textId="77777777" w:rsidR="005E6069" w:rsidRDefault="00000000">
      <w:pPr>
        <w:spacing w:after="160"/>
      </w:pPr>
      <w:r>
        <w:t>O Estado não gerenciou proativamente os processos de licenciamento ambiental:</w:t>
      </w:r>
    </w:p>
    <w:p w14:paraId="1F356081" w14:textId="77777777" w:rsidR="005E6069" w:rsidRDefault="00000000">
      <w:pPr>
        <w:pStyle w:val="PargrafodaLista"/>
        <w:numPr>
          <w:ilvl w:val="0"/>
          <w:numId w:val="2"/>
        </w:numPr>
        <w:spacing w:after="120"/>
      </w:pPr>
      <w:r>
        <w:t>O processo no IBAMA para autorização das obras na Barragem Norte (nº 02001.002710/2016-65) estava em andamento desde 2016 sem resolução.</w:t>
      </w:r>
    </w:p>
    <w:p w14:paraId="5DC3FF44" w14:textId="77777777" w:rsidR="005E6069" w:rsidRDefault="00000000">
      <w:pPr>
        <w:pStyle w:val="PargrafodaLista"/>
        <w:numPr>
          <w:ilvl w:val="0"/>
          <w:numId w:val="2"/>
        </w:numPr>
        <w:spacing w:after="120"/>
      </w:pPr>
      <w:r>
        <w:t>O IPHAN comunicou (Ev. 573, janeiro/2025) que os estudos arqueológicos para o Canal Extravasor 'ainda estão em andamento' e não há previsão de anuência final.</w:t>
      </w:r>
    </w:p>
    <w:p w14:paraId="4324BBB4" w14:textId="77777777" w:rsidR="005E6069" w:rsidRDefault="00000000">
      <w:pPr>
        <w:pStyle w:val="PargrafodaLista"/>
        <w:numPr>
          <w:ilvl w:val="0"/>
          <w:numId w:val="2"/>
        </w:numPr>
        <w:spacing w:after="120"/>
      </w:pPr>
      <w:r>
        <w:t>A Instrução Normativa IBAMA nº 15/2018, que permitiria algumas obras sem licenciamento completo dentro de Terras Indígenas, não cobre a construção de ponte de concreto — principal acesso à barragem.</w:t>
      </w:r>
    </w:p>
    <w:p w14:paraId="7341C6B9" w14:textId="77777777" w:rsidR="005E6069" w:rsidRDefault="00000000">
      <w:pPr>
        <w:spacing w:after="160"/>
      </w:pPr>
      <w:r>
        <w:lastRenderedPageBreak/>
        <w:t>O Estado apresenta esses entraves como obstáculos insuperáveis, mas a realidade é que houve demora na instrução dos processos administrativos e falta de articulação entre os órgãos.</w:t>
      </w:r>
    </w:p>
    <w:p w14:paraId="3D719B59" w14:textId="77777777" w:rsidR="005E6069" w:rsidRDefault="00000000">
      <w:pPr>
        <w:pStyle w:val="Ttulo2"/>
      </w:pPr>
      <w:r>
        <w:t>6.3 Conflito de Interesse Institucional da FUNAI</w:t>
      </w:r>
    </w:p>
    <w:p w14:paraId="4A616DCA" w14:textId="77777777" w:rsidR="005E6069" w:rsidRDefault="00000000">
      <w:pPr>
        <w:spacing w:after="160"/>
      </w:pPr>
      <w:r>
        <w:t xml:space="preserve">A FUNAI ocupa posição dual no processo: é Interessada e simultaneamente </w:t>
      </w:r>
      <w:proofErr w:type="spellStart"/>
      <w:proofErr w:type="gramStart"/>
      <w:r>
        <w:t>co-responsável</w:t>
      </w:r>
      <w:proofErr w:type="spellEnd"/>
      <w:proofErr w:type="gramEnd"/>
      <w:r>
        <w:t xml:space="preserve"> pela supervisão das políticas públicas voltadas à comunidade indígena. Seus técnicos declararam não possuir expertise para avaliar laudos de segurança da barragem (Ev. 420) — o que evidencia uma lacuna institucional relevante. A FUNAI requereu a nomeação de perito independente pelo Juízo às expensas do Estado, o que é juridicamente </w:t>
      </w:r>
      <w:proofErr w:type="gramStart"/>
      <w:r>
        <w:t>adequado</w:t>
      </w:r>
      <w:proofErr w:type="gramEnd"/>
      <w:r>
        <w:t xml:space="preserve"> mas revela que o próprio órgão não tem capacidade de monitorar o bem que está sob sua área de influência.</w:t>
      </w:r>
    </w:p>
    <w:p w14:paraId="16BDAAAA" w14:textId="77777777" w:rsidR="005E6069" w:rsidRDefault="00000000">
      <w:pPr>
        <w:pStyle w:val="Ttulo2"/>
      </w:pPr>
      <w:r>
        <w:t>6.4 Comportamento Processual Dilatório do Estado</w:t>
      </w:r>
    </w:p>
    <w:p w14:paraId="0548EBCA" w14:textId="77777777" w:rsidR="005E6069" w:rsidRDefault="00000000">
      <w:pPr>
        <w:spacing w:after="160"/>
      </w:pPr>
      <w:r>
        <w:t>Ao longo dos autos, é possível identificar um padrão de comportamento processual dilatório do Estado de Santa Catarina:</w:t>
      </w:r>
    </w:p>
    <w:p w14:paraId="598A686B" w14:textId="77777777" w:rsidR="005E6069" w:rsidRDefault="00000000">
      <w:pPr>
        <w:pStyle w:val="PargrafodaLista"/>
        <w:numPr>
          <w:ilvl w:val="0"/>
          <w:numId w:val="2"/>
        </w:numPr>
        <w:spacing w:after="120"/>
      </w:pPr>
      <w:r>
        <w:t>Apresenta manifestações vagas sobre 'fase de contratação' ou 'estudo preliminar' sem documentação comprobatória.</w:t>
      </w:r>
    </w:p>
    <w:p w14:paraId="2DD4A804" w14:textId="77777777" w:rsidR="005E6069" w:rsidRDefault="00000000">
      <w:pPr>
        <w:pStyle w:val="PargrafodaLista"/>
        <w:numPr>
          <w:ilvl w:val="0"/>
          <w:numId w:val="2"/>
        </w:numPr>
        <w:spacing w:after="120"/>
      </w:pPr>
      <w:r>
        <w:t>Responde fora dos prazos judiciais com frequência, ou deixa transcorrer in albis.</w:t>
      </w:r>
    </w:p>
    <w:p w14:paraId="523E5E72" w14:textId="77777777" w:rsidR="005E6069" w:rsidRDefault="00000000">
      <w:pPr>
        <w:pStyle w:val="PargrafodaLista"/>
        <w:numPr>
          <w:ilvl w:val="0"/>
          <w:numId w:val="2"/>
        </w:numPr>
        <w:spacing w:after="120"/>
      </w:pPr>
      <w:r>
        <w:t>Utiliza intercorrências externas (chuvas de emergência, bloqueios da comunidade indígena, pendências do IBAMA) como justificativas para novas prorrogações.</w:t>
      </w:r>
    </w:p>
    <w:p w14:paraId="3DBA0FB5" w14:textId="77777777" w:rsidR="005E6069" w:rsidRDefault="00000000">
      <w:pPr>
        <w:pStyle w:val="PargrafodaLista"/>
        <w:numPr>
          <w:ilvl w:val="0"/>
          <w:numId w:val="2"/>
        </w:numPr>
        <w:spacing w:after="120"/>
      </w:pPr>
      <w:r>
        <w:t>Apresenta documentos internos de encaminhamento (despachos de secretaria para secretaria) como prova de cumprimento das ordens judiciais, quando na prática trata-se apenas de comunicações internas que não comprovam a execução física das obras.</w:t>
      </w:r>
    </w:p>
    <w:p w14:paraId="25F979DB" w14:textId="77777777" w:rsidR="005E6069" w:rsidRDefault="00000000">
      <w:pPr>
        <w:pStyle w:val="Ttulo2"/>
      </w:pPr>
      <w:r>
        <w:t>6.5 Silêncio do Estado por Dois Prazos Consecutivos — Questão Processual</w:t>
      </w:r>
    </w:p>
    <w:p w14:paraId="6EC49DFF" w14:textId="77777777" w:rsidR="005E6069" w:rsidRDefault="00000000">
      <w:pPr>
        <w:spacing w:after="160"/>
      </w:pPr>
      <w:r>
        <w:t>O fato de o Estado ter '</w:t>
      </w:r>
      <w:proofErr w:type="spellStart"/>
      <w:r>
        <w:t>quedado-se</w:t>
      </w:r>
      <w:proofErr w:type="spellEnd"/>
      <w:r>
        <w:t xml:space="preserve"> inerte' por dois períodos consecutivos após intimação regular (Ev. 532) é processualmente grave. Esse comportamento, além de justificar a imposição de astreintes, pode fundamentar: (i) medida coercitiva mais severa pelo Juízo; (</w:t>
      </w:r>
      <w:proofErr w:type="spellStart"/>
      <w:r>
        <w:t>ii</w:t>
      </w:r>
      <w:proofErr w:type="spellEnd"/>
      <w:r>
        <w:t>) expedição de ofício ao Tribunal de Contas do Estado para apurar responsabilidade dos agentes públicos pelo descumprimento; e (</w:t>
      </w:r>
      <w:proofErr w:type="spellStart"/>
      <w:r>
        <w:t>iii</w:t>
      </w:r>
      <w:proofErr w:type="spellEnd"/>
      <w:r>
        <w:t>) eventual incidente de descumprimento perante o TRF-4.</w:t>
      </w:r>
    </w:p>
    <w:p w14:paraId="07EE3EDE" w14:textId="77777777" w:rsidR="005E6069" w:rsidRDefault="005E6069">
      <w:pPr>
        <w:spacing w:before="200"/>
      </w:pPr>
    </w:p>
    <w:p w14:paraId="59EE8E9B" w14:textId="77777777" w:rsidR="005E6069" w:rsidRDefault="005E6069">
      <w:pPr>
        <w:pBdr>
          <w:bottom w:val="single" w:sz="6" w:space="0" w:color="2E75B6"/>
        </w:pBdr>
        <w:spacing w:before="200" w:after="200"/>
      </w:pPr>
    </w:p>
    <w:p w14:paraId="2FE1C6D9" w14:textId="77777777" w:rsidR="005E6069" w:rsidRDefault="00000000">
      <w:pPr>
        <w:pStyle w:val="Ttulo1"/>
      </w:pPr>
      <w:r>
        <w:t>7. LINHA DO TEMPO DOS PRINCIPAIS EVENTOS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5E6069" w14:paraId="07013C01"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39633F3" w14:textId="77777777" w:rsidR="005E6069" w:rsidRDefault="00000000">
            <w:r>
              <w:rPr>
                <w:b/>
                <w:bCs/>
                <w:color w:val="FFFFFF"/>
                <w:sz w:val="22"/>
                <w:szCs w:val="22"/>
              </w:rPr>
              <w:lastRenderedPageBreak/>
              <w:t>Data</w:t>
            </w:r>
          </w:p>
        </w:tc>
        <w:tc>
          <w:tcPr>
            <w:tcW w:w="74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4539ED6" w14:textId="77777777" w:rsidR="005E6069" w:rsidRDefault="00000000">
            <w:r>
              <w:rPr>
                <w:b/>
                <w:bCs/>
                <w:color w:val="FFFFFF"/>
                <w:sz w:val="22"/>
                <w:szCs w:val="22"/>
              </w:rPr>
              <w:t>Evento</w:t>
            </w:r>
          </w:p>
        </w:tc>
      </w:tr>
      <w:tr w:rsidR="005E6069" w14:paraId="04E5011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7B80C" w14:textId="77777777" w:rsidR="005E6069" w:rsidRDefault="00000000">
            <w:r>
              <w:rPr>
                <w:sz w:val="22"/>
                <w:szCs w:val="22"/>
              </w:rPr>
              <w:t>1997</w:t>
            </w:r>
          </w:p>
        </w:tc>
        <w:tc>
          <w:tcPr>
            <w:tcW w:w="7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C7B5B" w14:textId="77777777" w:rsidR="005E6069" w:rsidRDefault="00000000">
            <w:r>
              <w:rPr>
                <w:sz w:val="22"/>
                <w:szCs w:val="22"/>
              </w:rPr>
              <w:t>Ajuizamento da Ação Civil Pública originária (nº 1997.72.05.005198-7/SC)</w:t>
            </w:r>
          </w:p>
        </w:tc>
      </w:tr>
      <w:tr w:rsidR="005E6069" w14:paraId="144DE35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0689212" w14:textId="77777777" w:rsidR="005E6069" w:rsidRDefault="00000000">
            <w:r>
              <w:rPr>
                <w:sz w:val="22"/>
                <w:szCs w:val="22"/>
              </w:rPr>
              <w:t>Out/2010</w:t>
            </w:r>
          </w:p>
        </w:tc>
        <w:tc>
          <w:tcPr>
            <w:tcW w:w="74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6B8A2E5" w14:textId="77777777" w:rsidR="005E6069" w:rsidRDefault="00000000">
            <w:r>
              <w:rPr>
                <w:sz w:val="22"/>
                <w:szCs w:val="22"/>
              </w:rPr>
              <w:t>Sentença transitada em julgado — Estado de SC e União condenados a manter e recuperar as barragens</w:t>
            </w:r>
          </w:p>
        </w:tc>
      </w:tr>
      <w:tr w:rsidR="005E6069" w14:paraId="6914998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64FC7" w14:textId="77777777" w:rsidR="005E6069" w:rsidRDefault="00000000">
            <w:r>
              <w:rPr>
                <w:sz w:val="22"/>
                <w:szCs w:val="22"/>
              </w:rPr>
              <w:t>Out/2015</w:t>
            </w:r>
          </w:p>
        </w:tc>
        <w:tc>
          <w:tcPr>
            <w:tcW w:w="7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F455B" w14:textId="77777777" w:rsidR="005E6069" w:rsidRDefault="00000000">
            <w:r>
              <w:rPr>
                <w:sz w:val="22"/>
                <w:szCs w:val="22"/>
              </w:rPr>
              <w:t>Acordo no processo conexo (nº 5013528-53.2018.4.04.7205): Estado se compromete a construir casas para famílias indígenas 'até o final de 2015' e executar melhorias na TI</w:t>
            </w:r>
          </w:p>
        </w:tc>
      </w:tr>
      <w:tr w:rsidR="005E6069" w14:paraId="0AC3144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6520E54" w14:textId="77777777" w:rsidR="005E6069" w:rsidRDefault="00000000">
            <w:r>
              <w:rPr>
                <w:sz w:val="22"/>
                <w:szCs w:val="22"/>
              </w:rPr>
              <w:t>2019</w:t>
            </w:r>
          </w:p>
        </w:tc>
        <w:tc>
          <w:tcPr>
            <w:tcW w:w="74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4FCA142" w14:textId="77777777" w:rsidR="005E6069" w:rsidRDefault="00000000">
            <w:r>
              <w:rPr>
                <w:sz w:val="22"/>
                <w:szCs w:val="22"/>
              </w:rPr>
              <w:t>Celebração dos Convênios Federais 883988/2019 e 883989/2019 para obras nas barragens Norte (recursos para manutenção e Canal Extravasor)</w:t>
            </w:r>
          </w:p>
        </w:tc>
      </w:tr>
      <w:tr w:rsidR="005E6069" w14:paraId="38FAA18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EB811" w14:textId="77777777" w:rsidR="005E6069" w:rsidRDefault="00000000">
            <w:r>
              <w:rPr>
                <w:sz w:val="22"/>
                <w:szCs w:val="22"/>
              </w:rPr>
              <w:t>Out/2023</w:t>
            </w:r>
          </w:p>
        </w:tc>
        <w:tc>
          <w:tcPr>
            <w:tcW w:w="7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86C2B" w14:textId="77777777" w:rsidR="005E6069" w:rsidRDefault="00000000">
            <w:r>
              <w:rPr>
                <w:sz w:val="22"/>
                <w:szCs w:val="22"/>
              </w:rPr>
              <w:t>Primeiro transbordamento histórico do vertedouro da Barragem Norte; cheias graves na região</w:t>
            </w:r>
          </w:p>
        </w:tc>
      </w:tr>
      <w:tr w:rsidR="005E6069" w14:paraId="452B815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213DE9D" w14:textId="77777777" w:rsidR="005E6069" w:rsidRDefault="00000000">
            <w:r>
              <w:rPr>
                <w:sz w:val="22"/>
                <w:szCs w:val="22"/>
              </w:rPr>
              <w:t>08/10/2023</w:t>
            </w:r>
          </w:p>
        </w:tc>
        <w:tc>
          <w:tcPr>
            <w:tcW w:w="74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F4FD858" w14:textId="77777777" w:rsidR="005E6069" w:rsidRDefault="00000000">
            <w:r>
              <w:rPr>
                <w:sz w:val="22"/>
                <w:szCs w:val="22"/>
              </w:rPr>
              <w:t>Incidente na TI: comunidade indígena mantém equipe da Defesa Civil como refém por 3 horas; BO registrado na Delegacia de José Boiteux</w:t>
            </w:r>
          </w:p>
        </w:tc>
      </w:tr>
      <w:tr w:rsidR="005E6069" w14:paraId="09B497D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E8BA7" w14:textId="77777777" w:rsidR="005E6069" w:rsidRDefault="00000000">
            <w:proofErr w:type="spellStart"/>
            <w:r>
              <w:rPr>
                <w:sz w:val="22"/>
                <w:szCs w:val="22"/>
              </w:rPr>
              <w:t>Nov</w:t>
            </w:r>
            <w:proofErr w:type="spellEnd"/>
            <w:r>
              <w:rPr>
                <w:sz w:val="22"/>
                <w:szCs w:val="22"/>
              </w:rPr>
              <w:t>/2023</w:t>
            </w:r>
          </w:p>
        </w:tc>
        <w:tc>
          <w:tcPr>
            <w:tcW w:w="7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0485B" w14:textId="77777777" w:rsidR="005E6069" w:rsidRDefault="00000000">
            <w:r>
              <w:rPr>
                <w:sz w:val="22"/>
                <w:szCs w:val="22"/>
              </w:rPr>
              <w:t>FUNAI requer nomeação de perito independente para avaliar laudo de segurança da barragem (Ev. 420)</w:t>
            </w:r>
          </w:p>
        </w:tc>
      </w:tr>
      <w:tr w:rsidR="005E6069" w14:paraId="1B3BA0E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032B3BA" w14:textId="77777777" w:rsidR="005E6069" w:rsidRDefault="00000000">
            <w:proofErr w:type="spellStart"/>
            <w:r>
              <w:rPr>
                <w:sz w:val="22"/>
                <w:szCs w:val="22"/>
              </w:rPr>
              <w:t>Fev</w:t>
            </w:r>
            <w:proofErr w:type="spellEnd"/>
            <w:r>
              <w:rPr>
                <w:sz w:val="22"/>
                <w:szCs w:val="22"/>
              </w:rPr>
              <w:t>/2024</w:t>
            </w:r>
          </w:p>
        </w:tc>
        <w:tc>
          <w:tcPr>
            <w:tcW w:w="74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425DA7C" w14:textId="77777777" w:rsidR="005E6069" w:rsidRDefault="00000000">
            <w:r>
              <w:rPr>
                <w:sz w:val="22"/>
                <w:szCs w:val="22"/>
              </w:rPr>
              <w:t>Estado junta documentação sobre 'cumprimento de obrigações'; FUNAI e PGF constatam que itens sociais (casas, infraestrutura) não foram comprovados (Ev. 442)</w:t>
            </w:r>
          </w:p>
        </w:tc>
      </w:tr>
      <w:tr w:rsidR="005E6069" w14:paraId="3321B80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7F623" w14:textId="77777777" w:rsidR="005E6069" w:rsidRDefault="00000000">
            <w:r>
              <w:rPr>
                <w:sz w:val="22"/>
                <w:szCs w:val="22"/>
              </w:rPr>
              <w:t>26/06/2024</w:t>
            </w:r>
          </w:p>
        </w:tc>
        <w:tc>
          <w:tcPr>
            <w:tcW w:w="7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A761B" w14:textId="77777777" w:rsidR="005E6069" w:rsidRDefault="00000000">
            <w:r>
              <w:rPr>
                <w:sz w:val="22"/>
                <w:szCs w:val="22"/>
              </w:rPr>
              <w:t>Audiência conjunta (Ev. 508): Juiz determina 4 obrigações com prazo de 10 dias ao Estado de SC</w:t>
            </w:r>
          </w:p>
        </w:tc>
      </w:tr>
      <w:tr w:rsidR="005E6069" w14:paraId="414D2E6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F9DFD06" w14:textId="77777777" w:rsidR="005E6069" w:rsidRDefault="00000000">
            <w:r>
              <w:rPr>
                <w:sz w:val="22"/>
                <w:szCs w:val="22"/>
              </w:rPr>
              <w:t>Jul-Set/2024</w:t>
            </w:r>
          </w:p>
        </w:tc>
        <w:tc>
          <w:tcPr>
            <w:tcW w:w="74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B009B28" w14:textId="77777777" w:rsidR="005E6069" w:rsidRDefault="00000000">
            <w:r>
              <w:rPr>
                <w:sz w:val="22"/>
                <w:szCs w:val="22"/>
              </w:rPr>
              <w:t>Estado descumpre prazos por dois períodos consecutivos; FUNAI requer reiteração; DPU requer fixação de multa</w:t>
            </w:r>
          </w:p>
        </w:tc>
      </w:tr>
      <w:tr w:rsidR="005E6069" w14:paraId="00C3AB8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A6D07" w14:textId="77777777" w:rsidR="005E6069" w:rsidRDefault="00000000">
            <w:r>
              <w:rPr>
                <w:sz w:val="22"/>
                <w:szCs w:val="22"/>
              </w:rPr>
              <w:t>30/09/2024</w:t>
            </w:r>
          </w:p>
        </w:tc>
        <w:tc>
          <w:tcPr>
            <w:tcW w:w="7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57B30" w14:textId="77777777" w:rsidR="005E6069" w:rsidRDefault="00000000">
            <w:r>
              <w:rPr>
                <w:sz w:val="22"/>
                <w:szCs w:val="22"/>
              </w:rPr>
              <w:t>Decisão Ev. 534: Juiz impõe multa diária de R$ 500,00 por descumprimento do item 3 do Ev. 256</w:t>
            </w:r>
          </w:p>
        </w:tc>
      </w:tr>
      <w:tr w:rsidR="005E6069" w14:paraId="1652AA9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D97C0F1" w14:textId="77777777" w:rsidR="005E6069" w:rsidRDefault="00000000">
            <w:r>
              <w:rPr>
                <w:sz w:val="22"/>
                <w:szCs w:val="22"/>
              </w:rPr>
              <w:t>Jan/2025</w:t>
            </w:r>
          </w:p>
        </w:tc>
        <w:tc>
          <w:tcPr>
            <w:tcW w:w="74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1D1BD28" w14:textId="77777777" w:rsidR="005E6069" w:rsidRDefault="00000000">
            <w:r>
              <w:rPr>
                <w:sz w:val="22"/>
                <w:szCs w:val="22"/>
              </w:rPr>
              <w:t>IPHAN informa que estudos arqueológicos para Canal Extravasor ainda estão em andamento, sem previsão de conclusão (Ev. 573)</w:t>
            </w:r>
          </w:p>
        </w:tc>
      </w:tr>
      <w:tr w:rsidR="005E6069" w14:paraId="5463B3D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6E420" w14:textId="77777777" w:rsidR="005E6069" w:rsidRDefault="00000000">
            <w:proofErr w:type="spellStart"/>
            <w:r>
              <w:rPr>
                <w:sz w:val="22"/>
                <w:szCs w:val="22"/>
              </w:rPr>
              <w:t>Ago</w:t>
            </w:r>
            <w:proofErr w:type="spellEnd"/>
            <w:r>
              <w:rPr>
                <w:sz w:val="22"/>
                <w:szCs w:val="22"/>
              </w:rPr>
              <w:t>/2025</w:t>
            </w:r>
          </w:p>
        </w:tc>
        <w:tc>
          <w:tcPr>
            <w:tcW w:w="7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AA334" w14:textId="77777777" w:rsidR="005E6069" w:rsidRDefault="00000000">
            <w:r>
              <w:rPr>
                <w:sz w:val="22"/>
                <w:szCs w:val="22"/>
              </w:rPr>
              <w:t xml:space="preserve">FACISC requer exclusão do feito como amicus </w:t>
            </w:r>
            <w:proofErr w:type="spellStart"/>
            <w:r>
              <w:rPr>
                <w:sz w:val="22"/>
                <w:szCs w:val="22"/>
              </w:rPr>
              <w:t>curiae</w:t>
            </w:r>
            <w:proofErr w:type="spellEnd"/>
            <w:r>
              <w:rPr>
                <w:sz w:val="22"/>
                <w:szCs w:val="22"/>
              </w:rPr>
              <w:t xml:space="preserve"> alegando falta de expertise técnica (Ev. 638)</w:t>
            </w:r>
          </w:p>
        </w:tc>
      </w:tr>
      <w:tr w:rsidR="005E6069" w14:paraId="0454F26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FF82B69" w14:textId="77777777" w:rsidR="005E6069" w:rsidRDefault="00000000">
            <w:proofErr w:type="spellStart"/>
            <w:r>
              <w:rPr>
                <w:sz w:val="22"/>
                <w:szCs w:val="22"/>
              </w:rPr>
              <w:t>Nov</w:t>
            </w:r>
            <w:proofErr w:type="spellEnd"/>
            <w:r>
              <w:rPr>
                <w:sz w:val="22"/>
                <w:szCs w:val="22"/>
              </w:rPr>
              <w:t>/2025</w:t>
            </w:r>
          </w:p>
        </w:tc>
        <w:tc>
          <w:tcPr>
            <w:tcW w:w="74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EA613DE" w14:textId="77777777" w:rsidR="005E6069" w:rsidRDefault="00000000">
            <w:r>
              <w:rPr>
                <w:sz w:val="22"/>
                <w:szCs w:val="22"/>
              </w:rPr>
              <w:t>Juízo intima novamente o Estado para informar situação das obras (Ev. 661); Estado apresenta IT nº 160/2025 com contratos menores de manutenção e licitação da obra principal prevista para dez/2025</w:t>
            </w:r>
          </w:p>
        </w:tc>
      </w:tr>
      <w:tr w:rsidR="005E6069" w14:paraId="71231B5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35F0F" w14:textId="77777777" w:rsidR="005E6069" w:rsidRDefault="00000000">
            <w:r>
              <w:rPr>
                <w:sz w:val="22"/>
                <w:szCs w:val="22"/>
              </w:rPr>
              <w:t>Mar/2026</w:t>
            </w:r>
          </w:p>
        </w:tc>
        <w:tc>
          <w:tcPr>
            <w:tcW w:w="7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2AAE6" w14:textId="77777777" w:rsidR="005E6069" w:rsidRDefault="00000000">
            <w:r>
              <w:rPr>
                <w:sz w:val="22"/>
                <w:szCs w:val="22"/>
              </w:rPr>
              <w:t>Processo em andamento; aguardam-se manifestações das partes sobre os últimos eventos (682–686)</w:t>
            </w:r>
          </w:p>
        </w:tc>
      </w:tr>
    </w:tbl>
    <w:p w14:paraId="6ADC8DA7" w14:textId="77777777" w:rsidR="005E6069" w:rsidRDefault="005E6069">
      <w:pPr>
        <w:spacing w:before="300"/>
      </w:pPr>
    </w:p>
    <w:p w14:paraId="2A333096" w14:textId="77777777" w:rsidR="005E6069" w:rsidRDefault="005E6069">
      <w:pPr>
        <w:pBdr>
          <w:bottom w:val="single" w:sz="6" w:space="0" w:color="2E75B6"/>
        </w:pBdr>
        <w:spacing w:before="200" w:after="200"/>
      </w:pPr>
    </w:p>
    <w:p w14:paraId="08DBBA25" w14:textId="77777777" w:rsidR="005E6069" w:rsidRDefault="00000000">
      <w:pPr>
        <w:pStyle w:val="Ttulo1"/>
      </w:pPr>
      <w:r>
        <w:t>8. CONCLUSÕES E PONTOS PARA ATENÇÃO DO PATRONO</w:t>
      </w:r>
    </w:p>
    <w:p w14:paraId="7080D423" w14:textId="77777777" w:rsidR="005E6069" w:rsidRDefault="00000000">
      <w:pPr>
        <w:pStyle w:val="Ttulo2"/>
      </w:pPr>
      <w:r>
        <w:t>8.1 Sumário das Conclusões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513"/>
        <w:gridCol w:w="3313"/>
      </w:tblGrid>
      <w:tr w:rsidR="005E6069" w14:paraId="73B8024F"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957337C" w14:textId="77777777" w:rsidR="005E6069" w:rsidRDefault="00000000">
            <w:r>
              <w:rPr>
                <w:b/>
                <w:bCs/>
                <w:color w:val="FFFFFF"/>
                <w:sz w:val="22"/>
                <w:szCs w:val="22"/>
              </w:rPr>
              <w:lastRenderedPageBreak/>
              <w:t>Ator</w:t>
            </w:r>
          </w:p>
        </w:tc>
        <w:tc>
          <w:tcPr>
            <w:tcW w:w="25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5EDDC2" w14:textId="77777777" w:rsidR="005E6069" w:rsidRDefault="00000000">
            <w:r>
              <w:rPr>
                <w:b/>
                <w:bCs/>
                <w:color w:val="FFFFFF"/>
                <w:sz w:val="22"/>
                <w:szCs w:val="22"/>
              </w:rPr>
              <w:t>Conduta</w:t>
            </w:r>
          </w:p>
        </w:tc>
        <w:tc>
          <w:tcPr>
            <w:tcW w:w="33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6E40C7" w14:textId="77777777" w:rsidR="005E6069" w:rsidRDefault="00000000">
            <w:r>
              <w:rPr>
                <w:b/>
                <w:bCs/>
                <w:color w:val="FFFFFF"/>
                <w:sz w:val="22"/>
                <w:szCs w:val="22"/>
              </w:rPr>
              <w:t>Gravidade</w:t>
            </w:r>
          </w:p>
        </w:tc>
      </w:tr>
      <w:tr w:rsidR="005E6069" w14:paraId="7A4C63A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D7FD1" w14:textId="77777777" w:rsidR="005E6069" w:rsidRDefault="00000000">
            <w:r>
              <w:rPr>
                <w:sz w:val="22"/>
                <w:szCs w:val="22"/>
              </w:rPr>
              <w:t>Estado de Santa Catarina</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D5D26" w14:textId="77777777" w:rsidR="005E6069" w:rsidRDefault="00000000">
            <w:r>
              <w:rPr>
                <w:sz w:val="22"/>
                <w:szCs w:val="22"/>
              </w:rPr>
              <w:t>Descumprimento sistemático, comportamento dilatório, multa imposta</w:t>
            </w:r>
          </w:p>
        </w:tc>
        <w:tc>
          <w:tcPr>
            <w:tcW w:w="33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B6E1F" w14:textId="77777777" w:rsidR="005E6069" w:rsidRDefault="00000000">
            <w:r>
              <w:rPr>
                <w:b/>
                <w:bCs/>
                <w:sz w:val="22"/>
                <w:szCs w:val="22"/>
              </w:rPr>
              <w:t>ALTA — Réu principal, histórico crônico</w:t>
            </w:r>
          </w:p>
        </w:tc>
      </w:tr>
      <w:tr w:rsidR="005E6069" w14:paraId="41FFC3D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F977640" w14:textId="77777777" w:rsidR="005E6069" w:rsidRDefault="00000000">
            <w:r>
              <w:rPr>
                <w:sz w:val="22"/>
                <w:szCs w:val="22"/>
              </w:rPr>
              <w:t>União Federal</w:t>
            </w:r>
          </w:p>
        </w:tc>
        <w:tc>
          <w:tcPr>
            <w:tcW w:w="2513"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0A04FD6" w14:textId="77777777" w:rsidR="005E6069" w:rsidRDefault="00000000">
            <w:r>
              <w:rPr>
                <w:sz w:val="22"/>
                <w:szCs w:val="22"/>
              </w:rPr>
              <w:t>Descumprimentos pontuais, R$ 3 mi sem destinação formalizada</w:t>
            </w:r>
          </w:p>
        </w:tc>
        <w:tc>
          <w:tcPr>
            <w:tcW w:w="3313"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123B5BC" w14:textId="77777777" w:rsidR="005E6069" w:rsidRDefault="00000000">
            <w:r>
              <w:rPr>
                <w:sz w:val="22"/>
                <w:szCs w:val="22"/>
              </w:rPr>
              <w:t>MÉDIA — Menos ativo no descumprimento</w:t>
            </w:r>
          </w:p>
        </w:tc>
      </w:tr>
      <w:tr w:rsidR="005E6069" w14:paraId="057FF30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8E115" w14:textId="77777777" w:rsidR="005E6069" w:rsidRDefault="00000000">
            <w:r>
              <w:rPr>
                <w:sz w:val="22"/>
                <w:szCs w:val="22"/>
              </w:rPr>
              <w:t xml:space="preserve">Comunidade </w:t>
            </w:r>
            <w:proofErr w:type="spellStart"/>
            <w:r>
              <w:rPr>
                <w:sz w:val="22"/>
                <w:szCs w:val="22"/>
              </w:rPr>
              <w:t>Laklãnõ</w:t>
            </w:r>
            <w:proofErr w:type="spellEnd"/>
            <w:r>
              <w:rPr>
                <w:sz w:val="22"/>
                <w:szCs w:val="22"/>
              </w:rPr>
              <w:t>-Xokleng</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F8B2A" w14:textId="77777777" w:rsidR="005E6069" w:rsidRDefault="00000000">
            <w:r>
              <w:rPr>
                <w:sz w:val="22"/>
                <w:szCs w:val="22"/>
              </w:rPr>
              <w:t>Bloqueio de acesso à barragem como instrumento de pressão</w:t>
            </w:r>
          </w:p>
        </w:tc>
        <w:tc>
          <w:tcPr>
            <w:tcW w:w="33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AAE5D" w14:textId="77777777" w:rsidR="005E6069" w:rsidRDefault="00000000">
            <w:r>
              <w:rPr>
                <w:sz w:val="22"/>
                <w:szCs w:val="22"/>
              </w:rPr>
              <w:t>ALTA no impacto prático — mas motivada por inadimplemento do Estado</w:t>
            </w:r>
          </w:p>
        </w:tc>
      </w:tr>
      <w:tr w:rsidR="005E6069" w14:paraId="08200A5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89B8487" w14:textId="77777777" w:rsidR="005E6069" w:rsidRDefault="00000000">
            <w:r>
              <w:rPr>
                <w:sz w:val="22"/>
                <w:szCs w:val="22"/>
              </w:rPr>
              <w:t>FACISC</w:t>
            </w:r>
          </w:p>
        </w:tc>
        <w:tc>
          <w:tcPr>
            <w:tcW w:w="2513"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137E3DF" w14:textId="77777777" w:rsidR="005E6069" w:rsidRDefault="00000000">
            <w:r>
              <w:rPr>
                <w:sz w:val="22"/>
                <w:szCs w:val="22"/>
              </w:rPr>
              <w:t xml:space="preserve">Entrada e retirada contraditória como amicus </w:t>
            </w:r>
            <w:proofErr w:type="spellStart"/>
            <w:r>
              <w:rPr>
                <w:sz w:val="22"/>
                <w:szCs w:val="22"/>
              </w:rPr>
              <w:t>curiae</w:t>
            </w:r>
            <w:proofErr w:type="spellEnd"/>
            <w:r>
              <w:rPr>
                <w:sz w:val="22"/>
                <w:szCs w:val="22"/>
              </w:rPr>
              <w:t>; promessa excessiva</w:t>
            </w:r>
          </w:p>
        </w:tc>
        <w:tc>
          <w:tcPr>
            <w:tcW w:w="3313"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82D97A8" w14:textId="77777777" w:rsidR="005E6069" w:rsidRDefault="00000000">
            <w:r>
              <w:rPr>
                <w:sz w:val="22"/>
                <w:szCs w:val="22"/>
              </w:rPr>
              <w:t xml:space="preserve">BAIXA/MÉDIA — Conduta </w:t>
            </w:r>
            <w:proofErr w:type="gramStart"/>
            <w:r>
              <w:rPr>
                <w:sz w:val="22"/>
                <w:szCs w:val="22"/>
              </w:rPr>
              <w:t>estranha</w:t>
            </w:r>
            <w:proofErr w:type="gramEnd"/>
            <w:r>
              <w:rPr>
                <w:sz w:val="22"/>
                <w:szCs w:val="22"/>
              </w:rPr>
              <w:t xml:space="preserve"> mas sem impacto direto nas obrigações</w:t>
            </w:r>
          </w:p>
        </w:tc>
      </w:tr>
      <w:tr w:rsidR="005E6069" w14:paraId="282F0A3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933EC" w14:textId="77777777" w:rsidR="005E6069" w:rsidRDefault="00000000">
            <w:r>
              <w:rPr>
                <w:sz w:val="22"/>
                <w:szCs w:val="22"/>
              </w:rPr>
              <w:t>IBAMA / IPHAN</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9C4CB" w14:textId="77777777" w:rsidR="005E6069" w:rsidRDefault="00000000">
            <w:r>
              <w:rPr>
                <w:sz w:val="22"/>
                <w:szCs w:val="22"/>
              </w:rPr>
              <w:t>Morosidade no licenciamento</w:t>
            </w:r>
          </w:p>
        </w:tc>
        <w:tc>
          <w:tcPr>
            <w:tcW w:w="33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F7457" w14:textId="77777777" w:rsidR="005E6069" w:rsidRDefault="00000000">
            <w:r>
              <w:rPr>
                <w:sz w:val="22"/>
                <w:szCs w:val="22"/>
              </w:rPr>
              <w:t xml:space="preserve">MÉDIA — Entraves </w:t>
            </w:r>
            <w:proofErr w:type="gramStart"/>
            <w:r>
              <w:rPr>
                <w:sz w:val="22"/>
                <w:szCs w:val="22"/>
              </w:rPr>
              <w:t>legítimos</w:t>
            </w:r>
            <w:proofErr w:type="gramEnd"/>
            <w:r>
              <w:rPr>
                <w:sz w:val="22"/>
                <w:szCs w:val="22"/>
              </w:rPr>
              <w:t xml:space="preserve"> mas não gerenciados</w:t>
            </w:r>
          </w:p>
        </w:tc>
      </w:tr>
    </w:tbl>
    <w:p w14:paraId="2FA7CD4D" w14:textId="77777777" w:rsidR="005E6069" w:rsidRDefault="005E6069">
      <w:pPr>
        <w:spacing w:before="200"/>
      </w:pPr>
    </w:p>
    <w:p w14:paraId="537BDD56" w14:textId="77777777" w:rsidR="005E6069" w:rsidRDefault="00000000">
      <w:pPr>
        <w:pStyle w:val="Ttulo2"/>
      </w:pPr>
      <w:r>
        <w:t>8.2 Recomendações para Acompanhamento Processual</w:t>
      </w:r>
    </w:p>
    <w:p w14:paraId="51E70854" w14:textId="77777777" w:rsidR="005E6069" w:rsidRDefault="00000000">
      <w:pPr>
        <w:pStyle w:val="PargrafodaLista"/>
        <w:numPr>
          <w:ilvl w:val="0"/>
          <w:numId w:val="2"/>
        </w:numPr>
        <w:spacing w:after="120"/>
      </w:pPr>
      <w:r>
        <w:t>Requerer ao Juízo a quantificação e cobrança das astreintes acumuladas desde a decisão do Ev. 534 (30/09/2024), verificando se houve pagamento.</w:t>
      </w:r>
    </w:p>
    <w:p w14:paraId="2737616C" w14:textId="77777777" w:rsidR="005E6069" w:rsidRDefault="00000000">
      <w:pPr>
        <w:pStyle w:val="PargrafodaLista"/>
        <w:numPr>
          <w:ilvl w:val="0"/>
          <w:numId w:val="2"/>
        </w:numPr>
        <w:spacing w:after="120"/>
      </w:pPr>
      <w:r>
        <w:t>Peticionar pela majoração da multa diária para valor que produza efeito coercitivo real, dado que R$ 500,00/dia representa montante irrisório para um estado da federação.</w:t>
      </w:r>
    </w:p>
    <w:p w14:paraId="12A13D16" w14:textId="77777777" w:rsidR="005E6069" w:rsidRDefault="00000000">
      <w:pPr>
        <w:pStyle w:val="PargrafodaLista"/>
        <w:numPr>
          <w:ilvl w:val="0"/>
          <w:numId w:val="2"/>
        </w:numPr>
        <w:spacing w:after="120"/>
      </w:pPr>
      <w:r>
        <w:t>Requerer a apresentação de cronograma físico-financeiro detalhado da obra principal (Concorrência Eletrônica CE 0767/2025 / Convênio 883988/2019), com marcos mensuráveis.</w:t>
      </w:r>
    </w:p>
    <w:p w14:paraId="4EB12818" w14:textId="77777777" w:rsidR="005E6069" w:rsidRDefault="00000000">
      <w:pPr>
        <w:pStyle w:val="PargrafodaLista"/>
        <w:numPr>
          <w:ilvl w:val="0"/>
          <w:numId w:val="2"/>
        </w:numPr>
        <w:spacing w:after="120"/>
      </w:pPr>
      <w:r>
        <w:t>Acompanhar os autos do processo conexo nº 5013528-53.2018.4.04.7205 para monitorar a destinação dos R$ 3 milhões depositados pela União.</w:t>
      </w:r>
    </w:p>
    <w:p w14:paraId="7D5BF5E9" w14:textId="77777777" w:rsidR="005E6069" w:rsidRDefault="00000000">
      <w:pPr>
        <w:pStyle w:val="PargrafodaLista"/>
        <w:numPr>
          <w:ilvl w:val="0"/>
          <w:numId w:val="2"/>
        </w:numPr>
        <w:spacing w:after="120"/>
      </w:pPr>
      <w:r>
        <w:t>Considerar requerimento de nomeação de perito judicial (</w:t>
      </w:r>
      <w:proofErr w:type="gramStart"/>
      <w:r>
        <w:t>à</w:t>
      </w:r>
      <w:proofErr w:type="gramEnd"/>
      <w:r>
        <w:t xml:space="preserve"> expensas do Estado) para monitoramento contínuo das condições estruturais da barragem e do cumprimento das medidas de manutenção.</w:t>
      </w:r>
    </w:p>
    <w:p w14:paraId="4BF5D9A4" w14:textId="77777777" w:rsidR="005E6069" w:rsidRDefault="00000000">
      <w:pPr>
        <w:pStyle w:val="PargrafodaLista"/>
        <w:numPr>
          <w:ilvl w:val="0"/>
          <w:numId w:val="2"/>
        </w:numPr>
        <w:spacing w:after="120"/>
      </w:pPr>
      <w:r>
        <w:t>Registrar formalmente nos autos o episódio de 08/10/2023 (sequestro/restrição de liberdade da equipe técnica) como evidência da gravidade do conflito e da necessidade de mediação estruturada.</w:t>
      </w:r>
    </w:p>
    <w:p w14:paraId="31AB34EE" w14:textId="77777777" w:rsidR="005E6069" w:rsidRDefault="00000000">
      <w:pPr>
        <w:pStyle w:val="PargrafodaLista"/>
        <w:numPr>
          <w:ilvl w:val="0"/>
          <w:numId w:val="2"/>
        </w:numPr>
        <w:spacing w:after="120"/>
      </w:pPr>
      <w:r>
        <w:t>Verificar se as obras listadas na IT nº 160/2025 (contratos menores) foram efetivamente executadas ou apenas contratadas, exigindo atestado de conclusão.</w:t>
      </w:r>
    </w:p>
    <w:p w14:paraId="101A6BD3" w14:textId="77777777" w:rsidR="005E6069" w:rsidRDefault="005E6069">
      <w:pPr>
        <w:spacing w:before="400"/>
      </w:pPr>
    </w:p>
    <w:p w14:paraId="60A73D91" w14:textId="77777777" w:rsidR="005E6069" w:rsidRDefault="005E6069">
      <w:pPr>
        <w:pBdr>
          <w:bottom w:val="single" w:sz="6" w:space="0" w:color="2E75B6"/>
        </w:pBdr>
        <w:spacing w:before="200" w:after="200"/>
      </w:pPr>
    </w:p>
    <w:p w14:paraId="0AF1BB32" w14:textId="77777777" w:rsidR="005E6069" w:rsidRDefault="00000000">
      <w:pPr>
        <w:spacing w:before="200" w:after="200"/>
        <w:jc w:val="center"/>
      </w:pPr>
      <w:r>
        <w:rPr>
          <w:i/>
          <w:iCs/>
          <w:color w:val="888888"/>
          <w:sz w:val="20"/>
          <w:szCs w:val="20"/>
        </w:rPr>
        <w:lastRenderedPageBreak/>
        <w:t>Relatório elaborado em 10 de março de 2026 com base na leitura integral dos autos digitais (Partes 1, 2 e 3 — total de 1.451 páginas).</w:t>
      </w:r>
    </w:p>
    <w:sectPr w:rsidR="005E6069">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758C5" w14:textId="77777777" w:rsidR="00A72E69" w:rsidRDefault="00A72E69">
      <w:r>
        <w:separator/>
      </w:r>
    </w:p>
  </w:endnote>
  <w:endnote w:type="continuationSeparator" w:id="0">
    <w:p w14:paraId="76295B8A" w14:textId="77777777" w:rsidR="00A72E69" w:rsidRDefault="00A72E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250C1" w14:textId="77777777" w:rsidR="005E6069" w:rsidRDefault="00000000">
    <w:pPr>
      <w:tabs>
        <w:tab w:val="right" w:pos="9026"/>
      </w:tabs>
      <w:spacing w:before="120"/>
    </w:pPr>
    <w:r>
      <w:rPr>
        <w:color w:val="888888"/>
        <w:sz w:val="18"/>
        <w:szCs w:val="18"/>
      </w:rPr>
      <w:t>Confidencial — Uso restrito ao patrono do processo</w:t>
    </w:r>
    <w:r>
      <w:tab/>
    </w:r>
    <w:r>
      <w:rPr>
        <w:color w:val="888888"/>
        <w:sz w:val="18"/>
        <w:szCs w:val="18"/>
      </w:rPr>
      <w:t xml:space="preserve">Pág. </w:t>
    </w:r>
    <w:r>
      <w:rPr>
        <w:color w:val="888888"/>
        <w:sz w:val="18"/>
        <w:szCs w:val="18"/>
      </w:rPr>
      <w:fldChar w:fldCharType="begin"/>
    </w:r>
    <w:r>
      <w:rPr>
        <w:color w:val="888888"/>
        <w:sz w:val="18"/>
        <w:szCs w:val="18"/>
      </w:rPr>
      <w:instrText>PAGE</w:instrText>
    </w:r>
    <w:r>
      <w:rPr>
        <w:color w:val="888888"/>
        <w:sz w:val="18"/>
        <w:szCs w:val="18"/>
      </w:rPr>
      <w:fldChar w:fldCharType="separate"/>
    </w:r>
    <w:r w:rsidR="00525712">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525712">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58EDC" w14:textId="77777777" w:rsidR="00A72E69" w:rsidRDefault="00A72E69">
      <w:r>
        <w:separator/>
      </w:r>
    </w:p>
  </w:footnote>
  <w:footnote w:type="continuationSeparator" w:id="0">
    <w:p w14:paraId="59AD60C3" w14:textId="77777777" w:rsidR="00A72E69" w:rsidRDefault="00A72E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C4E85" w14:textId="77777777" w:rsidR="005E6069" w:rsidRDefault="00000000">
    <w:pPr>
      <w:pBdr>
        <w:bottom w:val="single" w:sz="4" w:space="0" w:color="1F3864"/>
      </w:pBdr>
      <w:tabs>
        <w:tab w:val="right" w:pos="9026"/>
      </w:tabs>
      <w:spacing w:after="120"/>
    </w:pPr>
    <w:r>
      <w:rPr>
        <w:color w:val="1F3864"/>
        <w:sz w:val="18"/>
        <w:szCs w:val="18"/>
      </w:rPr>
      <w:t>RELATÓRIO ANALÍTICO — ACP Nº 5012227-71.2018.4.04.7205/SC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2E0620"/>
    <w:multiLevelType w:val="hybridMultilevel"/>
    <w:tmpl w:val="D0FABCC2"/>
    <w:lvl w:ilvl="0" w:tplc="D9A65C62">
      <w:start w:val="1"/>
      <w:numFmt w:val="bullet"/>
      <w:lvlText w:val="●"/>
      <w:lvlJc w:val="left"/>
      <w:pPr>
        <w:ind w:left="720" w:hanging="360"/>
      </w:pPr>
    </w:lvl>
    <w:lvl w:ilvl="1" w:tplc="7BA6F94E">
      <w:start w:val="1"/>
      <w:numFmt w:val="bullet"/>
      <w:lvlText w:val="○"/>
      <w:lvlJc w:val="left"/>
      <w:pPr>
        <w:ind w:left="1440" w:hanging="360"/>
      </w:pPr>
    </w:lvl>
    <w:lvl w:ilvl="2" w:tplc="AE04596C">
      <w:start w:val="1"/>
      <w:numFmt w:val="bullet"/>
      <w:lvlText w:val="■"/>
      <w:lvlJc w:val="left"/>
      <w:pPr>
        <w:ind w:left="2160" w:hanging="360"/>
      </w:pPr>
    </w:lvl>
    <w:lvl w:ilvl="3" w:tplc="16DA16AE">
      <w:start w:val="1"/>
      <w:numFmt w:val="bullet"/>
      <w:lvlText w:val="●"/>
      <w:lvlJc w:val="left"/>
      <w:pPr>
        <w:ind w:left="2880" w:hanging="360"/>
      </w:pPr>
    </w:lvl>
    <w:lvl w:ilvl="4" w:tplc="6E16AAB4">
      <w:start w:val="1"/>
      <w:numFmt w:val="bullet"/>
      <w:lvlText w:val="○"/>
      <w:lvlJc w:val="left"/>
      <w:pPr>
        <w:ind w:left="3600" w:hanging="360"/>
      </w:pPr>
    </w:lvl>
    <w:lvl w:ilvl="5" w:tplc="6360F3F4">
      <w:start w:val="1"/>
      <w:numFmt w:val="bullet"/>
      <w:lvlText w:val="■"/>
      <w:lvlJc w:val="left"/>
      <w:pPr>
        <w:ind w:left="4320" w:hanging="360"/>
      </w:pPr>
    </w:lvl>
    <w:lvl w:ilvl="6" w:tplc="7988BC86">
      <w:start w:val="1"/>
      <w:numFmt w:val="bullet"/>
      <w:lvlText w:val="●"/>
      <w:lvlJc w:val="left"/>
      <w:pPr>
        <w:ind w:left="5040" w:hanging="360"/>
      </w:pPr>
    </w:lvl>
    <w:lvl w:ilvl="7" w:tplc="119847B2">
      <w:start w:val="1"/>
      <w:numFmt w:val="bullet"/>
      <w:lvlText w:val="●"/>
      <w:lvlJc w:val="left"/>
      <w:pPr>
        <w:ind w:left="5760" w:hanging="360"/>
      </w:pPr>
    </w:lvl>
    <w:lvl w:ilvl="8" w:tplc="CECC07E0">
      <w:start w:val="1"/>
      <w:numFmt w:val="bullet"/>
      <w:lvlText w:val="●"/>
      <w:lvlJc w:val="left"/>
      <w:pPr>
        <w:ind w:left="6480" w:hanging="360"/>
      </w:pPr>
    </w:lvl>
  </w:abstractNum>
  <w:abstractNum w:abstractNumId="1" w15:restartNumberingAfterBreak="0">
    <w:nsid w:val="7BEF55AB"/>
    <w:multiLevelType w:val="hybridMultilevel"/>
    <w:tmpl w:val="AF26ECD2"/>
    <w:lvl w:ilvl="0" w:tplc="F780854E">
      <w:start w:val="1"/>
      <w:numFmt w:val="bullet"/>
      <w:lvlText w:val="•"/>
      <w:lvlJc w:val="left"/>
      <w:pPr>
        <w:ind w:left="720" w:hanging="360"/>
      </w:pPr>
    </w:lvl>
    <w:lvl w:ilvl="1" w:tplc="8F7E4E04">
      <w:numFmt w:val="decimal"/>
      <w:lvlText w:val=""/>
      <w:lvlJc w:val="left"/>
    </w:lvl>
    <w:lvl w:ilvl="2" w:tplc="7E7CCD40">
      <w:numFmt w:val="decimal"/>
      <w:lvlText w:val=""/>
      <w:lvlJc w:val="left"/>
    </w:lvl>
    <w:lvl w:ilvl="3" w:tplc="CD10919C">
      <w:numFmt w:val="decimal"/>
      <w:lvlText w:val=""/>
      <w:lvlJc w:val="left"/>
    </w:lvl>
    <w:lvl w:ilvl="4" w:tplc="7B0CE208">
      <w:numFmt w:val="decimal"/>
      <w:lvlText w:val=""/>
      <w:lvlJc w:val="left"/>
    </w:lvl>
    <w:lvl w:ilvl="5" w:tplc="D7A47062">
      <w:numFmt w:val="decimal"/>
      <w:lvlText w:val=""/>
      <w:lvlJc w:val="left"/>
    </w:lvl>
    <w:lvl w:ilvl="6" w:tplc="BD10C996">
      <w:numFmt w:val="decimal"/>
      <w:lvlText w:val=""/>
      <w:lvlJc w:val="left"/>
    </w:lvl>
    <w:lvl w:ilvl="7" w:tplc="F4064512">
      <w:numFmt w:val="decimal"/>
      <w:lvlText w:val=""/>
      <w:lvlJc w:val="left"/>
    </w:lvl>
    <w:lvl w:ilvl="8" w:tplc="2F1E04D6">
      <w:numFmt w:val="decimal"/>
      <w:lvlText w:val=""/>
      <w:lvlJc w:val="left"/>
    </w:lvl>
  </w:abstractNum>
  <w:num w:numId="1" w16cid:durableId="889657785">
    <w:abstractNumId w:val="0"/>
    <w:lvlOverride w:ilvl="0">
      <w:startOverride w:val="1"/>
    </w:lvlOverride>
  </w:num>
  <w:num w:numId="2" w16cid:durableId="9683637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6069"/>
    <w:rsid w:val="00525712"/>
    <w:rsid w:val="005E6069"/>
    <w:rsid w:val="006557A7"/>
    <w:rsid w:val="00A72E6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56CBA"/>
  <w15:docId w15:val="{13B15323-2D90-4014-A83A-65A09131F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3864"/>
      <w:sz w:val="30"/>
      <w:szCs w:val="30"/>
    </w:rPr>
  </w:style>
  <w:style w:type="paragraph" w:styleId="Ttulo2">
    <w:name w:val="heading 2"/>
    <w:uiPriority w:val="9"/>
    <w:unhideWhenUsed/>
    <w:qFormat/>
    <w:pPr>
      <w:spacing w:before="320" w:after="160"/>
      <w:outlineLvl w:val="1"/>
    </w:pPr>
    <w:rPr>
      <w:b/>
      <w:bCs/>
      <w:color w:val="2E75B6"/>
      <w:sz w:val="26"/>
      <w:szCs w:val="26"/>
    </w:rPr>
  </w:style>
  <w:style w:type="paragraph" w:styleId="Ttulo3">
    <w:name w:val="heading 3"/>
    <w:uiPriority w:val="9"/>
    <w:unhideWhenUsed/>
    <w:qFormat/>
    <w:pPr>
      <w:spacing w:before="240" w:after="120"/>
      <w:outlineLvl w:val="2"/>
    </w:pPr>
    <w:rPr>
      <w:b/>
      <w:bCs/>
      <w:color w:val="44546A"/>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12</Pages>
  <Words>3584</Words>
  <Characters>19357</Characters>
  <Application>Microsoft Office Word</Application>
  <DocSecurity>0</DocSecurity>
  <Lines>161</Lines>
  <Paragraphs>45</Paragraphs>
  <ScaleCrop>false</ScaleCrop>
  <Company/>
  <LinksUpToDate>false</LinksUpToDate>
  <CharactersWithSpaces>22896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Claudio Camargo</cp:lastModifiedBy>
  <cp:revision>2</cp:revision>
  <dcterms:created xsi:type="dcterms:W3CDTF">2026-03-10T13:26:00Z</dcterms:created>
  <dcterms:modified xsi:type="dcterms:W3CDTF">2026-03-10T13:26:00Z</dcterms:modified>
</cp:coreProperties>
</file>