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CE154" w14:textId="77777777" w:rsidR="001D06E1" w:rsidRDefault="00D25435">
      <w:pPr>
        <w:jc w:val="center"/>
      </w:pPr>
      <w:r>
        <w:rPr>
          <w:rFonts w:ascii="Aptos Display" w:hAnsi="Aptos Display"/>
          <w:b/>
          <w:color w:val="1F4E79"/>
          <w:sz w:val="56"/>
        </w:rPr>
        <w:t>BARRAGEM NORTE</w:t>
      </w:r>
      <w:r>
        <w:rPr>
          <w:rFonts w:ascii="Aptos Display" w:hAnsi="Aptos Display"/>
          <w:b/>
          <w:color w:val="1F4E79"/>
          <w:sz w:val="56"/>
        </w:rPr>
        <w:br/>
      </w:r>
      <w:r>
        <w:rPr>
          <w:rFonts w:ascii="Aptos Display" w:hAnsi="Aptos Display"/>
          <w:b/>
          <w:color w:val="1F4E79"/>
          <w:sz w:val="44"/>
        </w:rPr>
        <w:t>José Boiteux/SC</w:t>
      </w:r>
    </w:p>
    <w:p w14:paraId="563D1D8B" w14:textId="77777777" w:rsidR="001D06E1" w:rsidRDefault="00D25435">
      <w:pPr>
        <w:jc w:val="center"/>
      </w:pPr>
      <w:r>
        <w:rPr>
          <w:color w:val="404040"/>
          <w:sz w:val="30"/>
        </w:rPr>
        <w:t>Segurança hídrica, responsabilidade pública e defesa econômica do Vale do Itajaí</w:t>
      </w:r>
    </w:p>
    <w:p w14:paraId="01A34906" w14:textId="77777777" w:rsidR="001D06E1" w:rsidRDefault="00D25435">
      <w:pPr>
        <w:jc w:val="center"/>
      </w:pPr>
      <w:r>
        <w:rPr>
          <w:color w:val="404040"/>
          <w:sz w:val="23"/>
        </w:rPr>
        <w:t>Documento técnico-jurídico para apresentação a empresários, associações comerciais, industriais, sindicatos patronais e demais entidades representativas da região.</w:t>
      </w:r>
    </w:p>
    <w:p w14:paraId="70351164" w14:textId="77777777" w:rsidR="001D06E1" w:rsidRDefault="00D25435">
      <w:pPr>
        <w:jc w:val="center"/>
      </w:pPr>
      <w:r>
        <w:rPr>
          <w:color w:val="1F4E79"/>
        </w:rPr>
        <w:t>────────────────────────────────────────────</w:t>
      </w:r>
    </w:p>
    <w:tbl>
      <w:tblPr>
        <w:tblStyle w:val="Tabelacomgrade"/>
        <w:tblW w:w="0" w:type="auto"/>
        <w:jc w:val="center"/>
        <w:tblLook w:val="04A0" w:firstRow="1" w:lastRow="0" w:firstColumn="1" w:lastColumn="0" w:noHBand="0" w:noVBand="1"/>
      </w:tblPr>
      <w:tblGrid>
        <w:gridCol w:w="5035"/>
        <w:gridCol w:w="5035"/>
      </w:tblGrid>
      <w:tr w:rsidR="001D06E1" w14:paraId="659C2CF2" w14:textId="77777777">
        <w:trPr>
          <w:jc w:val="center"/>
        </w:trPr>
        <w:tc>
          <w:tcPr>
            <w:tcW w:w="5040" w:type="dxa"/>
            <w:shd w:val="clear" w:color="auto" w:fill="D9EAF7"/>
            <w:vAlign w:val="center"/>
          </w:tcPr>
          <w:p w14:paraId="3EE91B98" w14:textId="77777777" w:rsidR="001D06E1" w:rsidRDefault="00D25435">
            <w:r>
              <w:rPr>
                <w:b/>
                <w:sz w:val="18"/>
              </w:rPr>
              <w:t>Processo principal</w:t>
            </w:r>
          </w:p>
        </w:tc>
        <w:tc>
          <w:tcPr>
            <w:tcW w:w="5040" w:type="dxa"/>
            <w:vAlign w:val="center"/>
          </w:tcPr>
          <w:p w14:paraId="0FD47BC0" w14:textId="77777777" w:rsidR="001D06E1" w:rsidRDefault="00D25435">
            <w:r>
              <w:rPr>
                <w:sz w:val="18"/>
              </w:rPr>
              <w:t>ACP nº 5012227-71.2018.4.04.7205/SC - 1ª Vara Federal de Blumenau</w:t>
            </w:r>
          </w:p>
        </w:tc>
      </w:tr>
      <w:tr w:rsidR="001D06E1" w14:paraId="013D1183" w14:textId="77777777">
        <w:trPr>
          <w:jc w:val="center"/>
        </w:trPr>
        <w:tc>
          <w:tcPr>
            <w:tcW w:w="5040" w:type="dxa"/>
            <w:shd w:val="clear" w:color="auto" w:fill="D9EAF7"/>
            <w:vAlign w:val="center"/>
          </w:tcPr>
          <w:p w14:paraId="33752299" w14:textId="77777777" w:rsidR="001D06E1" w:rsidRDefault="00D25435">
            <w:r>
              <w:rPr>
                <w:b/>
                <w:sz w:val="18"/>
              </w:rPr>
              <w:t>Processo conexo</w:t>
            </w:r>
          </w:p>
        </w:tc>
        <w:tc>
          <w:tcPr>
            <w:tcW w:w="5040" w:type="dxa"/>
            <w:vAlign w:val="center"/>
          </w:tcPr>
          <w:p w14:paraId="2FBD0387" w14:textId="77777777" w:rsidR="001D06E1" w:rsidRDefault="00D25435">
            <w:r>
              <w:rPr>
                <w:sz w:val="18"/>
              </w:rPr>
              <w:t>ACP nº 5013528-53.2018.4.04.7205/SC - reparações à Terra Indígena Ibirama-La Klãnõ</w:t>
            </w:r>
          </w:p>
        </w:tc>
      </w:tr>
      <w:tr w:rsidR="001D06E1" w14:paraId="60FF6B24" w14:textId="77777777">
        <w:trPr>
          <w:jc w:val="center"/>
        </w:trPr>
        <w:tc>
          <w:tcPr>
            <w:tcW w:w="5040" w:type="dxa"/>
            <w:shd w:val="clear" w:color="auto" w:fill="D9EAF7"/>
            <w:vAlign w:val="center"/>
          </w:tcPr>
          <w:p w14:paraId="1ED57C4C" w14:textId="77777777" w:rsidR="001D06E1" w:rsidRDefault="00D25435">
            <w:r>
              <w:rPr>
                <w:b/>
                <w:sz w:val="18"/>
              </w:rPr>
              <w:t>Destinatários</w:t>
            </w:r>
          </w:p>
        </w:tc>
        <w:tc>
          <w:tcPr>
            <w:tcW w:w="5040" w:type="dxa"/>
            <w:vAlign w:val="center"/>
          </w:tcPr>
          <w:p w14:paraId="7F0E41CE" w14:textId="77777777" w:rsidR="001D06E1" w:rsidRDefault="00D25435">
            <w:r>
              <w:rPr>
                <w:sz w:val="18"/>
              </w:rPr>
              <w:t>Entidades empresariais, industriais, comerciais, produtivas e lideranças regionais</w:t>
            </w:r>
          </w:p>
        </w:tc>
      </w:tr>
      <w:tr w:rsidR="001D06E1" w14:paraId="17BB0705" w14:textId="77777777">
        <w:trPr>
          <w:jc w:val="center"/>
        </w:trPr>
        <w:tc>
          <w:tcPr>
            <w:tcW w:w="5040" w:type="dxa"/>
            <w:shd w:val="clear" w:color="auto" w:fill="D9EAF7"/>
            <w:vAlign w:val="center"/>
          </w:tcPr>
          <w:p w14:paraId="41BE2A81" w14:textId="77777777" w:rsidR="001D06E1" w:rsidRDefault="00D25435">
            <w:r>
              <w:rPr>
                <w:b/>
                <w:sz w:val="18"/>
              </w:rPr>
              <w:t>Finalidade</w:t>
            </w:r>
          </w:p>
        </w:tc>
        <w:tc>
          <w:tcPr>
            <w:tcW w:w="5040" w:type="dxa"/>
            <w:vAlign w:val="center"/>
          </w:tcPr>
          <w:p w14:paraId="37717C51" w14:textId="77777777" w:rsidR="001D06E1" w:rsidRDefault="00D25435">
            <w:r>
              <w:rPr>
                <w:sz w:val="18"/>
              </w:rPr>
              <w:t>Subsidiar atuação institucional, ingresso processual e medidas de controle administrativo</w:t>
            </w:r>
          </w:p>
        </w:tc>
      </w:tr>
      <w:tr w:rsidR="001D06E1" w14:paraId="5C2C23EB" w14:textId="77777777">
        <w:trPr>
          <w:jc w:val="center"/>
        </w:trPr>
        <w:tc>
          <w:tcPr>
            <w:tcW w:w="5040" w:type="dxa"/>
            <w:shd w:val="clear" w:color="auto" w:fill="D9EAF7"/>
            <w:vAlign w:val="center"/>
          </w:tcPr>
          <w:p w14:paraId="7D090B40" w14:textId="77777777" w:rsidR="001D06E1" w:rsidRDefault="00D25435">
            <w:r>
              <w:rPr>
                <w:b/>
                <w:sz w:val="18"/>
              </w:rPr>
              <w:t>Data</w:t>
            </w:r>
          </w:p>
        </w:tc>
        <w:tc>
          <w:tcPr>
            <w:tcW w:w="5040" w:type="dxa"/>
            <w:vAlign w:val="center"/>
          </w:tcPr>
          <w:p w14:paraId="5F019E8B" w14:textId="77777777" w:rsidR="001D06E1" w:rsidRDefault="00D25435">
            <w:r>
              <w:rPr>
                <w:sz w:val="18"/>
              </w:rPr>
              <w:t>Abril de 2026</w:t>
            </w:r>
          </w:p>
        </w:tc>
      </w:tr>
    </w:tbl>
    <w:p w14:paraId="246ADE04" w14:textId="77777777" w:rsidR="001D06E1" w:rsidRDefault="00D25435">
      <w:pPr>
        <w:jc w:val="center"/>
      </w:pPr>
      <w:r>
        <w:rPr>
          <w:i/>
          <w:color w:val="606060"/>
          <w:sz w:val="18"/>
        </w:rPr>
        <w:br/>
        <w:t>Nota de uso: minuta estratégica. Recomenda-se revisão final com os documentos originais do processo e comprovantes da operação emergencial de 2023 antes de protocolo ou ampla circulação pública.</w:t>
      </w:r>
    </w:p>
    <w:p w14:paraId="32D40BA8" w14:textId="77777777" w:rsidR="001D06E1" w:rsidRDefault="00D25435">
      <w:r>
        <w:br w:type="page"/>
      </w:r>
    </w:p>
    <w:p w14:paraId="0BCFFB75" w14:textId="77777777" w:rsidR="001D06E1" w:rsidRDefault="00D25435">
      <w:pPr>
        <w:pStyle w:val="Ttulo1"/>
      </w:pPr>
      <w:r>
        <w:lastRenderedPageBreak/>
        <w:t>1. Carta de encaminhamento às entidades e empresários</w:t>
      </w:r>
    </w:p>
    <w:p w14:paraId="44EE7FA9" w14:textId="77777777" w:rsidR="001D06E1" w:rsidRDefault="00D25435">
      <w:r>
        <w:t>Senhores empresários, dirigentes de entidades de classe e lideranças do Vale do Itajaí,</w:t>
      </w:r>
    </w:p>
    <w:p w14:paraId="0CA44D2A" w14:textId="77777777" w:rsidR="001D06E1" w:rsidRDefault="00D25435">
      <w:r>
        <w:t>O presente documento tem por finalidade apresentar, de forma técnica e institucional, a gravidade da situação da Barragem Norte, localizada no município de José Boiteux/SC, e os reflexos diretos que a sua inoperância ou semioperância produz sobre a segurança da população, a continuidade das atividades econômicas, o escoamento de cargas, o funcionamento do Porto de Itajaí, a indústria regional e a própria credibilidade do Estado na gestão de riscos de desastre.</w:t>
      </w:r>
    </w:p>
    <w:p w14:paraId="163104C6" w14:textId="77777777" w:rsidR="001D06E1" w:rsidRDefault="00D25435">
      <w:r>
        <w:t>A Barragem Norte não é um tema restrito ao Alto Vale. Trata-se de infraestrutura crítica de proteção civil para todo o Vale do Itajaí. Quando a barragem não funciona, a região a jusante passa a depender de decisões emergenciais, negociações de última hora, acesso instável ao equipamento e providências improvisadas em momentos de chuva intensa. Esse quadro não é compatível com a importância econômica de Blumenau, Gaspar, Indaial, Rio do Sul, Brusque, Itajaí, Navegantes, do setor têxtil, metalmecânico, logíst</w:t>
      </w:r>
      <w:r>
        <w:t>ico, portuário, comercial, turístico e de serviços.</w:t>
      </w:r>
    </w:p>
    <w:p w14:paraId="7190E277" w14:textId="77777777" w:rsidR="001D06E1" w:rsidRDefault="00D25435">
      <w:r>
        <w:t>O objetivo deste documento não é estimular conflito com a comunidade indígena Laklãnõ-Xokleng, tampouco negar seus direitos constitucionais. Ao contrário: a solução duradoura exige respeito aos povos indígenas, cumprimento das obrigações sociais pactuadas pelo poder público, consulta prévia adequada e, simultaneamente, garantia efetiva de segurança à população rio abaixo. O que não se admite é que a ausência de governança pública transforme cada evento climático em uma negociação emergencial, com a sociedad</w:t>
      </w:r>
      <w:r>
        <w:t>e regional submetida à insegurança.</w:t>
      </w:r>
    </w:p>
    <w:p w14:paraId="5E4CD475" w14:textId="77777777" w:rsidR="001D06E1" w:rsidRDefault="00D25435">
      <w:r>
        <w:t>As entidades empresariais possuem legitimidade política, social e, em determinadas hipóteses, processual para levar ao Juízo dados econômicos, sociais e institucionais que ainda não aparecem com a força necessária no processo judicial. A população e o setor produtivo precisam deixar de ser apenas os destinatários passivos do risco e passar a atuar formalmente na construção da solução.</w:t>
      </w:r>
    </w:p>
    <w:tbl>
      <w:tblPr>
        <w:tblStyle w:val="Tabelacomgrade"/>
        <w:tblW w:w="0" w:type="auto"/>
        <w:jc w:val="center"/>
        <w:tblLook w:val="04A0" w:firstRow="1" w:lastRow="0" w:firstColumn="1" w:lastColumn="0" w:noHBand="0" w:noVBand="1"/>
      </w:tblPr>
      <w:tblGrid>
        <w:gridCol w:w="10070"/>
      </w:tblGrid>
      <w:tr w:rsidR="001D06E1" w14:paraId="68D07542" w14:textId="77777777">
        <w:trPr>
          <w:jc w:val="center"/>
        </w:trPr>
        <w:tc>
          <w:tcPr>
            <w:tcW w:w="10080" w:type="dxa"/>
            <w:shd w:val="clear" w:color="auto" w:fill="1F4E79"/>
          </w:tcPr>
          <w:p w14:paraId="447F75A1" w14:textId="77777777" w:rsidR="001D06E1" w:rsidRDefault="00D25435">
            <w:pPr>
              <w:spacing w:after="60"/>
            </w:pPr>
            <w:r>
              <w:rPr>
                <w:b/>
                <w:color w:val="FFFFFF"/>
                <w:sz w:val="19"/>
              </w:rPr>
              <w:t>Mensagem central</w:t>
            </w:r>
          </w:p>
        </w:tc>
      </w:tr>
      <w:tr w:rsidR="001D06E1" w14:paraId="4FF6E4AF" w14:textId="77777777">
        <w:trPr>
          <w:jc w:val="center"/>
        </w:trPr>
        <w:tc>
          <w:tcPr>
            <w:tcW w:w="10080" w:type="dxa"/>
            <w:shd w:val="clear" w:color="auto" w:fill="D9EAF7"/>
          </w:tcPr>
          <w:p w14:paraId="202F41AA" w14:textId="77777777" w:rsidR="001D06E1" w:rsidRDefault="00D25435">
            <w:pPr>
              <w:spacing w:after="60"/>
            </w:pPr>
            <w:r>
              <w:rPr>
                <w:sz w:val="19"/>
              </w:rPr>
              <w:t>O Vale do Itajaí não pede privilégio. Pede previsibilidade, cumprimento de sentença, plano de emergência, manutenção permanente, respeito aos povos indígenas e responsabilidade institucional de União e Estado de Santa Catarina.</w:t>
            </w:r>
          </w:p>
        </w:tc>
      </w:tr>
    </w:tbl>
    <w:p w14:paraId="4DAFE3D1" w14:textId="77777777" w:rsidR="001D06E1" w:rsidRDefault="001D06E1"/>
    <w:p w14:paraId="6FC3A562" w14:textId="77777777" w:rsidR="001D06E1" w:rsidRDefault="00D25435">
      <w:pPr>
        <w:pStyle w:val="Ttulo1"/>
      </w:pPr>
      <w:r>
        <w:t>2. Sumário executivo</w:t>
      </w:r>
    </w:p>
    <w:tbl>
      <w:tblPr>
        <w:tblStyle w:val="Tabelacomgrade"/>
        <w:tblW w:w="0" w:type="auto"/>
        <w:jc w:val="center"/>
        <w:tblLook w:val="04A0" w:firstRow="1" w:lastRow="0" w:firstColumn="1" w:lastColumn="0" w:noHBand="0" w:noVBand="1"/>
      </w:tblPr>
      <w:tblGrid>
        <w:gridCol w:w="5035"/>
        <w:gridCol w:w="5035"/>
      </w:tblGrid>
      <w:tr w:rsidR="001D06E1" w14:paraId="27266066" w14:textId="77777777">
        <w:trPr>
          <w:tblHeader/>
          <w:jc w:val="center"/>
        </w:trPr>
        <w:tc>
          <w:tcPr>
            <w:tcW w:w="5040" w:type="dxa"/>
            <w:shd w:val="clear" w:color="auto" w:fill="1F4E79"/>
          </w:tcPr>
          <w:p w14:paraId="3FACA659" w14:textId="77777777" w:rsidR="001D06E1" w:rsidRDefault="00D25435">
            <w:r>
              <w:rPr>
                <w:b/>
                <w:color w:val="FFFFFF"/>
                <w:sz w:val="17"/>
              </w:rPr>
              <w:t>Ponto</w:t>
            </w:r>
          </w:p>
        </w:tc>
        <w:tc>
          <w:tcPr>
            <w:tcW w:w="5040" w:type="dxa"/>
            <w:shd w:val="clear" w:color="auto" w:fill="1F4E79"/>
          </w:tcPr>
          <w:p w14:paraId="5D768703" w14:textId="77777777" w:rsidR="001D06E1" w:rsidRDefault="00D25435">
            <w:r>
              <w:rPr>
                <w:b/>
                <w:color w:val="FFFFFF"/>
                <w:sz w:val="17"/>
              </w:rPr>
              <w:t>Síntese</w:t>
            </w:r>
          </w:p>
        </w:tc>
      </w:tr>
      <w:tr w:rsidR="001D06E1" w14:paraId="24784A2A" w14:textId="77777777">
        <w:trPr>
          <w:jc w:val="center"/>
        </w:trPr>
        <w:tc>
          <w:tcPr>
            <w:tcW w:w="5040" w:type="dxa"/>
            <w:shd w:val="clear" w:color="auto" w:fill="F2F6FA"/>
          </w:tcPr>
          <w:p w14:paraId="064CE886" w14:textId="77777777" w:rsidR="001D06E1" w:rsidRDefault="00D25435">
            <w:r>
              <w:rPr>
                <w:sz w:val="17"/>
              </w:rPr>
              <w:t>Infraestrutura crítica</w:t>
            </w:r>
          </w:p>
        </w:tc>
        <w:tc>
          <w:tcPr>
            <w:tcW w:w="5040" w:type="dxa"/>
          </w:tcPr>
          <w:p w14:paraId="4F810A63" w14:textId="77777777" w:rsidR="001D06E1" w:rsidRDefault="00D25435">
            <w:r>
              <w:rPr>
                <w:sz w:val="17"/>
              </w:rPr>
              <w:t>A Barragem Norte integra o sistema de contenção de cheias do Alto Vale do Itajaí e é essencial para reduzir o impacto de eventos extremos sobre municípios a jusante.</w:t>
            </w:r>
          </w:p>
        </w:tc>
      </w:tr>
      <w:tr w:rsidR="001D06E1" w14:paraId="50D1CFF1" w14:textId="77777777">
        <w:trPr>
          <w:jc w:val="center"/>
        </w:trPr>
        <w:tc>
          <w:tcPr>
            <w:tcW w:w="5040" w:type="dxa"/>
            <w:shd w:val="clear" w:color="auto" w:fill="F2F6FA"/>
          </w:tcPr>
          <w:p w14:paraId="35C1EAB3" w14:textId="77777777" w:rsidR="001D06E1" w:rsidRDefault="00D25435">
            <w:r>
              <w:rPr>
                <w:sz w:val="17"/>
              </w:rPr>
              <w:t>Inoperância prolongada</w:t>
            </w:r>
          </w:p>
        </w:tc>
        <w:tc>
          <w:tcPr>
            <w:tcW w:w="5040" w:type="dxa"/>
          </w:tcPr>
          <w:p w14:paraId="6B55ACC4" w14:textId="77777777" w:rsidR="001D06E1" w:rsidRDefault="00D25435">
            <w:r>
              <w:rPr>
                <w:sz w:val="17"/>
              </w:rPr>
              <w:t>Os documentos analisados apontam que a Barragem Norte está inoperante ou com severas restrições operacionais desde 2014, após danos a sistemas hidráulicos, elétricos, mecânicos e de comunicação.</w:t>
            </w:r>
          </w:p>
        </w:tc>
      </w:tr>
      <w:tr w:rsidR="001D06E1" w14:paraId="7858A963" w14:textId="77777777">
        <w:trPr>
          <w:jc w:val="center"/>
        </w:trPr>
        <w:tc>
          <w:tcPr>
            <w:tcW w:w="5040" w:type="dxa"/>
            <w:shd w:val="clear" w:color="auto" w:fill="F2F6FA"/>
          </w:tcPr>
          <w:p w14:paraId="1C232A64" w14:textId="77777777" w:rsidR="001D06E1" w:rsidRDefault="00D25435">
            <w:r>
              <w:rPr>
                <w:sz w:val="17"/>
              </w:rPr>
              <w:t>Risco técnico documentado</w:t>
            </w:r>
          </w:p>
        </w:tc>
        <w:tc>
          <w:tcPr>
            <w:tcW w:w="5040" w:type="dxa"/>
          </w:tcPr>
          <w:p w14:paraId="0C1E1001" w14:textId="77777777" w:rsidR="001D06E1" w:rsidRDefault="00D25435">
            <w:r>
              <w:rPr>
                <w:sz w:val="17"/>
              </w:rPr>
              <w:t>O laudo Hydros de 2021 classificou a estrutura em nível global de perigo 'Atenção', com anomalias em 'Alerta', exigindo monitoramento, controle e reparos.</w:t>
            </w:r>
          </w:p>
        </w:tc>
      </w:tr>
      <w:tr w:rsidR="001D06E1" w14:paraId="7103A3A8" w14:textId="77777777">
        <w:trPr>
          <w:jc w:val="center"/>
        </w:trPr>
        <w:tc>
          <w:tcPr>
            <w:tcW w:w="5040" w:type="dxa"/>
            <w:shd w:val="clear" w:color="auto" w:fill="F2F6FA"/>
          </w:tcPr>
          <w:p w14:paraId="7C672F8D" w14:textId="77777777" w:rsidR="001D06E1" w:rsidRDefault="00D25435">
            <w:r>
              <w:rPr>
                <w:sz w:val="17"/>
              </w:rPr>
              <w:t>Ausência de PAE/PSB</w:t>
            </w:r>
          </w:p>
        </w:tc>
        <w:tc>
          <w:tcPr>
            <w:tcW w:w="5040" w:type="dxa"/>
          </w:tcPr>
          <w:p w14:paraId="1D982657" w14:textId="77777777" w:rsidR="001D06E1" w:rsidRDefault="00D25435">
            <w:r>
              <w:rPr>
                <w:sz w:val="17"/>
              </w:rPr>
              <w:t>A inexistência de Plano de Ação de Emergência e de Plano de Segurança plenamente implantados é um dos pontos mais graves, pois impede resposta padronizada, rotas de evacuação e comunicação de risco.</w:t>
            </w:r>
          </w:p>
        </w:tc>
      </w:tr>
      <w:tr w:rsidR="001D06E1" w14:paraId="2802DD43" w14:textId="77777777">
        <w:trPr>
          <w:jc w:val="center"/>
        </w:trPr>
        <w:tc>
          <w:tcPr>
            <w:tcW w:w="5040" w:type="dxa"/>
            <w:shd w:val="clear" w:color="auto" w:fill="F2F6FA"/>
          </w:tcPr>
          <w:p w14:paraId="33AA4BE2" w14:textId="77777777" w:rsidR="001D06E1" w:rsidRDefault="00D25435">
            <w:r>
              <w:rPr>
                <w:sz w:val="17"/>
              </w:rPr>
              <w:t>Operação de 2023</w:t>
            </w:r>
          </w:p>
        </w:tc>
        <w:tc>
          <w:tcPr>
            <w:tcW w:w="5040" w:type="dxa"/>
          </w:tcPr>
          <w:p w14:paraId="272DEDA7" w14:textId="77777777" w:rsidR="001D06E1" w:rsidRDefault="00D25435">
            <w:r>
              <w:rPr>
                <w:sz w:val="17"/>
              </w:rPr>
              <w:t xml:space="preserve">O episódio de 2023 revelou dependência de mobilização privada para viabilizar meios materiais de operação, com apoio empresarial regional e atuação estatal concentrada na via judicial e na segurança </w:t>
            </w:r>
            <w:r>
              <w:rPr>
                <w:sz w:val="17"/>
              </w:rPr>
              <w:lastRenderedPageBreak/>
              <w:t>pública.</w:t>
            </w:r>
          </w:p>
        </w:tc>
      </w:tr>
      <w:tr w:rsidR="001D06E1" w14:paraId="53ED8EB2" w14:textId="77777777">
        <w:trPr>
          <w:jc w:val="center"/>
        </w:trPr>
        <w:tc>
          <w:tcPr>
            <w:tcW w:w="5040" w:type="dxa"/>
            <w:shd w:val="clear" w:color="auto" w:fill="F2F6FA"/>
          </w:tcPr>
          <w:p w14:paraId="10EF12A8" w14:textId="77777777" w:rsidR="001D06E1" w:rsidRDefault="00D25435">
            <w:r>
              <w:rPr>
                <w:sz w:val="17"/>
              </w:rPr>
              <w:lastRenderedPageBreak/>
              <w:t>Questão indígena</w:t>
            </w:r>
          </w:p>
        </w:tc>
        <w:tc>
          <w:tcPr>
            <w:tcW w:w="5040" w:type="dxa"/>
          </w:tcPr>
          <w:p w14:paraId="3EAB7D2A" w14:textId="77777777" w:rsidR="001D06E1" w:rsidRDefault="00D25435">
            <w:r>
              <w:rPr>
                <w:sz w:val="17"/>
              </w:rPr>
              <w:t>Os direitos indígenas exigem consulta, compensações e diálogo, mas não conferem poder de veto absoluto quando há risco concreto à vida e à segurança da população a jusante.</w:t>
            </w:r>
          </w:p>
        </w:tc>
      </w:tr>
      <w:tr w:rsidR="001D06E1" w14:paraId="75D20BB5" w14:textId="77777777">
        <w:trPr>
          <w:jc w:val="center"/>
        </w:trPr>
        <w:tc>
          <w:tcPr>
            <w:tcW w:w="5040" w:type="dxa"/>
            <w:shd w:val="clear" w:color="auto" w:fill="F2F6FA"/>
          </w:tcPr>
          <w:p w14:paraId="5B8825B8" w14:textId="77777777" w:rsidR="001D06E1" w:rsidRDefault="00D25435">
            <w:r>
              <w:rPr>
                <w:sz w:val="17"/>
              </w:rPr>
              <w:t>Papel das entidades</w:t>
            </w:r>
          </w:p>
        </w:tc>
        <w:tc>
          <w:tcPr>
            <w:tcW w:w="5040" w:type="dxa"/>
          </w:tcPr>
          <w:p w14:paraId="111BE2A2" w14:textId="77777777" w:rsidR="001D06E1" w:rsidRDefault="00D25435">
            <w:r>
              <w:rPr>
                <w:sz w:val="17"/>
              </w:rPr>
              <w:t>Associações e entidades de classe podem requerer ingresso como amici curiae ou terceiros interessados, apresentar dados econômicos e cobrar cronograma judicial vinculante.</w:t>
            </w:r>
          </w:p>
        </w:tc>
      </w:tr>
      <w:tr w:rsidR="001D06E1" w14:paraId="792019CA" w14:textId="77777777">
        <w:trPr>
          <w:jc w:val="center"/>
        </w:trPr>
        <w:tc>
          <w:tcPr>
            <w:tcW w:w="5040" w:type="dxa"/>
            <w:shd w:val="clear" w:color="auto" w:fill="F2F6FA"/>
          </w:tcPr>
          <w:p w14:paraId="16181B10" w14:textId="77777777" w:rsidR="001D06E1" w:rsidRDefault="00D25435">
            <w:r>
              <w:rPr>
                <w:sz w:val="17"/>
              </w:rPr>
              <w:t>Controle externo</w:t>
            </w:r>
          </w:p>
        </w:tc>
        <w:tc>
          <w:tcPr>
            <w:tcW w:w="5040" w:type="dxa"/>
          </w:tcPr>
          <w:p w14:paraId="35D2F57A" w14:textId="77777777" w:rsidR="001D06E1" w:rsidRDefault="00D25435">
            <w:r>
              <w:rPr>
                <w:sz w:val="17"/>
              </w:rPr>
              <w:t>A omissão reiterada justifica atuação perante TCE/SC, TCU, CGU, CGE/SC, Ministérios Públicos de Contas e órgãos federais de defesa civil e segurança de barragens.</w:t>
            </w:r>
          </w:p>
        </w:tc>
      </w:tr>
    </w:tbl>
    <w:p w14:paraId="5F8A5DBB" w14:textId="77777777" w:rsidR="001D06E1" w:rsidRDefault="001D06E1"/>
    <w:p w14:paraId="5A3AB8CE" w14:textId="77777777" w:rsidR="001D06E1" w:rsidRDefault="00D25435">
      <w:pPr>
        <w:pStyle w:val="Ttulo1"/>
      </w:pPr>
      <w:r>
        <w:t>3. O real estado da Barragem Norte</w:t>
      </w:r>
    </w:p>
    <w:p w14:paraId="19D0A9EE" w14:textId="77777777" w:rsidR="001D06E1" w:rsidRDefault="00D25435">
      <w:pPr>
        <w:pStyle w:val="Ttulo2"/>
      </w:pPr>
      <w:r>
        <w:t>3.1. Uma estrutura essencial mantida em situação incompatível com sua finalidade</w:t>
      </w:r>
    </w:p>
    <w:p w14:paraId="7513C2EF" w14:textId="77777777" w:rsidR="001D06E1" w:rsidRDefault="00D25435">
      <w:r>
        <w:t>A Barragem Norte foi concebida para proteção coletiva contra inundações. Por essa razão, sua condição jurídica não pode ser tratada como obra comum ou simples equipamento administrativo. Ela integra um sistema de defesa civil, segurança hídrica, prevenção de desastres e proteção econômica regional.</w:t>
      </w:r>
    </w:p>
    <w:p w14:paraId="122A42DD" w14:textId="77777777" w:rsidR="001D06E1" w:rsidRDefault="00D25435">
      <w:r>
        <w:t>Os documentos analisados indicam que, desde 2014, a estrutura passou a conviver com restrições severas de operação, decorrentes de danos a componentes hidráulicos, elétricos, mecânicos e de comunicação. O próprio processo judicial registra a existência de obrigações de manutenção, recuperação, vigilância, contratação de operadores, comunicação e elaboração de planos de segurança ainda não integralmente cumpridas.</w:t>
      </w:r>
    </w:p>
    <w:p w14:paraId="7A53CB75" w14:textId="77777777" w:rsidR="001D06E1" w:rsidRDefault="00D25435">
      <w:r>
        <w:t>A ausência de operação permanente da barragem cria um cenário juridicamente grave: uma sentença judicial transitada em julgado impôs obrigações à União e ao Estado de Santa Catarina, mas a região continua exposta a uma estrutura cuja recuperação avança de forma fragmentada, tardia e dependente de decisões emergenciais.</w:t>
      </w:r>
    </w:p>
    <w:p w14:paraId="7BB14A07" w14:textId="77777777" w:rsidR="001D06E1" w:rsidRDefault="00D25435">
      <w:pPr>
        <w:pStyle w:val="Ttulo2"/>
      </w:pPr>
      <w:r>
        <w:t>3.2. Pontos técnicos críticos</w:t>
      </w:r>
    </w:p>
    <w:tbl>
      <w:tblPr>
        <w:tblStyle w:val="Tabelacomgrade"/>
        <w:tblW w:w="0" w:type="auto"/>
        <w:jc w:val="center"/>
        <w:tblLook w:val="04A0" w:firstRow="1" w:lastRow="0" w:firstColumn="1" w:lastColumn="0" w:noHBand="0" w:noVBand="1"/>
      </w:tblPr>
      <w:tblGrid>
        <w:gridCol w:w="5034"/>
        <w:gridCol w:w="5036"/>
      </w:tblGrid>
      <w:tr w:rsidR="001D06E1" w14:paraId="19A57413" w14:textId="77777777">
        <w:trPr>
          <w:tblHeader/>
          <w:jc w:val="center"/>
        </w:trPr>
        <w:tc>
          <w:tcPr>
            <w:tcW w:w="5040" w:type="dxa"/>
            <w:shd w:val="clear" w:color="auto" w:fill="1F4E79"/>
          </w:tcPr>
          <w:p w14:paraId="5B71D891" w14:textId="77777777" w:rsidR="001D06E1" w:rsidRDefault="00D25435">
            <w:r>
              <w:rPr>
                <w:b/>
                <w:color w:val="FFFFFF"/>
                <w:sz w:val="17"/>
              </w:rPr>
              <w:t>Componente</w:t>
            </w:r>
          </w:p>
        </w:tc>
        <w:tc>
          <w:tcPr>
            <w:tcW w:w="5040" w:type="dxa"/>
            <w:shd w:val="clear" w:color="auto" w:fill="1F4E79"/>
          </w:tcPr>
          <w:p w14:paraId="398E0D6A" w14:textId="77777777" w:rsidR="001D06E1" w:rsidRDefault="00D25435">
            <w:r>
              <w:rPr>
                <w:b/>
                <w:color w:val="FFFFFF"/>
                <w:sz w:val="17"/>
              </w:rPr>
              <w:t>Situação apontada</w:t>
            </w:r>
          </w:p>
        </w:tc>
      </w:tr>
      <w:tr w:rsidR="001D06E1" w14:paraId="465FBAE4" w14:textId="77777777">
        <w:trPr>
          <w:jc w:val="center"/>
        </w:trPr>
        <w:tc>
          <w:tcPr>
            <w:tcW w:w="5040" w:type="dxa"/>
            <w:shd w:val="clear" w:color="auto" w:fill="F2F6FA"/>
          </w:tcPr>
          <w:p w14:paraId="7B62CB33" w14:textId="77777777" w:rsidR="001D06E1" w:rsidRDefault="00D25435">
            <w:r>
              <w:rPr>
                <w:sz w:val="17"/>
              </w:rPr>
              <w:t>Comportas</w:t>
            </w:r>
          </w:p>
        </w:tc>
        <w:tc>
          <w:tcPr>
            <w:tcW w:w="5040" w:type="dxa"/>
          </w:tcPr>
          <w:p w14:paraId="181A5C9D" w14:textId="77777777" w:rsidR="001D06E1" w:rsidRDefault="00D25435">
            <w:r>
              <w:rPr>
                <w:sz w:val="17"/>
              </w:rPr>
              <w:t>Documentos de apoio indicam comportas danificadas ou inoperantes, com impossibilidade ou limitação do controle do nível do reservatório. Há informação local de que uma das comportas permanece danificada desde 2023; nos autos, a existência de comporta danificada também aparece como ponto de atenção em 2025.</w:t>
            </w:r>
          </w:p>
        </w:tc>
      </w:tr>
      <w:tr w:rsidR="001D06E1" w14:paraId="53300B4F" w14:textId="77777777">
        <w:trPr>
          <w:jc w:val="center"/>
        </w:trPr>
        <w:tc>
          <w:tcPr>
            <w:tcW w:w="5040" w:type="dxa"/>
            <w:shd w:val="clear" w:color="auto" w:fill="F2F6FA"/>
          </w:tcPr>
          <w:p w14:paraId="61919E15" w14:textId="77777777" w:rsidR="001D06E1" w:rsidRDefault="00D25435">
            <w:r>
              <w:rPr>
                <w:sz w:val="17"/>
              </w:rPr>
              <w:t>Sistema elétrico</w:t>
            </w:r>
          </w:p>
        </w:tc>
        <w:tc>
          <w:tcPr>
            <w:tcW w:w="5040" w:type="dxa"/>
          </w:tcPr>
          <w:p w14:paraId="2A6A82FE" w14:textId="77777777" w:rsidR="001D06E1" w:rsidRDefault="00D25435">
            <w:r>
              <w:rPr>
                <w:sz w:val="17"/>
              </w:rPr>
              <w:t>A documentação aponta destruição ou comprometimento do sistema elétrico necessário à operação regular.</w:t>
            </w:r>
          </w:p>
        </w:tc>
      </w:tr>
      <w:tr w:rsidR="001D06E1" w14:paraId="6E8FE533" w14:textId="77777777">
        <w:trPr>
          <w:jc w:val="center"/>
        </w:trPr>
        <w:tc>
          <w:tcPr>
            <w:tcW w:w="5040" w:type="dxa"/>
            <w:shd w:val="clear" w:color="auto" w:fill="F2F6FA"/>
          </w:tcPr>
          <w:p w14:paraId="752EC903" w14:textId="77777777" w:rsidR="001D06E1" w:rsidRDefault="00D25435">
            <w:r>
              <w:rPr>
                <w:sz w:val="17"/>
              </w:rPr>
              <w:t>Comunicação</w:t>
            </w:r>
          </w:p>
        </w:tc>
        <w:tc>
          <w:tcPr>
            <w:tcW w:w="5040" w:type="dxa"/>
          </w:tcPr>
          <w:p w14:paraId="1EE266D6" w14:textId="77777777" w:rsidR="001D06E1" w:rsidRDefault="00D25435">
            <w:r>
              <w:rPr>
                <w:sz w:val="17"/>
              </w:rPr>
              <w:t>Equipamentos de radiofonia/comunicação foram destruídos ou deixaram de cumprir sua função de integração com a Defesa Civil.</w:t>
            </w:r>
          </w:p>
        </w:tc>
      </w:tr>
      <w:tr w:rsidR="001D06E1" w14:paraId="2AB90C1A" w14:textId="77777777">
        <w:trPr>
          <w:jc w:val="center"/>
        </w:trPr>
        <w:tc>
          <w:tcPr>
            <w:tcW w:w="5040" w:type="dxa"/>
            <w:shd w:val="clear" w:color="auto" w:fill="F2F6FA"/>
          </w:tcPr>
          <w:p w14:paraId="2158BDFB" w14:textId="77777777" w:rsidR="001D06E1" w:rsidRDefault="00D25435">
            <w:r>
              <w:rPr>
                <w:sz w:val="17"/>
              </w:rPr>
              <w:t>Vigilância e operação</w:t>
            </w:r>
          </w:p>
        </w:tc>
        <w:tc>
          <w:tcPr>
            <w:tcW w:w="5040" w:type="dxa"/>
          </w:tcPr>
          <w:p w14:paraId="647D01C0" w14:textId="77777777" w:rsidR="001D06E1" w:rsidRDefault="00D25435">
            <w:r>
              <w:rPr>
                <w:sz w:val="17"/>
              </w:rPr>
              <w:t>Há registro de descumprimento quanto à vigilância armada 24h e contratação de operadores e ajudantes para a Barragem Norte.</w:t>
            </w:r>
          </w:p>
        </w:tc>
      </w:tr>
      <w:tr w:rsidR="001D06E1" w14:paraId="2049FC86" w14:textId="77777777">
        <w:trPr>
          <w:jc w:val="center"/>
        </w:trPr>
        <w:tc>
          <w:tcPr>
            <w:tcW w:w="5040" w:type="dxa"/>
            <w:shd w:val="clear" w:color="auto" w:fill="F2F6FA"/>
          </w:tcPr>
          <w:p w14:paraId="181203C2" w14:textId="77777777" w:rsidR="001D06E1" w:rsidRDefault="00D25435">
            <w:r>
              <w:rPr>
                <w:sz w:val="17"/>
              </w:rPr>
              <w:t>PAE e PSB</w:t>
            </w:r>
          </w:p>
        </w:tc>
        <w:tc>
          <w:tcPr>
            <w:tcW w:w="5040" w:type="dxa"/>
          </w:tcPr>
          <w:p w14:paraId="0626F9CE" w14:textId="77777777" w:rsidR="001D06E1" w:rsidRDefault="00D25435">
            <w:r>
              <w:rPr>
                <w:sz w:val="17"/>
              </w:rPr>
              <w:t>A ausência de Plano de Ação de Emergência e Plano de Segurança da Barragem aparece como uma das principais falhas jurídicas e administrativas.</w:t>
            </w:r>
          </w:p>
        </w:tc>
      </w:tr>
      <w:tr w:rsidR="001D06E1" w14:paraId="3958C2F7" w14:textId="77777777">
        <w:trPr>
          <w:jc w:val="center"/>
        </w:trPr>
        <w:tc>
          <w:tcPr>
            <w:tcW w:w="5040" w:type="dxa"/>
            <w:shd w:val="clear" w:color="auto" w:fill="F2F6FA"/>
          </w:tcPr>
          <w:p w14:paraId="51696C5B" w14:textId="77777777" w:rsidR="001D06E1" w:rsidRDefault="00D25435">
            <w:r>
              <w:rPr>
                <w:sz w:val="17"/>
              </w:rPr>
              <w:t>Taludes e vegetação</w:t>
            </w:r>
          </w:p>
        </w:tc>
        <w:tc>
          <w:tcPr>
            <w:tcW w:w="5040" w:type="dxa"/>
          </w:tcPr>
          <w:p w14:paraId="546ECA6E" w14:textId="77777777" w:rsidR="001D06E1" w:rsidRDefault="00D25435">
            <w:r>
              <w:rPr>
                <w:sz w:val="17"/>
              </w:rPr>
              <w:t xml:space="preserve">Laudo técnico apontou vegetação arbustiva e necessidade de manutenção, com risco de agravamento estrutural se não houver </w:t>
            </w:r>
            <w:r>
              <w:rPr>
                <w:sz w:val="17"/>
              </w:rPr>
              <w:lastRenderedPageBreak/>
              <w:t>intervenção.</w:t>
            </w:r>
          </w:p>
        </w:tc>
      </w:tr>
      <w:tr w:rsidR="001D06E1" w14:paraId="49E2A8D1" w14:textId="77777777">
        <w:trPr>
          <w:jc w:val="center"/>
        </w:trPr>
        <w:tc>
          <w:tcPr>
            <w:tcW w:w="5040" w:type="dxa"/>
            <w:shd w:val="clear" w:color="auto" w:fill="F2F6FA"/>
          </w:tcPr>
          <w:p w14:paraId="1D3C51E1" w14:textId="77777777" w:rsidR="001D06E1" w:rsidRDefault="00D25435">
            <w:r>
              <w:rPr>
                <w:sz w:val="17"/>
              </w:rPr>
              <w:lastRenderedPageBreak/>
              <w:t>Canal extravasor</w:t>
            </w:r>
          </w:p>
        </w:tc>
        <w:tc>
          <w:tcPr>
            <w:tcW w:w="5040" w:type="dxa"/>
          </w:tcPr>
          <w:p w14:paraId="2E1DD78B" w14:textId="77777777" w:rsidR="001D06E1" w:rsidRDefault="00D25435">
            <w:r>
              <w:rPr>
                <w:sz w:val="17"/>
              </w:rPr>
              <w:t>Obra considerada essencial à segurança permanece paralisada ou sem conclusão efetiva, com dependência de licenças, anuências e acesso ao território.</w:t>
            </w:r>
          </w:p>
        </w:tc>
      </w:tr>
    </w:tbl>
    <w:p w14:paraId="1773320B" w14:textId="77777777" w:rsidR="001D06E1" w:rsidRDefault="001D06E1"/>
    <w:tbl>
      <w:tblPr>
        <w:tblStyle w:val="Tabelacomgrade"/>
        <w:tblW w:w="0" w:type="auto"/>
        <w:jc w:val="center"/>
        <w:tblLook w:val="04A0" w:firstRow="1" w:lastRow="0" w:firstColumn="1" w:lastColumn="0" w:noHBand="0" w:noVBand="1"/>
      </w:tblPr>
      <w:tblGrid>
        <w:gridCol w:w="10070"/>
      </w:tblGrid>
      <w:tr w:rsidR="001D06E1" w14:paraId="57686247" w14:textId="77777777">
        <w:trPr>
          <w:jc w:val="center"/>
        </w:trPr>
        <w:tc>
          <w:tcPr>
            <w:tcW w:w="10080" w:type="dxa"/>
            <w:shd w:val="clear" w:color="auto" w:fill="1F4E79"/>
          </w:tcPr>
          <w:p w14:paraId="39539ADA" w14:textId="77777777" w:rsidR="001D06E1" w:rsidRDefault="00D25435">
            <w:pPr>
              <w:spacing w:after="60"/>
            </w:pPr>
            <w:r>
              <w:rPr>
                <w:b/>
                <w:color w:val="FFFFFF"/>
                <w:sz w:val="19"/>
              </w:rPr>
              <w:t>Ponto de atenção</w:t>
            </w:r>
          </w:p>
        </w:tc>
      </w:tr>
      <w:tr w:rsidR="001D06E1" w14:paraId="4142143A" w14:textId="77777777">
        <w:trPr>
          <w:jc w:val="center"/>
        </w:trPr>
        <w:tc>
          <w:tcPr>
            <w:tcW w:w="10080" w:type="dxa"/>
            <w:shd w:val="clear" w:color="auto" w:fill="D9EAF7"/>
          </w:tcPr>
          <w:p w14:paraId="5A8F29C3" w14:textId="77777777" w:rsidR="001D06E1" w:rsidRDefault="00D25435">
            <w:pPr>
              <w:spacing w:after="60"/>
            </w:pPr>
            <w:r>
              <w:rPr>
                <w:sz w:val="19"/>
              </w:rPr>
              <w:t>A discussão não é se haverá ou não nova enchente. O ponto é que, quando houver evento extremo, o Vale do Itajaí precisa saber se a principal estrutura de contenção está apta a operar, quem responde por ela, quem abre e fecha comportas, quem aciona alertas, quais comunidades devem evacuar e quais medidas foram previamente testadas.</w:t>
            </w:r>
          </w:p>
        </w:tc>
      </w:tr>
    </w:tbl>
    <w:p w14:paraId="1F0ECE9D" w14:textId="77777777" w:rsidR="001D06E1" w:rsidRDefault="001D06E1"/>
    <w:p w14:paraId="161912D6" w14:textId="77777777" w:rsidR="001D06E1" w:rsidRDefault="00D25435">
      <w:pPr>
        <w:pStyle w:val="Ttulo1"/>
      </w:pPr>
      <w:r>
        <w:t>4. O alerta climático de 2026 e a obrigação de preparação</w:t>
      </w:r>
    </w:p>
    <w:p w14:paraId="5AF45F40" w14:textId="77777777" w:rsidR="001D06E1" w:rsidRDefault="00D25435">
      <w:r>
        <w:t>A preocupação regional não é abstrata. Em 14 de abril de 2026, a Secretaria de Estado da Proteção e Defesa Civil de Santa Catarina e a EPAGRI/CIRAM divulgaram nota meteorológica indicando sinais consistentes de consolidação do El Niño no segundo semestre de 2026, com referência a probabilidade elevada de início entre julho e agosto e tendência de persistência ao longo da primavera e verão.</w:t>
      </w:r>
    </w:p>
    <w:p w14:paraId="6BF70D56" w14:textId="77777777" w:rsidR="001D06E1" w:rsidRDefault="00D25435">
      <w:r>
        <w:t>O mesmo comunicado estadual registra que o El Niño tende a provocar aumento significativo de precipitação no Sul do Brasil, exigindo atenção para enxurradas, inundações, deslizamentos, tempestades severas, vendavais e granizo. A nota ainda menciona que o Vale do Itajaí esteve entre as áreas mais impactadas por inundações no episódio 2023/2024.</w:t>
      </w:r>
    </w:p>
    <w:p w14:paraId="7FC79C71" w14:textId="77777777" w:rsidR="001D06E1" w:rsidRDefault="00D25435">
      <w:r>
        <w:t>A NOAA, em discussão técnica de 9 de abril de 2026, apontou condições ENSO-neutras no momento, mas provável emergência de El Niño em maio-julho de 2026, com persistência ao menos até o fim do ano. A Organização Meteorológica Mundial, em 24 de abril de 2026, também registrou aumento da probabilidade de El Niño a partir de meados de 2026, com potenciais efeitos sobre temperatura e padrões de chuva.</w:t>
      </w:r>
    </w:p>
    <w:p w14:paraId="27C9932A" w14:textId="77777777" w:rsidR="001D06E1" w:rsidRDefault="00D25435">
      <w:r>
        <w:t>Esse cenário não autoriza alarmismo. Mas impõe ação preventiva. Se os próprios órgãos oficiais recomendam preparação, a Barragem Norte deve ser tratada como prioridade absoluta da Operação Primavera 2026 e de qualquer plano estadual de prevenção, mitigação e resposta a desastres.</w:t>
      </w:r>
    </w:p>
    <w:tbl>
      <w:tblPr>
        <w:tblStyle w:val="Tabelacomgrade"/>
        <w:tblW w:w="0" w:type="auto"/>
        <w:jc w:val="center"/>
        <w:tblLook w:val="04A0" w:firstRow="1" w:lastRow="0" w:firstColumn="1" w:lastColumn="0" w:noHBand="0" w:noVBand="1"/>
      </w:tblPr>
      <w:tblGrid>
        <w:gridCol w:w="10070"/>
      </w:tblGrid>
      <w:tr w:rsidR="001D06E1" w14:paraId="7F8BA396" w14:textId="77777777">
        <w:trPr>
          <w:jc w:val="center"/>
        </w:trPr>
        <w:tc>
          <w:tcPr>
            <w:tcW w:w="10080" w:type="dxa"/>
            <w:shd w:val="clear" w:color="auto" w:fill="1F4E79"/>
          </w:tcPr>
          <w:p w14:paraId="7B1F6C53" w14:textId="77777777" w:rsidR="001D06E1" w:rsidRDefault="00D25435">
            <w:pPr>
              <w:spacing w:after="60"/>
            </w:pPr>
            <w:r>
              <w:rPr>
                <w:b/>
                <w:color w:val="FFFFFF"/>
                <w:sz w:val="19"/>
              </w:rPr>
              <w:t>Conclusão técnica</w:t>
            </w:r>
          </w:p>
        </w:tc>
      </w:tr>
      <w:tr w:rsidR="001D06E1" w14:paraId="117A69EF" w14:textId="77777777">
        <w:trPr>
          <w:jc w:val="center"/>
        </w:trPr>
        <w:tc>
          <w:tcPr>
            <w:tcW w:w="10080" w:type="dxa"/>
            <w:shd w:val="clear" w:color="auto" w:fill="D9EAF7"/>
          </w:tcPr>
          <w:p w14:paraId="2B0FA003" w14:textId="77777777" w:rsidR="001D06E1" w:rsidRDefault="00D25435">
            <w:pPr>
              <w:spacing w:after="60"/>
            </w:pPr>
            <w:r>
              <w:rPr>
                <w:sz w:val="19"/>
              </w:rPr>
              <w:t>Com alerta climático oficial, ausência de PAE, histórico de bloqueios de acesso e comportas danificadas, o problema deixa de ser apenas administrativo e passa a envolver dever objetivo de preparação estatal.</w:t>
            </w:r>
          </w:p>
        </w:tc>
      </w:tr>
    </w:tbl>
    <w:p w14:paraId="203EBD4F" w14:textId="77777777" w:rsidR="001D06E1" w:rsidRDefault="001D06E1"/>
    <w:p w14:paraId="21F13E1E" w14:textId="77777777" w:rsidR="001D06E1" w:rsidRDefault="00D25435">
      <w:pPr>
        <w:pStyle w:val="Ttulo1"/>
      </w:pPr>
      <w:r>
        <w:t>5. A operação emergencial de 2023 e o papel dos empresários</w:t>
      </w:r>
    </w:p>
    <w:p w14:paraId="3EE8C423" w14:textId="77777777" w:rsidR="001D06E1" w:rsidRDefault="00D25435">
      <w:r>
        <w:t>O episódio de outubro/novembro de 2023 deve ser tratado como marco político, jurídico e institucional. Em meio a chuvas intensas, o Estado de Santa Catarina precisou recorrer ao Poder Judiciário para obter acesso e operacionalizar emergencialmente a Barragem Norte. A operação ocorreu em cenário de tensão, bloqueios, exigências emergenciais e risco concreto para a população do Vale do Itajaí.</w:t>
      </w:r>
    </w:p>
    <w:p w14:paraId="02B9583F" w14:textId="77777777" w:rsidR="001D06E1" w:rsidRDefault="00D25435">
      <w:r>
        <w:t xml:space="preserve">Conforme informações trazidas por lideranças regionais e documentos de apoio, a viabilização material da operação não decorreu apenas da atuação regular da União ou do Estado. Um empresário de Blumenau, com apoio do G6 e de entidades como AMPE, ACIB, SIMMMEB e outros atores empresariais, teria mobilizado recursos privados para custear os meios necessários à operação do equipamento que tornou possível o fechamento das comportas e posterior </w:t>
      </w:r>
      <w:r>
        <w:lastRenderedPageBreak/>
        <w:t>reabertura de uma delas. Também há relato de que a alimentação dos policiais que garantiram a segurança no ato de fechamento e abertura foi custeada por essa mobilização privada.</w:t>
      </w:r>
    </w:p>
    <w:p w14:paraId="1B7B2116" w14:textId="77777777" w:rsidR="001D06E1" w:rsidRDefault="00D25435">
      <w:r>
        <w:t>Esse ponto deve ser utilizado com força, mas com cautela probatória. Para fins de documento público ou peça judicial, recomenda-se reunir notas fiscais, comprovantes de pagamento, recibos, mensagens, fotografias, vídeos, contratos emergenciais, listas de apoiadores, atas de reunião e declarações dos envolvidos. A tese mais segura é afirmar que o setor produtivo regional, diante da insuficiência da resposta estatal, ajudou a viabilizar materialmente uma operação que deveria estar previamente estruturada pelo</w:t>
      </w:r>
      <w:r>
        <w:t xml:space="preserve"> poder público.</w:t>
      </w:r>
    </w:p>
    <w:p w14:paraId="5DB1054F" w14:textId="77777777" w:rsidR="001D06E1" w:rsidRDefault="00D25435">
      <w:r>
        <w:t>A conclusão institucional é contundente: se uma barragem de contenção de cheias depende de mobilização privada em situação de emergência, o sistema público de governança falhou. O empresário que ajudou não substituiu o Estado; apenas impediu que a omissão estatal se transformasse em tragédia maior.</w:t>
      </w:r>
    </w:p>
    <w:tbl>
      <w:tblPr>
        <w:tblStyle w:val="Tabelacomgrade"/>
        <w:tblW w:w="0" w:type="auto"/>
        <w:jc w:val="center"/>
        <w:tblLook w:val="04A0" w:firstRow="1" w:lastRow="0" w:firstColumn="1" w:lastColumn="0" w:noHBand="0" w:noVBand="1"/>
      </w:tblPr>
      <w:tblGrid>
        <w:gridCol w:w="10070"/>
      </w:tblGrid>
      <w:tr w:rsidR="001D06E1" w14:paraId="1D9EA67D" w14:textId="77777777">
        <w:trPr>
          <w:jc w:val="center"/>
        </w:trPr>
        <w:tc>
          <w:tcPr>
            <w:tcW w:w="10080" w:type="dxa"/>
            <w:shd w:val="clear" w:color="auto" w:fill="1F4E79"/>
          </w:tcPr>
          <w:p w14:paraId="6B25A101" w14:textId="77777777" w:rsidR="001D06E1" w:rsidRDefault="00D25435">
            <w:pPr>
              <w:spacing w:after="60"/>
            </w:pPr>
            <w:r>
              <w:rPr>
                <w:b/>
                <w:color w:val="FFFFFF"/>
                <w:sz w:val="19"/>
              </w:rPr>
              <w:t>Tese para as entidades</w:t>
            </w:r>
          </w:p>
        </w:tc>
      </w:tr>
      <w:tr w:rsidR="001D06E1" w14:paraId="6113E832" w14:textId="77777777">
        <w:trPr>
          <w:jc w:val="center"/>
        </w:trPr>
        <w:tc>
          <w:tcPr>
            <w:tcW w:w="10080" w:type="dxa"/>
            <w:shd w:val="clear" w:color="auto" w:fill="D9EAF7"/>
          </w:tcPr>
          <w:p w14:paraId="6A65DE74" w14:textId="77777777" w:rsidR="001D06E1" w:rsidRDefault="00D25435">
            <w:pPr>
              <w:spacing w:after="60"/>
            </w:pPr>
            <w:r>
              <w:rPr>
                <w:sz w:val="19"/>
              </w:rPr>
              <w:t>A operação de 2023 demonstra que o setor produtivo não está buscando protagonismo indevido. Está tentando proteger vidas, empregos, empresas, cargas, infraestrutura e arrecadação pública diante de uma omissão prolongada.</w:t>
            </w:r>
          </w:p>
        </w:tc>
      </w:tr>
    </w:tbl>
    <w:p w14:paraId="53BFC11F" w14:textId="77777777" w:rsidR="001D06E1" w:rsidRDefault="001D06E1"/>
    <w:p w14:paraId="7E609EDF" w14:textId="77777777" w:rsidR="001D06E1" w:rsidRDefault="00D25435">
      <w:pPr>
        <w:pStyle w:val="Ttulo1"/>
      </w:pPr>
      <w:r>
        <w:t>6. A questão indígena: respeito, firmeza e limites jurídicos</w:t>
      </w:r>
    </w:p>
    <w:p w14:paraId="5BBBBE55" w14:textId="77777777" w:rsidR="001D06E1" w:rsidRDefault="00D25435">
      <w:pPr>
        <w:pStyle w:val="Ttulo2"/>
      </w:pPr>
      <w:r>
        <w:t>6.1. O conflito não pode ser tratado de forma simplista</w:t>
      </w:r>
    </w:p>
    <w:p w14:paraId="4C819D51" w14:textId="77777777" w:rsidR="001D06E1" w:rsidRDefault="00D25435">
      <w:r>
        <w:t>A Barragem Norte está situada em contexto territorial sensível, envolvendo a Terra Indígena Ibirama-La Klãnõ e a comunidade Laklãnõ-Xokleng. Há danos históricos, obrigações sociais assumidas pelo poder público e compromissos de infraestrutura, habitação, saúde, estradas, escola, igrejas, casas de pároco, unidade sanitária, campo de futebol e medidas de autossustentação discutidas no processo conexo.</w:t>
      </w:r>
    </w:p>
    <w:p w14:paraId="237D0F7C" w14:textId="77777777" w:rsidR="001D06E1" w:rsidRDefault="00D25435">
      <w:r>
        <w:t>Esse histórico não pode ser ignorado. A Constituição Federal protege os direitos originários dos povos indígenas sobre as terras que tradicionalmente ocupam, e a Convenção nº 169 da OIT impõe o dever de consulta prévia, livre e informada em medidas que afetem diretamente essas comunidades. Portanto, qualquer solução séria deve respeitar a comunidade indígena e cumprir as obrigações assumidas pelo Estado e pela União.</w:t>
      </w:r>
    </w:p>
    <w:p w14:paraId="0FC7C079" w14:textId="77777777" w:rsidR="001D06E1" w:rsidRDefault="00D25435">
      <w:pPr>
        <w:pStyle w:val="Ttulo2"/>
      </w:pPr>
      <w:r>
        <w:t>6.2. Direitos indígenas não significam veto absoluto à proteção da vida</w:t>
      </w:r>
    </w:p>
    <w:p w14:paraId="7D2F8CD0" w14:textId="77777777" w:rsidR="001D06E1" w:rsidRDefault="00D25435">
      <w:r>
        <w:t>O reconhecimento dos direitos indígenas não autoriza que uma estrutura crítica de defesa civil permaneça inacessível, inoperante ou submetida a negociações de última hora quando há risco concreto à vida e à segurança de milhares de pessoas a jusante. O dever de consulta e compensação deve conviver com o princípio da proporcionalidade, com a continuidade do serviço público e com o dever constitucional de defesa permanente contra inundações.</w:t>
      </w:r>
    </w:p>
    <w:p w14:paraId="243A03DF" w14:textId="77777777" w:rsidR="001D06E1" w:rsidRDefault="00D25435">
      <w:r>
        <w:t>A formulação mais adequada, inclusive para evitar ruídos desnecessários, é a seguinte: não se trata de retirar direitos da comunidade indígena; trata-se de impedir que a omissão estatal transforme a comunidade indígena, os empresários, os policiais, os municípios e a população ribeirinha em reféns de uma governança pública improvisada.</w:t>
      </w:r>
    </w:p>
    <w:p w14:paraId="60B342AC" w14:textId="77777777" w:rsidR="001D06E1" w:rsidRDefault="00D25435">
      <w:pPr>
        <w:pStyle w:val="Ttulo2"/>
      </w:pPr>
      <w:r>
        <w:t>6.3. Bloqueios de acesso em momentos de enchente</w:t>
      </w:r>
    </w:p>
    <w:p w14:paraId="5811B752" w14:textId="77777777" w:rsidR="001D06E1" w:rsidRDefault="00D25435">
      <w:r>
        <w:t>Os documentos indicam a existência de episódios de bloqueio de acesso à barragem, inclusive durante períodos de chuva intensa, e relatam situações de tensão envolvendo equipes técnicas e de segurança. A redação institucional deve evitar imputação coletiva a todo um povo indígena. O caminho juridicamente correto é afirmar que atos individualizados de bloqueio, retenção de agentes públicos, dano a equipamento, impedimento de serviço essencial ou obstrução de operação emergencial devem ser apurados caso a caso</w:t>
      </w:r>
      <w:r>
        <w:t xml:space="preserve"> pelas autoridades competentes.</w:t>
      </w:r>
    </w:p>
    <w:p w14:paraId="3AB2A1C7" w14:textId="77777777" w:rsidR="001D06E1" w:rsidRDefault="00D25435">
      <w:r>
        <w:lastRenderedPageBreak/>
        <w:t>Em tese, dependendo da prova, condutas individualizadas podem gerar repercussões nas esferas cível, administrativa e penal. Contudo, a estratégia mais forte para as entidades não é pedir criminalização coletiva, mas exigir um protocolo permanente de acesso, consulta prévia, compensação, segurança, rotas de evacuação e cumprimento de decisão judicial. A autoridade pública deve prevenir o conflito antes que ele aconteça.</w:t>
      </w:r>
    </w:p>
    <w:tbl>
      <w:tblPr>
        <w:tblStyle w:val="Tabelacomgrade"/>
        <w:tblW w:w="0" w:type="auto"/>
        <w:jc w:val="center"/>
        <w:tblLook w:val="04A0" w:firstRow="1" w:lastRow="0" w:firstColumn="1" w:lastColumn="0" w:noHBand="0" w:noVBand="1"/>
      </w:tblPr>
      <w:tblGrid>
        <w:gridCol w:w="10070"/>
      </w:tblGrid>
      <w:tr w:rsidR="001D06E1" w14:paraId="61DC55B1" w14:textId="77777777">
        <w:trPr>
          <w:jc w:val="center"/>
        </w:trPr>
        <w:tc>
          <w:tcPr>
            <w:tcW w:w="10080" w:type="dxa"/>
            <w:shd w:val="clear" w:color="auto" w:fill="1F4E79"/>
          </w:tcPr>
          <w:p w14:paraId="71F512BA" w14:textId="77777777" w:rsidR="001D06E1" w:rsidRDefault="00D25435">
            <w:pPr>
              <w:spacing w:after="60"/>
            </w:pPr>
            <w:r>
              <w:rPr>
                <w:b/>
                <w:color w:val="FFFFFF"/>
                <w:sz w:val="19"/>
              </w:rPr>
              <w:t>Tom recomendado</w:t>
            </w:r>
          </w:p>
        </w:tc>
      </w:tr>
      <w:tr w:rsidR="001D06E1" w14:paraId="3D00CC82" w14:textId="77777777">
        <w:trPr>
          <w:jc w:val="center"/>
        </w:trPr>
        <w:tc>
          <w:tcPr>
            <w:tcW w:w="10080" w:type="dxa"/>
            <w:shd w:val="clear" w:color="auto" w:fill="D9EAF7"/>
          </w:tcPr>
          <w:p w14:paraId="5CD04556" w14:textId="77777777" w:rsidR="001D06E1" w:rsidRDefault="00D25435">
            <w:pPr>
              <w:spacing w:after="60"/>
            </w:pPr>
            <w:r>
              <w:rPr>
                <w:sz w:val="19"/>
              </w:rPr>
              <w:t>A mensagem deve ser firme, mas institucional: respeito aos indígenas, cumprimento das obrigações sociais, acesso permanente à barragem, plano de emergência e apuração individualizada de eventuais ilícitos.</w:t>
            </w:r>
          </w:p>
        </w:tc>
      </w:tr>
    </w:tbl>
    <w:p w14:paraId="62B27004" w14:textId="77777777" w:rsidR="001D06E1" w:rsidRDefault="001D06E1"/>
    <w:p w14:paraId="72802CA8" w14:textId="77777777" w:rsidR="001D06E1" w:rsidRDefault="00D25435">
      <w:pPr>
        <w:pStyle w:val="Ttulo1"/>
      </w:pPr>
      <w:r>
        <w:t>7. As ofertas de contingência feitas aos indígenas e o problema da improvisação</w:t>
      </w:r>
    </w:p>
    <w:p w14:paraId="3A3E15C1" w14:textId="77777777" w:rsidR="001D06E1" w:rsidRDefault="00D25435">
      <w:r>
        <w:t>Um dos pontos que merece destaque específico é a natureza das chamadas ofertas de contingência realizadas em favor da comunidade indígena em momentos de operação emergencial da barragem. Os documentos analisados noticiam que, em 2023, as condições para autorização da operação envolveram desobstrução e melhoria de estradas de acesso às aldeias, equipe de atendimento de saúde em postos 24 horas, barcos, ônibus, água potável, cestas básicas e construção de novas casas para famílias que seriam afetadas pelo fec</w:t>
      </w:r>
      <w:r>
        <w:t>hamento das comportas.</w:t>
      </w:r>
    </w:p>
    <w:p w14:paraId="7AD5562A" w14:textId="77777777" w:rsidR="001D06E1" w:rsidRDefault="00D25435">
      <w:r>
        <w:t>Essas medidas podem ser juridicamente justificáveis como providências humanitárias e de mitigação quando a operação da barragem impacta diretamente moradores da área de acumulação. Se o fechamento das comportas eleva o nível d'água e afeta residências, deslocamento, saúde, abastecimento e segurança da comunidade indígena, o poder público deve prever medidas compensatórias, logísticas e assistenciais.</w:t>
      </w:r>
    </w:p>
    <w:p w14:paraId="65578D48" w14:textId="77777777" w:rsidR="001D06E1" w:rsidRDefault="00D25435">
      <w:r>
        <w:t>O problema está no momento e na forma. Medidas de contingência não podem ser improvisadas durante a enchente, tampouco usadas como condição emergencial sem planejamento prévio. Elas deveriam estar incorporadas a um Plano de Ação de Emergência, discutidas com a comunidade, validadas por Defesa Civil, FUNAI, MPF, municípios e operadores da barragem, com rotas, pontos de apoio, responsáveis, comunicação e custos previamente definidos.</w:t>
      </w:r>
    </w:p>
    <w:p w14:paraId="6AD3DF17" w14:textId="77777777" w:rsidR="001D06E1" w:rsidRDefault="00D25435">
      <w:r>
        <w:t>Também é necessário esclarecer quem elaborou essas condições, com qual base técnica, se houve ata formal, se houve versões alteradas, quem assinou, quais compromissos foram efetivamente cumpridos e quais permaneceram pendentes. Caso haja alegação de alteração posterior de ata após assinaturas, esse ponto deve ser tratado como diligência probatória sensível, com comparação das versões, metadados, protocolo judicial, assinaturas e depoimentos dos participantes.</w:t>
      </w:r>
    </w:p>
    <w:tbl>
      <w:tblPr>
        <w:tblStyle w:val="Tabelacomgrade"/>
        <w:tblW w:w="0" w:type="auto"/>
        <w:jc w:val="center"/>
        <w:tblLook w:val="04A0" w:firstRow="1" w:lastRow="0" w:firstColumn="1" w:lastColumn="0" w:noHBand="0" w:noVBand="1"/>
      </w:tblPr>
      <w:tblGrid>
        <w:gridCol w:w="10070"/>
      </w:tblGrid>
      <w:tr w:rsidR="001D06E1" w14:paraId="0D49E92E" w14:textId="77777777">
        <w:trPr>
          <w:jc w:val="center"/>
        </w:trPr>
        <w:tc>
          <w:tcPr>
            <w:tcW w:w="10080" w:type="dxa"/>
            <w:shd w:val="clear" w:color="auto" w:fill="1F4E79"/>
          </w:tcPr>
          <w:p w14:paraId="5D2270B0" w14:textId="77777777" w:rsidR="001D06E1" w:rsidRDefault="00D25435">
            <w:pPr>
              <w:spacing w:after="60"/>
            </w:pPr>
            <w:r>
              <w:rPr>
                <w:b/>
                <w:color w:val="FFFFFF"/>
                <w:sz w:val="19"/>
              </w:rPr>
              <w:t>Pergunta que deve ser feita ao poder público</w:t>
            </w:r>
          </w:p>
        </w:tc>
      </w:tr>
      <w:tr w:rsidR="001D06E1" w14:paraId="32BAB5FF" w14:textId="77777777">
        <w:trPr>
          <w:jc w:val="center"/>
        </w:trPr>
        <w:tc>
          <w:tcPr>
            <w:tcW w:w="10080" w:type="dxa"/>
            <w:shd w:val="clear" w:color="auto" w:fill="D9EAF7"/>
          </w:tcPr>
          <w:p w14:paraId="678349FF" w14:textId="77777777" w:rsidR="001D06E1" w:rsidRDefault="00D25435">
            <w:pPr>
              <w:spacing w:after="60"/>
            </w:pPr>
            <w:r>
              <w:rPr>
                <w:sz w:val="19"/>
              </w:rPr>
              <w:t>Se já se sabia que o fechamento das comportas poderia exigir barcos, ônibus, água, saúde, alimentos, remoção de famílias e segurança, por que essas medidas não estavam previamente previstas em um PAE formal, testado e conhecido por todos?</w:t>
            </w:r>
          </w:p>
        </w:tc>
      </w:tr>
    </w:tbl>
    <w:p w14:paraId="3FE4C2DD" w14:textId="77777777" w:rsidR="001D06E1" w:rsidRDefault="001D06E1"/>
    <w:p w14:paraId="46148036" w14:textId="77777777" w:rsidR="001D06E1" w:rsidRDefault="00D25435">
      <w:pPr>
        <w:pStyle w:val="Ttulo1"/>
      </w:pPr>
      <w:r>
        <w:t>8. O Plano de Ação de Emergência: a omissão mais grave</w:t>
      </w:r>
    </w:p>
    <w:p w14:paraId="1B876EFC" w14:textId="77777777" w:rsidR="001D06E1" w:rsidRDefault="00D25435">
      <w:r>
        <w:t>A ausência de Plano de Ação de Emergência para a Barragem Norte é, talvez, a omissão mais grave sob o ponto de vista técnico, jurídico e de controle. O PAE não é um documento decorativo. Ele deve estabelecer procedimentos de emergência, níveis de alerta, fluxos de comunicação, responsáveis, mapas de inundação, rotas de evacuação, cadastro de populações potencialmente atingidas, pontos de encontro, simulados e integração com as Defesas Civis municipais e estadual.</w:t>
      </w:r>
    </w:p>
    <w:p w14:paraId="35B98B72" w14:textId="77777777" w:rsidR="001D06E1" w:rsidRDefault="00D25435">
      <w:r>
        <w:t>A Lei nº 12.334/2010, que institui a Política Nacional de Segurança de Barragens, exige instrumentos de segurança e planejamento. Em barragem com dano potencial associado elevado e com histórico de conflitos de acesso, a falta de PAE significa que a população a jusante e a própria comunidade indígena ficam expostas a improviso.</w:t>
      </w:r>
    </w:p>
    <w:p w14:paraId="2A275C59" w14:textId="77777777" w:rsidR="001D06E1" w:rsidRDefault="00D25435">
      <w:r>
        <w:lastRenderedPageBreak/>
        <w:t>A pergunta institucional não é apenas 'quem deixou de fazer'. A pergunta completa é: quem é o empreendedor responsável pelo PAE, quem fiscalizou, quem cobrou, quem se omitiu, por que o documento não foi elaborado ou implementado, por que não houve simulados, por que as entidades locais não conhecem rotas e protocolos, e por que a região só descobre as fragilidades quando a chuva já começou.</w:t>
      </w:r>
    </w:p>
    <w:p w14:paraId="430E8432" w14:textId="77777777" w:rsidR="001D06E1" w:rsidRDefault="00D25435">
      <w:r>
        <w:t>No caso da Barragem Norte, a responsabilidade deve ser tratada como cooperativa e solidária em termos de resultado: União, enquanto titular histórica da infraestrutura e responsável constitucional por defesa permanente contra inundações; Estado de Santa Catarina, enquanto operador cotidiano e gestor de defesa civil; órgãos fiscalizadores e de controle, que devem exigir PSB, PAE, inspeções, monitoramento e providências executivas.</w:t>
      </w:r>
    </w:p>
    <w:tbl>
      <w:tblPr>
        <w:tblStyle w:val="Tabelacomgrade"/>
        <w:tblW w:w="0" w:type="auto"/>
        <w:jc w:val="center"/>
        <w:tblLook w:val="04A0" w:firstRow="1" w:lastRow="0" w:firstColumn="1" w:lastColumn="0" w:noHBand="0" w:noVBand="1"/>
      </w:tblPr>
      <w:tblGrid>
        <w:gridCol w:w="5035"/>
        <w:gridCol w:w="5035"/>
      </w:tblGrid>
      <w:tr w:rsidR="001D06E1" w14:paraId="38586793" w14:textId="77777777">
        <w:trPr>
          <w:tblHeader/>
          <w:jc w:val="center"/>
        </w:trPr>
        <w:tc>
          <w:tcPr>
            <w:tcW w:w="5040" w:type="dxa"/>
            <w:shd w:val="clear" w:color="auto" w:fill="1F4E79"/>
          </w:tcPr>
          <w:p w14:paraId="1EF23F0B" w14:textId="77777777" w:rsidR="001D06E1" w:rsidRDefault="00D25435">
            <w:r>
              <w:rPr>
                <w:b/>
                <w:color w:val="FFFFFF"/>
                <w:sz w:val="17"/>
              </w:rPr>
              <w:t>Item mínimo do PAE</w:t>
            </w:r>
          </w:p>
        </w:tc>
        <w:tc>
          <w:tcPr>
            <w:tcW w:w="5040" w:type="dxa"/>
            <w:shd w:val="clear" w:color="auto" w:fill="1F4E79"/>
          </w:tcPr>
          <w:p w14:paraId="4E694A68" w14:textId="77777777" w:rsidR="001D06E1" w:rsidRDefault="00D25435">
            <w:r>
              <w:rPr>
                <w:b/>
                <w:color w:val="FFFFFF"/>
                <w:sz w:val="17"/>
              </w:rPr>
              <w:t>Aplicação à Barragem Norte</w:t>
            </w:r>
          </w:p>
        </w:tc>
      </w:tr>
      <w:tr w:rsidR="001D06E1" w14:paraId="700FD71D" w14:textId="77777777">
        <w:trPr>
          <w:jc w:val="center"/>
        </w:trPr>
        <w:tc>
          <w:tcPr>
            <w:tcW w:w="5040" w:type="dxa"/>
            <w:shd w:val="clear" w:color="auto" w:fill="F2F6FA"/>
          </w:tcPr>
          <w:p w14:paraId="328A4C8B" w14:textId="77777777" w:rsidR="001D06E1" w:rsidRDefault="00D25435">
            <w:r>
              <w:rPr>
                <w:sz w:val="17"/>
              </w:rPr>
              <w:t>Mapas de inundação</w:t>
            </w:r>
          </w:p>
        </w:tc>
        <w:tc>
          <w:tcPr>
            <w:tcW w:w="5040" w:type="dxa"/>
          </w:tcPr>
          <w:p w14:paraId="7EA737AD" w14:textId="77777777" w:rsidR="001D06E1" w:rsidRDefault="00D25435">
            <w:r>
              <w:rPr>
                <w:sz w:val="17"/>
              </w:rPr>
              <w:t>Devem indicar áreas impactadas na Terra Indígena, Alto Vale, Médio Vale e municípios a jusante.</w:t>
            </w:r>
          </w:p>
        </w:tc>
      </w:tr>
      <w:tr w:rsidR="001D06E1" w14:paraId="576867CA" w14:textId="77777777">
        <w:trPr>
          <w:jc w:val="center"/>
        </w:trPr>
        <w:tc>
          <w:tcPr>
            <w:tcW w:w="5040" w:type="dxa"/>
            <w:shd w:val="clear" w:color="auto" w:fill="F2F6FA"/>
          </w:tcPr>
          <w:p w14:paraId="2ABC69B3" w14:textId="77777777" w:rsidR="001D06E1" w:rsidRDefault="00D25435">
            <w:r>
              <w:rPr>
                <w:sz w:val="17"/>
              </w:rPr>
              <w:t>Comunicação de risco</w:t>
            </w:r>
          </w:p>
        </w:tc>
        <w:tc>
          <w:tcPr>
            <w:tcW w:w="5040" w:type="dxa"/>
          </w:tcPr>
          <w:p w14:paraId="192FBCBD" w14:textId="77777777" w:rsidR="001D06E1" w:rsidRDefault="00D25435">
            <w:r>
              <w:rPr>
                <w:sz w:val="17"/>
              </w:rPr>
              <w:t>Deve integrar operador da barragem, Defesa Civil Estadual, Defesas Civis municipais, Polícia Militar, Corpo de Bombeiros, FUNAI, MPF e lideranças indígenas.</w:t>
            </w:r>
          </w:p>
        </w:tc>
      </w:tr>
      <w:tr w:rsidR="001D06E1" w14:paraId="1B61B8E3" w14:textId="77777777">
        <w:trPr>
          <w:jc w:val="center"/>
        </w:trPr>
        <w:tc>
          <w:tcPr>
            <w:tcW w:w="5040" w:type="dxa"/>
            <w:shd w:val="clear" w:color="auto" w:fill="F2F6FA"/>
          </w:tcPr>
          <w:p w14:paraId="5B629503" w14:textId="77777777" w:rsidR="001D06E1" w:rsidRDefault="00D25435">
            <w:r>
              <w:rPr>
                <w:sz w:val="17"/>
              </w:rPr>
              <w:t>Rotas e evacuação</w:t>
            </w:r>
          </w:p>
        </w:tc>
        <w:tc>
          <w:tcPr>
            <w:tcW w:w="5040" w:type="dxa"/>
          </w:tcPr>
          <w:p w14:paraId="6FFB6BC1" w14:textId="77777777" w:rsidR="001D06E1" w:rsidRDefault="00D25435">
            <w:r>
              <w:rPr>
                <w:sz w:val="17"/>
              </w:rPr>
              <w:t>Devem contemplar comunidade indígena, moradores rurais, bairros ribeirinhos, escolas, hospitais, empresas e áreas industriais.</w:t>
            </w:r>
          </w:p>
        </w:tc>
      </w:tr>
      <w:tr w:rsidR="001D06E1" w14:paraId="68A1D431" w14:textId="77777777">
        <w:trPr>
          <w:jc w:val="center"/>
        </w:trPr>
        <w:tc>
          <w:tcPr>
            <w:tcW w:w="5040" w:type="dxa"/>
            <w:shd w:val="clear" w:color="auto" w:fill="F2F6FA"/>
          </w:tcPr>
          <w:p w14:paraId="0EFE93FD" w14:textId="77777777" w:rsidR="001D06E1" w:rsidRDefault="00D25435">
            <w:r>
              <w:rPr>
                <w:sz w:val="17"/>
              </w:rPr>
              <w:t>Níveis de alerta</w:t>
            </w:r>
          </w:p>
        </w:tc>
        <w:tc>
          <w:tcPr>
            <w:tcW w:w="5040" w:type="dxa"/>
          </w:tcPr>
          <w:p w14:paraId="57801B3D" w14:textId="77777777" w:rsidR="001D06E1" w:rsidRDefault="00D25435">
            <w:r>
              <w:rPr>
                <w:sz w:val="17"/>
              </w:rPr>
              <w:t>Devem estar associados a chuva, nível do reservatório, abertura/fechamento de comportas e risco de vertimento.</w:t>
            </w:r>
          </w:p>
        </w:tc>
      </w:tr>
      <w:tr w:rsidR="001D06E1" w14:paraId="7D1C5010" w14:textId="77777777">
        <w:trPr>
          <w:jc w:val="center"/>
        </w:trPr>
        <w:tc>
          <w:tcPr>
            <w:tcW w:w="5040" w:type="dxa"/>
            <w:shd w:val="clear" w:color="auto" w:fill="F2F6FA"/>
          </w:tcPr>
          <w:p w14:paraId="23563E42" w14:textId="77777777" w:rsidR="001D06E1" w:rsidRDefault="00D25435">
            <w:r>
              <w:rPr>
                <w:sz w:val="17"/>
              </w:rPr>
              <w:t>Simulados</w:t>
            </w:r>
          </w:p>
        </w:tc>
        <w:tc>
          <w:tcPr>
            <w:tcW w:w="5040" w:type="dxa"/>
          </w:tcPr>
          <w:p w14:paraId="3E9F3761" w14:textId="77777777" w:rsidR="001D06E1" w:rsidRDefault="00D25435">
            <w:r>
              <w:rPr>
                <w:sz w:val="17"/>
              </w:rPr>
              <w:t>Devem ocorrer periodicamente, com registro documental e participação dos municípios e comunidades afetadas.</w:t>
            </w:r>
          </w:p>
        </w:tc>
      </w:tr>
      <w:tr w:rsidR="001D06E1" w14:paraId="02FAFBF3" w14:textId="77777777">
        <w:trPr>
          <w:jc w:val="center"/>
        </w:trPr>
        <w:tc>
          <w:tcPr>
            <w:tcW w:w="5040" w:type="dxa"/>
            <w:shd w:val="clear" w:color="auto" w:fill="F2F6FA"/>
          </w:tcPr>
          <w:p w14:paraId="42386F1F" w14:textId="77777777" w:rsidR="001D06E1" w:rsidRDefault="00D25435">
            <w:r>
              <w:rPr>
                <w:sz w:val="17"/>
              </w:rPr>
              <w:t>Responsáveis nomeados</w:t>
            </w:r>
          </w:p>
        </w:tc>
        <w:tc>
          <w:tcPr>
            <w:tcW w:w="5040" w:type="dxa"/>
          </w:tcPr>
          <w:p w14:paraId="0A0BD51A" w14:textId="77777777" w:rsidR="001D06E1" w:rsidRDefault="00D25435">
            <w:r>
              <w:rPr>
                <w:sz w:val="17"/>
              </w:rPr>
              <w:t>Não basta falar genericamente em Estado ou União; é necessário identificar agentes, setores, telefones, turnos e substitutos.</w:t>
            </w:r>
          </w:p>
        </w:tc>
      </w:tr>
    </w:tbl>
    <w:p w14:paraId="71A040E9" w14:textId="77777777" w:rsidR="001D06E1" w:rsidRDefault="001D06E1"/>
    <w:p w14:paraId="2BE72E39" w14:textId="77777777" w:rsidR="001D06E1" w:rsidRDefault="00D25435">
      <w:pPr>
        <w:pStyle w:val="Ttulo1"/>
      </w:pPr>
      <w:r>
        <w:t>9. Responsabilidade da União e do Estado de Santa Catarina</w:t>
      </w:r>
    </w:p>
    <w:p w14:paraId="5EE509C3" w14:textId="77777777" w:rsidR="001D06E1" w:rsidRDefault="00D25435">
      <w:r>
        <w:t>A sentença judicial condenatória impôs obrigações de manutenção e recuperação do sistema de barragens à União e ao Estado de Santa Catarina. A discussão sobre quem é proprietário, quem opera, quem financia e quem executa não pode servir como mecanismo de paralisação. Do ponto de vista da população a jusante, ambos devem responder pelo resultado: barragem segura, operável, monitorada e com plano de emergência.</w:t>
      </w:r>
    </w:p>
    <w:p w14:paraId="13B45B81" w14:textId="77777777" w:rsidR="001D06E1" w:rsidRDefault="00D25435">
      <w:r>
        <w:t>A União não pode se afastar do tema invocando convênios ou transferência operacional, pois a defesa permanente contra calamidades públicas, especialmente inundações, possui assento constitucional. O Estado, por sua vez, não pode limitar-se a afirmar entraves de acesso, licenciamento ou negociação indígena sem apresentar cronograma real, contratos, ordens de serviço, plano de segurança e medidas de emergência.</w:t>
      </w:r>
    </w:p>
    <w:p w14:paraId="0927194A" w14:textId="77777777" w:rsidR="001D06E1" w:rsidRDefault="00D25435">
      <w:r>
        <w:t>A omissão prolongada pode gerar responsabilidade administrativa, civil, ambiental, orçamentária e, em determinados casos, responsabilização pessoal de agentes que, cientificados do risco, deixam de praticar os atos que lhes competem. Para fins de atuação das entidades, o ponto mais relevante é exigir que o Juízo substitua promessas genéricas por obrigações objetivas, com prazos, responsáveis, sanções e fiscalização externa.</w:t>
      </w:r>
    </w:p>
    <w:p w14:paraId="3C01F2EA" w14:textId="77777777" w:rsidR="001D06E1" w:rsidRDefault="00D25435">
      <w:pPr>
        <w:pStyle w:val="Ttulo1"/>
      </w:pPr>
      <w:r>
        <w:t>10. O impacto econômico para o Vale do Itajaí e Santa Catarina</w:t>
      </w:r>
    </w:p>
    <w:p w14:paraId="31D0DC57" w14:textId="77777777" w:rsidR="001D06E1" w:rsidRDefault="00D25435">
      <w:r>
        <w:t>A Barragem Norte protege uma região que concentra população, indústria, comércio, logística, serviços, turismo, arrecadação tributária e infraestrutura portuária estratégica. O risco não é apenas de dano residencial. Uma enchente severa impacta linhas de produção, contratos de exportação, transporte rodoviário, armazenagem, estoque, máquinas, energia, telecomunicações, redes de água e esgoto, escolas, hospitais, postos de saúde, turismo e arrecadação estadual e municipal.</w:t>
      </w:r>
    </w:p>
    <w:p w14:paraId="34A1CD93" w14:textId="77777777" w:rsidR="001D06E1" w:rsidRDefault="00D25435">
      <w:r>
        <w:lastRenderedPageBreak/>
        <w:t>Os documentos analisados estimam que a bacia do Itajaí representa parcela expressiva do PIB catarinense e que um evento extremo sem funcionamento adequado da barragem poderia gerar prejuízos bilionários. Ainda que tais números devam ser refinados por estudo econômico próprio, a conclusão é evidente: o custo de recuperar e operar a barragem é irrisório quando comparado ao custo humano, social e econômico de uma grande enchente sem estrutura funcional.</w:t>
      </w:r>
    </w:p>
    <w:tbl>
      <w:tblPr>
        <w:tblStyle w:val="Tabelacomgrade"/>
        <w:tblW w:w="0" w:type="auto"/>
        <w:jc w:val="center"/>
        <w:tblLook w:val="04A0" w:firstRow="1" w:lastRow="0" w:firstColumn="1" w:lastColumn="0" w:noHBand="0" w:noVBand="1"/>
      </w:tblPr>
      <w:tblGrid>
        <w:gridCol w:w="5035"/>
        <w:gridCol w:w="5035"/>
      </w:tblGrid>
      <w:tr w:rsidR="001D06E1" w14:paraId="47E983C2" w14:textId="77777777">
        <w:trPr>
          <w:tblHeader/>
          <w:jc w:val="center"/>
        </w:trPr>
        <w:tc>
          <w:tcPr>
            <w:tcW w:w="5040" w:type="dxa"/>
            <w:shd w:val="clear" w:color="auto" w:fill="1F4E79"/>
          </w:tcPr>
          <w:p w14:paraId="3E583D52" w14:textId="77777777" w:rsidR="001D06E1" w:rsidRDefault="00D25435">
            <w:r>
              <w:rPr>
                <w:b/>
                <w:color w:val="FFFFFF"/>
                <w:sz w:val="17"/>
              </w:rPr>
              <w:t>Setor afetado</w:t>
            </w:r>
          </w:p>
        </w:tc>
        <w:tc>
          <w:tcPr>
            <w:tcW w:w="5040" w:type="dxa"/>
            <w:shd w:val="clear" w:color="auto" w:fill="1F4E79"/>
          </w:tcPr>
          <w:p w14:paraId="5A35401D" w14:textId="77777777" w:rsidR="001D06E1" w:rsidRDefault="00D25435">
            <w:r>
              <w:rPr>
                <w:b/>
                <w:color w:val="FFFFFF"/>
                <w:sz w:val="17"/>
              </w:rPr>
              <w:t>Efeito provável</w:t>
            </w:r>
          </w:p>
        </w:tc>
      </w:tr>
      <w:tr w:rsidR="001D06E1" w14:paraId="61602684" w14:textId="77777777">
        <w:trPr>
          <w:jc w:val="center"/>
        </w:trPr>
        <w:tc>
          <w:tcPr>
            <w:tcW w:w="5040" w:type="dxa"/>
            <w:shd w:val="clear" w:color="auto" w:fill="F2F6FA"/>
          </w:tcPr>
          <w:p w14:paraId="6470808B" w14:textId="77777777" w:rsidR="001D06E1" w:rsidRDefault="00D25435">
            <w:r>
              <w:rPr>
                <w:sz w:val="17"/>
              </w:rPr>
              <w:t>Indústria</w:t>
            </w:r>
          </w:p>
        </w:tc>
        <w:tc>
          <w:tcPr>
            <w:tcW w:w="5040" w:type="dxa"/>
          </w:tcPr>
          <w:p w14:paraId="4B0030E2" w14:textId="77777777" w:rsidR="001D06E1" w:rsidRDefault="00D25435">
            <w:r>
              <w:rPr>
                <w:sz w:val="17"/>
              </w:rPr>
              <w:t>Paralisação de produção, perda de máquinas, estoque, matéria-prima e contratos de fornecimento.</w:t>
            </w:r>
          </w:p>
        </w:tc>
      </w:tr>
      <w:tr w:rsidR="001D06E1" w14:paraId="553B5774" w14:textId="77777777">
        <w:trPr>
          <w:jc w:val="center"/>
        </w:trPr>
        <w:tc>
          <w:tcPr>
            <w:tcW w:w="5040" w:type="dxa"/>
            <w:shd w:val="clear" w:color="auto" w:fill="F2F6FA"/>
          </w:tcPr>
          <w:p w14:paraId="40B27CAE" w14:textId="77777777" w:rsidR="001D06E1" w:rsidRDefault="00D25435">
            <w:r>
              <w:rPr>
                <w:sz w:val="17"/>
              </w:rPr>
              <w:t>Comércio e serviços</w:t>
            </w:r>
          </w:p>
        </w:tc>
        <w:tc>
          <w:tcPr>
            <w:tcW w:w="5040" w:type="dxa"/>
          </w:tcPr>
          <w:p w14:paraId="1A65FA2D" w14:textId="77777777" w:rsidR="001D06E1" w:rsidRDefault="00D25435">
            <w:r>
              <w:rPr>
                <w:sz w:val="17"/>
              </w:rPr>
              <w:t>Fechamento temporário, perda de faturamento, inadimplemento, danos a imóveis e equipamentos.</w:t>
            </w:r>
          </w:p>
        </w:tc>
      </w:tr>
      <w:tr w:rsidR="001D06E1" w14:paraId="78557BD8" w14:textId="77777777">
        <w:trPr>
          <w:jc w:val="center"/>
        </w:trPr>
        <w:tc>
          <w:tcPr>
            <w:tcW w:w="5040" w:type="dxa"/>
            <w:shd w:val="clear" w:color="auto" w:fill="F2F6FA"/>
          </w:tcPr>
          <w:p w14:paraId="6096E570" w14:textId="77777777" w:rsidR="001D06E1" w:rsidRDefault="00D25435">
            <w:r>
              <w:rPr>
                <w:sz w:val="17"/>
              </w:rPr>
              <w:t>Logística e exportação</w:t>
            </w:r>
          </w:p>
        </w:tc>
        <w:tc>
          <w:tcPr>
            <w:tcW w:w="5040" w:type="dxa"/>
          </w:tcPr>
          <w:p w14:paraId="17ECF3E6" w14:textId="77777777" w:rsidR="001D06E1" w:rsidRDefault="00D25435">
            <w:r>
              <w:rPr>
                <w:sz w:val="17"/>
              </w:rPr>
              <w:t>Interrupção de rotas, impacto no Porto de Itajaí, atrasos contratuais e custos adicionais.</w:t>
            </w:r>
          </w:p>
        </w:tc>
      </w:tr>
      <w:tr w:rsidR="001D06E1" w14:paraId="7D96A030" w14:textId="77777777">
        <w:trPr>
          <w:jc w:val="center"/>
        </w:trPr>
        <w:tc>
          <w:tcPr>
            <w:tcW w:w="5040" w:type="dxa"/>
            <w:shd w:val="clear" w:color="auto" w:fill="F2F6FA"/>
          </w:tcPr>
          <w:p w14:paraId="027CFDA4" w14:textId="77777777" w:rsidR="001D06E1" w:rsidRDefault="00D25435">
            <w:r>
              <w:rPr>
                <w:sz w:val="17"/>
              </w:rPr>
              <w:t>Municípios</w:t>
            </w:r>
          </w:p>
        </w:tc>
        <w:tc>
          <w:tcPr>
            <w:tcW w:w="5040" w:type="dxa"/>
          </w:tcPr>
          <w:p w14:paraId="101B2CE9" w14:textId="77777777" w:rsidR="001D06E1" w:rsidRDefault="00D25435">
            <w:r>
              <w:rPr>
                <w:sz w:val="17"/>
              </w:rPr>
              <w:t>Queda de arrecadação, aumento de despesa emergencial, reconstrução de infraestrutura e assistência social.</w:t>
            </w:r>
          </w:p>
        </w:tc>
      </w:tr>
      <w:tr w:rsidR="001D06E1" w14:paraId="37AF92CE" w14:textId="77777777">
        <w:trPr>
          <w:jc w:val="center"/>
        </w:trPr>
        <w:tc>
          <w:tcPr>
            <w:tcW w:w="5040" w:type="dxa"/>
            <w:shd w:val="clear" w:color="auto" w:fill="F2F6FA"/>
          </w:tcPr>
          <w:p w14:paraId="168C5577" w14:textId="77777777" w:rsidR="001D06E1" w:rsidRDefault="00D25435">
            <w:r>
              <w:rPr>
                <w:sz w:val="17"/>
              </w:rPr>
              <w:t>População</w:t>
            </w:r>
          </w:p>
        </w:tc>
        <w:tc>
          <w:tcPr>
            <w:tcW w:w="5040" w:type="dxa"/>
          </w:tcPr>
          <w:p w14:paraId="20B76BCE" w14:textId="77777777" w:rsidR="001D06E1" w:rsidRDefault="00D25435">
            <w:r>
              <w:rPr>
                <w:sz w:val="17"/>
              </w:rPr>
              <w:t>Risco à vida, desalojamento, perda de moradia, saúde mental, interrupção escolar e prejuízo patrimonial.</w:t>
            </w:r>
          </w:p>
        </w:tc>
      </w:tr>
      <w:tr w:rsidR="001D06E1" w14:paraId="6450FCCC" w14:textId="77777777">
        <w:trPr>
          <w:jc w:val="center"/>
        </w:trPr>
        <w:tc>
          <w:tcPr>
            <w:tcW w:w="5040" w:type="dxa"/>
            <w:shd w:val="clear" w:color="auto" w:fill="F2F6FA"/>
          </w:tcPr>
          <w:p w14:paraId="659FC1EC" w14:textId="77777777" w:rsidR="001D06E1" w:rsidRDefault="00D25435">
            <w:r>
              <w:rPr>
                <w:sz w:val="17"/>
              </w:rPr>
              <w:t>Estado de SC</w:t>
            </w:r>
          </w:p>
        </w:tc>
        <w:tc>
          <w:tcPr>
            <w:tcW w:w="5040" w:type="dxa"/>
          </w:tcPr>
          <w:p w14:paraId="3CDF79D0" w14:textId="77777777" w:rsidR="001D06E1" w:rsidRDefault="00D25435">
            <w:r>
              <w:rPr>
                <w:sz w:val="17"/>
              </w:rPr>
              <w:t>Comprometimento da imagem institucional, aumento de gasto público e eventual responsabilização judicial.</w:t>
            </w:r>
          </w:p>
        </w:tc>
      </w:tr>
    </w:tbl>
    <w:p w14:paraId="11FF0EF4" w14:textId="77777777" w:rsidR="001D06E1" w:rsidRDefault="001D06E1"/>
    <w:p w14:paraId="00ED6F40" w14:textId="77777777" w:rsidR="001D06E1" w:rsidRDefault="00D25435">
      <w:pPr>
        <w:pStyle w:val="Ttulo1"/>
      </w:pPr>
      <w:r>
        <w:t>11. Por que as entidades de classe devem ingressar no processo</w:t>
      </w:r>
    </w:p>
    <w:p w14:paraId="2FD19E1A" w14:textId="77777777" w:rsidR="001D06E1" w:rsidRDefault="00D25435">
      <w:r>
        <w:t>A atuação das entidades de classe não deve se limitar a notas públicas. O processo judicial em curso define, na prática, o futuro da segurança hídrica do Vale do Itajaí. A presença formal de associações comerciais, industriais, sindicatos patronais, entidades de transporte, logística, comércio exterior e setores produtivos permite levar ao Juízo dados que o Ministério Público e os entes públicos nem sempre conseguem demonstrar com a mesma densidade econômica.</w:t>
      </w:r>
    </w:p>
    <w:p w14:paraId="17AB1999" w14:textId="77777777" w:rsidR="001D06E1" w:rsidRDefault="00D25435">
      <w:r>
        <w:t>O ingresso pode ocorrer, conforme estratégia processual, como amicus curiae, terceiro interessado ou, em situações específicas, mediante atuação associativa própria, observados os requisitos legais. O art. 138 do Código de Processo Civil permite a admissão de pessoa natural ou jurídica, órgão ou entidade especializada, com representatividade adequada, quando a matéria possui relevância, especificidade ou repercussão social. A Lei da Ação Civil Pública também reconhece papel relevante às associações, desde q</w:t>
      </w:r>
      <w:r>
        <w:t>ue preenchidos os requisitos legais.</w:t>
      </w:r>
    </w:p>
    <w:p w14:paraId="1A01D2DF" w14:textId="77777777" w:rsidR="001D06E1" w:rsidRDefault="00D25435">
      <w:r>
        <w:t>A experiência anterior de ingresso e posterior saída de entidades empresariais deve servir como alerta. Se uma entidade ingressa alegando preocupação técnica e depois recua dizendo não ter expertise, perde força institucional. A solução é formar um bloco regional de entidades, acompanhado por parecer jurídico, relatório econômico, engenheiro de barragens, especialista em defesa civil e eventualmente perito independente. A entidade não precisa ser especialista em engenharia; precisa demonstrar representativi</w:t>
      </w:r>
      <w:r>
        <w:t>dade e contratar ou indicar apoio técnico adequado.</w:t>
      </w:r>
    </w:p>
    <w:p w14:paraId="53036D65" w14:textId="77777777" w:rsidR="001D06E1" w:rsidRDefault="00D25435">
      <w:pPr>
        <w:pStyle w:val="Ttulo1"/>
      </w:pPr>
      <w:r>
        <w:t>12. Providências judiciais recomendadas</w:t>
      </w:r>
    </w:p>
    <w:tbl>
      <w:tblPr>
        <w:tblStyle w:val="Tabelacomgrade"/>
        <w:tblW w:w="0" w:type="auto"/>
        <w:jc w:val="center"/>
        <w:tblLook w:val="04A0" w:firstRow="1" w:lastRow="0" w:firstColumn="1" w:lastColumn="0" w:noHBand="0" w:noVBand="1"/>
      </w:tblPr>
      <w:tblGrid>
        <w:gridCol w:w="5035"/>
        <w:gridCol w:w="5035"/>
      </w:tblGrid>
      <w:tr w:rsidR="001D06E1" w14:paraId="31EC0363" w14:textId="77777777">
        <w:trPr>
          <w:tblHeader/>
          <w:jc w:val="center"/>
        </w:trPr>
        <w:tc>
          <w:tcPr>
            <w:tcW w:w="5040" w:type="dxa"/>
            <w:shd w:val="clear" w:color="auto" w:fill="1F4E79"/>
          </w:tcPr>
          <w:p w14:paraId="45889C9C" w14:textId="77777777" w:rsidR="001D06E1" w:rsidRDefault="00D25435">
            <w:r>
              <w:rPr>
                <w:b/>
                <w:color w:val="FFFFFF"/>
                <w:sz w:val="17"/>
              </w:rPr>
              <w:t>Medida</w:t>
            </w:r>
          </w:p>
        </w:tc>
        <w:tc>
          <w:tcPr>
            <w:tcW w:w="5040" w:type="dxa"/>
            <w:shd w:val="clear" w:color="auto" w:fill="1F4E79"/>
          </w:tcPr>
          <w:p w14:paraId="24ECF7D2" w14:textId="77777777" w:rsidR="001D06E1" w:rsidRDefault="00D25435">
            <w:r>
              <w:rPr>
                <w:b/>
                <w:color w:val="FFFFFF"/>
                <w:sz w:val="17"/>
              </w:rPr>
              <w:t>Finalidade</w:t>
            </w:r>
          </w:p>
        </w:tc>
      </w:tr>
      <w:tr w:rsidR="001D06E1" w14:paraId="6B7D8AE2" w14:textId="77777777">
        <w:trPr>
          <w:jc w:val="center"/>
        </w:trPr>
        <w:tc>
          <w:tcPr>
            <w:tcW w:w="5040" w:type="dxa"/>
            <w:shd w:val="clear" w:color="auto" w:fill="F2F6FA"/>
          </w:tcPr>
          <w:p w14:paraId="464ACD79" w14:textId="77777777" w:rsidR="001D06E1" w:rsidRDefault="00D25435">
            <w:r>
              <w:rPr>
                <w:sz w:val="17"/>
              </w:rPr>
              <w:t>Ingresso formal</w:t>
            </w:r>
          </w:p>
        </w:tc>
        <w:tc>
          <w:tcPr>
            <w:tcW w:w="5040" w:type="dxa"/>
          </w:tcPr>
          <w:p w14:paraId="3EB97300" w14:textId="77777777" w:rsidR="001D06E1" w:rsidRDefault="00D25435">
            <w:r>
              <w:rPr>
                <w:sz w:val="17"/>
              </w:rPr>
              <w:t>Peticionar nos autos requerendo admissão como amicus curiae ou terceiro interessado, demonstrando representatividade regional, impacto econômico e relevância social.</w:t>
            </w:r>
          </w:p>
        </w:tc>
      </w:tr>
      <w:tr w:rsidR="001D06E1" w14:paraId="74296C42" w14:textId="77777777">
        <w:trPr>
          <w:jc w:val="center"/>
        </w:trPr>
        <w:tc>
          <w:tcPr>
            <w:tcW w:w="5040" w:type="dxa"/>
            <w:shd w:val="clear" w:color="auto" w:fill="F2F6FA"/>
          </w:tcPr>
          <w:p w14:paraId="4A45EFAB" w14:textId="77777777" w:rsidR="001D06E1" w:rsidRDefault="00D25435">
            <w:r>
              <w:rPr>
                <w:sz w:val="17"/>
              </w:rPr>
              <w:t>Relatório econômico</w:t>
            </w:r>
          </w:p>
        </w:tc>
        <w:tc>
          <w:tcPr>
            <w:tcW w:w="5040" w:type="dxa"/>
          </w:tcPr>
          <w:p w14:paraId="78085ECA" w14:textId="77777777" w:rsidR="001D06E1" w:rsidRDefault="00D25435">
            <w:r>
              <w:rPr>
                <w:sz w:val="17"/>
              </w:rPr>
              <w:t xml:space="preserve">Juntar estudo sobre PIB, empregos, empresas, exportações, </w:t>
            </w:r>
            <w:r>
              <w:rPr>
                <w:sz w:val="17"/>
              </w:rPr>
              <w:lastRenderedPageBreak/>
              <w:t>arrecadação e cadeias produtivas expostas à falha operacional da barragem.</w:t>
            </w:r>
          </w:p>
        </w:tc>
      </w:tr>
      <w:tr w:rsidR="001D06E1" w14:paraId="495D374D" w14:textId="77777777">
        <w:trPr>
          <w:jc w:val="center"/>
        </w:trPr>
        <w:tc>
          <w:tcPr>
            <w:tcW w:w="5040" w:type="dxa"/>
            <w:shd w:val="clear" w:color="auto" w:fill="F2F6FA"/>
          </w:tcPr>
          <w:p w14:paraId="742B09FF" w14:textId="77777777" w:rsidR="001D06E1" w:rsidRDefault="00D25435">
            <w:r>
              <w:rPr>
                <w:sz w:val="17"/>
              </w:rPr>
              <w:lastRenderedPageBreak/>
              <w:t>Cronograma vinculante</w:t>
            </w:r>
          </w:p>
        </w:tc>
        <w:tc>
          <w:tcPr>
            <w:tcW w:w="5040" w:type="dxa"/>
          </w:tcPr>
          <w:p w14:paraId="322B7CBD" w14:textId="77777777" w:rsidR="001D06E1" w:rsidRDefault="00D25435">
            <w:r>
              <w:rPr>
                <w:sz w:val="17"/>
              </w:rPr>
              <w:t>Requerer que União e Estado apresentem cronograma único, com prazos, responsáveis, recursos, contratos, licenças e etapas físicas.</w:t>
            </w:r>
          </w:p>
        </w:tc>
      </w:tr>
      <w:tr w:rsidR="001D06E1" w14:paraId="75DE52DA" w14:textId="77777777">
        <w:trPr>
          <w:jc w:val="center"/>
        </w:trPr>
        <w:tc>
          <w:tcPr>
            <w:tcW w:w="5040" w:type="dxa"/>
            <w:shd w:val="clear" w:color="auto" w:fill="F2F6FA"/>
          </w:tcPr>
          <w:p w14:paraId="181F5A3E" w14:textId="77777777" w:rsidR="001D06E1" w:rsidRDefault="00D25435">
            <w:r>
              <w:rPr>
                <w:sz w:val="17"/>
              </w:rPr>
              <w:t>PAE e PSB</w:t>
            </w:r>
          </w:p>
        </w:tc>
        <w:tc>
          <w:tcPr>
            <w:tcW w:w="5040" w:type="dxa"/>
          </w:tcPr>
          <w:p w14:paraId="05D5CB21" w14:textId="77777777" w:rsidR="001D06E1" w:rsidRDefault="00D25435">
            <w:r>
              <w:rPr>
                <w:sz w:val="17"/>
              </w:rPr>
              <w:t>Requerer elaboração, apresentação e implementação imediata do PAE e do PSB, com participação de municípios, FUNAI, MPF e Defesas Civis.</w:t>
            </w:r>
          </w:p>
        </w:tc>
      </w:tr>
      <w:tr w:rsidR="001D06E1" w14:paraId="3D0C6A38" w14:textId="77777777">
        <w:trPr>
          <w:jc w:val="center"/>
        </w:trPr>
        <w:tc>
          <w:tcPr>
            <w:tcW w:w="5040" w:type="dxa"/>
            <w:shd w:val="clear" w:color="auto" w:fill="F2F6FA"/>
          </w:tcPr>
          <w:p w14:paraId="6D1D794B" w14:textId="77777777" w:rsidR="001D06E1" w:rsidRDefault="00D25435">
            <w:r>
              <w:rPr>
                <w:sz w:val="17"/>
              </w:rPr>
              <w:t>Perícia independente</w:t>
            </w:r>
          </w:p>
        </w:tc>
        <w:tc>
          <w:tcPr>
            <w:tcW w:w="5040" w:type="dxa"/>
          </w:tcPr>
          <w:p w14:paraId="1EC31514" w14:textId="77777777" w:rsidR="001D06E1" w:rsidRDefault="00D25435">
            <w:r>
              <w:rPr>
                <w:sz w:val="17"/>
              </w:rPr>
              <w:t>Requerer avaliação técnica atualizada da barragem, inclusive comportas, sistema elétrico, instrumentação, taludes, canal extravasor e segurança de acesso.</w:t>
            </w:r>
          </w:p>
        </w:tc>
      </w:tr>
      <w:tr w:rsidR="001D06E1" w14:paraId="73DF4B23" w14:textId="77777777">
        <w:trPr>
          <w:jc w:val="center"/>
        </w:trPr>
        <w:tc>
          <w:tcPr>
            <w:tcW w:w="5040" w:type="dxa"/>
            <w:shd w:val="clear" w:color="auto" w:fill="F2F6FA"/>
          </w:tcPr>
          <w:p w14:paraId="2053CAE6" w14:textId="77777777" w:rsidR="001D06E1" w:rsidRDefault="00D25435">
            <w:r>
              <w:rPr>
                <w:sz w:val="17"/>
              </w:rPr>
              <w:t>Astreintes proporcionais</w:t>
            </w:r>
          </w:p>
        </w:tc>
        <w:tc>
          <w:tcPr>
            <w:tcW w:w="5040" w:type="dxa"/>
          </w:tcPr>
          <w:p w14:paraId="499BAA41" w14:textId="77777777" w:rsidR="001D06E1" w:rsidRDefault="00D25435">
            <w:r>
              <w:rPr>
                <w:sz w:val="17"/>
              </w:rPr>
              <w:t>Requerer multa diária compatível com a gravidade do risco, podendo ser graduada por obrigação descumprida.</w:t>
            </w:r>
          </w:p>
        </w:tc>
      </w:tr>
      <w:tr w:rsidR="001D06E1" w14:paraId="4C1BA402" w14:textId="77777777">
        <w:trPr>
          <w:jc w:val="center"/>
        </w:trPr>
        <w:tc>
          <w:tcPr>
            <w:tcW w:w="5040" w:type="dxa"/>
            <w:shd w:val="clear" w:color="auto" w:fill="F2F6FA"/>
          </w:tcPr>
          <w:p w14:paraId="58528183" w14:textId="77777777" w:rsidR="001D06E1" w:rsidRDefault="00D25435">
            <w:r>
              <w:rPr>
                <w:sz w:val="17"/>
              </w:rPr>
              <w:t>Acesso permanente</w:t>
            </w:r>
          </w:p>
        </w:tc>
        <w:tc>
          <w:tcPr>
            <w:tcW w:w="5040" w:type="dxa"/>
          </w:tcPr>
          <w:p w14:paraId="703F6BE8" w14:textId="77777777" w:rsidR="001D06E1" w:rsidRDefault="00D25435">
            <w:r>
              <w:rPr>
                <w:sz w:val="17"/>
              </w:rPr>
              <w:t>Requerer protocolo judicial de acesso à barragem para operação, manutenção, inspeção e emergência, com mediação da FUNAI/MPF e garantia de segurança.</w:t>
            </w:r>
          </w:p>
        </w:tc>
      </w:tr>
      <w:tr w:rsidR="001D06E1" w14:paraId="6D475238" w14:textId="77777777">
        <w:trPr>
          <w:jc w:val="center"/>
        </w:trPr>
        <w:tc>
          <w:tcPr>
            <w:tcW w:w="5040" w:type="dxa"/>
            <w:shd w:val="clear" w:color="auto" w:fill="F2F6FA"/>
          </w:tcPr>
          <w:p w14:paraId="5B6FBCF6" w14:textId="77777777" w:rsidR="001D06E1" w:rsidRDefault="00D25435">
            <w:r>
              <w:rPr>
                <w:sz w:val="17"/>
              </w:rPr>
              <w:t>Audiência pública/conciliação</w:t>
            </w:r>
          </w:p>
        </w:tc>
        <w:tc>
          <w:tcPr>
            <w:tcW w:w="5040" w:type="dxa"/>
          </w:tcPr>
          <w:p w14:paraId="68B11A35" w14:textId="77777777" w:rsidR="001D06E1" w:rsidRDefault="00D25435">
            <w:r>
              <w:rPr>
                <w:sz w:val="17"/>
              </w:rPr>
              <w:t>Requerer audiência com União, Estado, FUNAI, Defesa Civil, municípios, comunidade indígena, entidades empresariais e órgãos de controle.</w:t>
            </w:r>
          </w:p>
        </w:tc>
      </w:tr>
      <w:tr w:rsidR="001D06E1" w14:paraId="3D248640" w14:textId="77777777">
        <w:trPr>
          <w:jc w:val="center"/>
        </w:trPr>
        <w:tc>
          <w:tcPr>
            <w:tcW w:w="5040" w:type="dxa"/>
            <w:shd w:val="clear" w:color="auto" w:fill="F2F6FA"/>
          </w:tcPr>
          <w:p w14:paraId="642A2EEB" w14:textId="77777777" w:rsidR="001D06E1" w:rsidRDefault="00D25435">
            <w:r>
              <w:rPr>
                <w:sz w:val="17"/>
              </w:rPr>
              <w:t>Prestação de contas</w:t>
            </w:r>
          </w:p>
        </w:tc>
        <w:tc>
          <w:tcPr>
            <w:tcW w:w="5040" w:type="dxa"/>
          </w:tcPr>
          <w:p w14:paraId="4156E1E3" w14:textId="77777777" w:rsidR="001D06E1" w:rsidRDefault="00D25435">
            <w:r>
              <w:rPr>
                <w:sz w:val="17"/>
              </w:rPr>
              <w:t>Requerer informação sobre recursos federais e estaduais, convênios, empenhos, contratos, pagamentos e motivos de paralisação.</w:t>
            </w:r>
          </w:p>
        </w:tc>
      </w:tr>
    </w:tbl>
    <w:p w14:paraId="3D3F1559" w14:textId="77777777" w:rsidR="001D06E1" w:rsidRDefault="001D06E1"/>
    <w:p w14:paraId="3822D7D7" w14:textId="77777777" w:rsidR="001D06E1" w:rsidRDefault="00D25435">
      <w:pPr>
        <w:pStyle w:val="Ttulo1"/>
      </w:pPr>
      <w:r>
        <w:t>13. Providências perante órgãos de controle</w:t>
      </w:r>
    </w:p>
    <w:p w14:paraId="2BBF2B26" w14:textId="77777777" w:rsidR="001D06E1" w:rsidRDefault="00D25435">
      <w:r>
        <w:t>Além da atuação judicial, recomenda-se a abertura de frentes de controle. A finalidade não é politizar o tema, mas impedir que a inércia se perpetue por meio de promessas administrativas sem execução física.</w:t>
      </w:r>
    </w:p>
    <w:tbl>
      <w:tblPr>
        <w:tblStyle w:val="Tabelacomgrade"/>
        <w:tblW w:w="0" w:type="auto"/>
        <w:jc w:val="center"/>
        <w:tblLook w:val="04A0" w:firstRow="1" w:lastRow="0" w:firstColumn="1" w:lastColumn="0" w:noHBand="0" w:noVBand="1"/>
      </w:tblPr>
      <w:tblGrid>
        <w:gridCol w:w="5035"/>
        <w:gridCol w:w="5035"/>
      </w:tblGrid>
      <w:tr w:rsidR="001D06E1" w14:paraId="2054A776" w14:textId="77777777">
        <w:trPr>
          <w:tblHeader/>
          <w:jc w:val="center"/>
        </w:trPr>
        <w:tc>
          <w:tcPr>
            <w:tcW w:w="5040" w:type="dxa"/>
            <w:shd w:val="clear" w:color="auto" w:fill="1F4E79"/>
          </w:tcPr>
          <w:p w14:paraId="5FE714B0" w14:textId="77777777" w:rsidR="001D06E1" w:rsidRDefault="00D25435">
            <w:r>
              <w:rPr>
                <w:b/>
                <w:color w:val="FFFFFF"/>
                <w:sz w:val="17"/>
              </w:rPr>
              <w:t>Órgão</w:t>
            </w:r>
          </w:p>
        </w:tc>
        <w:tc>
          <w:tcPr>
            <w:tcW w:w="5040" w:type="dxa"/>
            <w:shd w:val="clear" w:color="auto" w:fill="1F4E79"/>
          </w:tcPr>
          <w:p w14:paraId="3F119382" w14:textId="77777777" w:rsidR="001D06E1" w:rsidRDefault="00D25435">
            <w:r>
              <w:rPr>
                <w:b/>
                <w:color w:val="FFFFFF"/>
                <w:sz w:val="17"/>
              </w:rPr>
              <w:t>Providência sugerida</w:t>
            </w:r>
          </w:p>
        </w:tc>
      </w:tr>
      <w:tr w:rsidR="001D06E1" w14:paraId="6DCB082B" w14:textId="77777777">
        <w:trPr>
          <w:jc w:val="center"/>
        </w:trPr>
        <w:tc>
          <w:tcPr>
            <w:tcW w:w="5040" w:type="dxa"/>
            <w:shd w:val="clear" w:color="auto" w:fill="F2F6FA"/>
          </w:tcPr>
          <w:p w14:paraId="6AA92D69" w14:textId="77777777" w:rsidR="001D06E1" w:rsidRDefault="00D25435">
            <w:r>
              <w:rPr>
                <w:sz w:val="17"/>
              </w:rPr>
              <w:t>TCE/SC</w:t>
            </w:r>
          </w:p>
        </w:tc>
        <w:tc>
          <w:tcPr>
            <w:tcW w:w="5040" w:type="dxa"/>
          </w:tcPr>
          <w:p w14:paraId="77400349" w14:textId="77777777" w:rsidR="001D06E1" w:rsidRDefault="00D25435">
            <w:r>
              <w:rPr>
                <w:sz w:val="17"/>
              </w:rPr>
              <w:t>Representação para apurar omissões do Estado de Santa Catarina, gestão de contratos, ausência de PAE, licitações frustradas, eventuais danos ao erário e risco à população.</w:t>
            </w:r>
          </w:p>
        </w:tc>
      </w:tr>
      <w:tr w:rsidR="001D06E1" w14:paraId="24BB1531" w14:textId="77777777">
        <w:trPr>
          <w:jc w:val="center"/>
        </w:trPr>
        <w:tc>
          <w:tcPr>
            <w:tcW w:w="5040" w:type="dxa"/>
            <w:shd w:val="clear" w:color="auto" w:fill="F2F6FA"/>
          </w:tcPr>
          <w:p w14:paraId="2105552E" w14:textId="77777777" w:rsidR="001D06E1" w:rsidRDefault="00D25435">
            <w:r>
              <w:rPr>
                <w:sz w:val="17"/>
              </w:rPr>
              <w:t>TCU</w:t>
            </w:r>
          </w:p>
        </w:tc>
        <w:tc>
          <w:tcPr>
            <w:tcW w:w="5040" w:type="dxa"/>
          </w:tcPr>
          <w:p w14:paraId="64A18D6A" w14:textId="77777777" w:rsidR="001D06E1" w:rsidRDefault="00D25435">
            <w:r>
              <w:rPr>
                <w:sz w:val="17"/>
              </w:rPr>
              <w:t>Representação sobre convênios federais, recursos do MIDR, titularidade da infraestrutura e omissão da União em defesa permanente contra inundações.</w:t>
            </w:r>
          </w:p>
        </w:tc>
      </w:tr>
      <w:tr w:rsidR="001D06E1" w14:paraId="7B8DB483" w14:textId="77777777">
        <w:trPr>
          <w:jc w:val="center"/>
        </w:trPr>
        <w:tc>
          <w:tcPr>
            <w:tcW w:w="5040" w:type="dxa"/>
            <w:shd w:val="clear" w:color="auto" w:fill="F2F6FA"/>
          </w:tcPr>
          <w:p w14:paraId="3828D20B" w14:textId="77777777" w:rsidR="001D06E1" w:rsidRDefault="00D25435">
            <w:r>
              <w:rPr>
                <w:sz w:val="17"/>
              </w:rPr>
              <w:t>CGE/SC</w:t>
            </w:r>
          </w:p>
        </w:tc>
        <w:tc>
          <w:tcPr>
            <w:tcW w:w="5040" w:type="dxa"/>
          </w:tcPr>
          <w:p w14:paraId="110EB04A" w14:textId="77777777" w:rsidR="001D06E1" w:rsidRDefault="00D25435">
            <w:r>
              <w:rPr>
                <w:sz w:val="17"/>
              </w:rPr>
              <w:t>Pedido de auditoria interna sobre a governança estadual da Barragem Norte, cronograma, responsáveis e análise de risco.</w:t>
            </w:r>
          </w:p>
        </w:tc>
      </w:tr>
      <w:tr w:rsidR="001D06E1" w14:paraId="621D4F94" w14:textId="77777777">
        <w:trPr>
          <w:jc w:val="center"/>
        </w:trPr>
        <w:tc>
          <w:tcPr>
            <w:tcW w:w="5040" w:type="dxa"/>
            <w:shd w:val="clear" w:color="auto" w:fill="F2F6FA"/>
          </w:tcPr>
          <w:p w14:paraId="0652F72F" w14:textId="77777777" w:rsidR="001D06E1" w:rsidRDefault="00D25435">
            <w:r>
              <w:rPr>
                <w:sz w:val="17"/>
              </w:rPr>
              <w:t>CGU</w:t>
            </w:r>
          </w:p>
        </w:tc>
        <w:tc>
          <w:tcPr>
            <w:tcW w:w="5040" w:type="dxa"/>
          </w:tcPr>
          <w:p w14:paraId="37E187A3" w14:textId="77777777" w:rsidR="001D06E1" w:rsidRDefault="00D25435">
            <w:r>
              <w:rPr>
                <w:sz w:val="17"/>
              </w:rPr>
              <w:t>Pedido de fiscalização sobre recursos federais, convênios, atrasos, aprovações técnicas e transparência dos repasses.</w:t>
            </w:r>
          </w:p>
        </w:tc>
      </w:tr>
      <w:tr w:rsidR="001D06E1" w14:paraId="058E6F30" w14:textId="77777777">
        <w:trPr>
          <w:jc w:val="center"/>
        </w:trPr>
        <w:tc>
          <w:tcPr>
            <w:tcW w:w="5040" w:type="dxa"/>
            <w:shd w:val="clear" w:color="auto" w:fill="F2F6FA"/>
          </w:tcPr>
          <w:p w14:paraId="1982D907" w14:textId="77777777" w:rsidR="001D06E1" w:rsidRDefault="00D25435">
            <w:r>
              <w:rPr>
                <w:sz w:val="17"/>
              </w:rPr>
              <w:t>Ministério Público de Contas</w:t>
            </w:r>
          </w:p>
        </w:tc>
        <w:tc>
          <w:tcPr>
            <w:tcW w:w="5040" w:type="dxa"/>
          </w:tcPr>
          <w:p w14:paraId="4BCCA979" w14:textId="77777777" w:rsidR="001D06E1" w:rsidRDefault="00D25435">
            <w:r>
              <w:rPr>
                <w:sz w:val="17"/>
              </w:rPr>
              <w:t>Notícia de fato para acompanhamento de eventual omissão administrativa e risco de dano ao erário.</w:t>
            </w:r>
          </w:p>
        </w:tc>
      </w:tr>
      <w:tr w:rsidR="001D06E1" w14:paraId="7EF4A683" w14:textId="77777777">
        <w:trPr>
          <w:jc w:val="center"/>
        </w:trPr>
        <w:tc>
          <w:tcPr>
            <w:tcW w:w="5040" w:type="dxa"/>
            <w:shd w:val="clear" w:color="auto" w:fill="F2F6FA"/>
          </w:tcPr>
          <w:p w14:paraId="444C2AF3" w14:textId="77777777" w:rsidR="001D06E1" w:rsidRDefault="00D25435">
            <w:r>
              <w:rPr>
                <w:sz w:val="17"/>
              </w:rPr>
              <w:t>ANA/SNISB</w:t>
            </w:r>
          </w:p>
        </w:tc>
        <w:tc>
          <w:tcPr>
            <w:tcW w:w="5040" w:type="dxa"/>
          </w:tcPr>
          <w:p w14:paraId="3918940E" w14:textId="77777777" w:rsidR="001D06E1" w:rsidRDefault="00D25435">
            <w:r>
              <w:rPr>
                <w:sz w:val="17"/>
              </w:rPr>
              <w:t>Solicitação de informações sobre classificação da barragem, PSB, PAE, inspeções e registro no sistema nacional.</w:t>
            </w:r>
          </w:p>
        </w:tc>
      </w:tr>
      <w:tr w:rsidR="001D06E1" w14:paraId="0EEF39B2" w14:textId="77777777">
        <w:trPr>
          <w:jc w:val="center"/>
        </w:trPr>
        <w:tc>
          <w:tcPr>
            <w:tcW w:w="5040" w:type="dxa"/>
            <w:shd w:val="clear" w:color="auto" w:fill="F2F6FA"/>
          </w:tcPr>
          <w:p w14:paraId="0AA4F018" w14:textId="77777777" w:rsidR="001D06E1" w:rsidRDefault="00D25435">
            <w:r>
              <w:rPr>
                <w:sz w:val="17"/>
              </w:rPr>
              <w:t>Defesa Civil Nacional/MIDR</w:t>
            </w:r>
          </w:p>
        </w:tc>
        <w:tc>
          <w:tcPr>
            <w:tcW w:w="5040" w:type="dxa"/>
          </w:tcPr>
          <w:p w14:paraId="749B8FF9" w14:textId="77777777" w:rsidR="001D06E1" w:rsidRDefault="00D25435">
            <w:r>
              <w:rPr>
                <w:sz w:val="17"/>
              </w:rPr>
              <w:t>Pedido de providências emergenciais, recursos e integração ao planejamento de risco climático para 2026.</w:t>
            </w:r>
          </w:p>
        </w:tc>
      </w:tr>
    </w:tbl>
    <w:p w14:paraId="0A852D6C" w14:textId="77777777" w:rsidR="001D06E1" w:rsidRDefault="001D06E1"/>
    <w:p w14:paraId="322C2DD9" w14:textId="77777777" w:rsidR="001D06E1" w:rsidRDefault="00D25435">
      <w:pPr>
        <w:pStyle w:val="Ttulo1"/>
      </w:pPr>
      <w:r>
        <w:lastRenderedPageBreak/>
        <w:t>14. Proposta de pauta mínima das entidades</w:t>
      </w:r>
    </w:p>
    <w:p w14:paraId="63E7BEB6" w14:textId="77777777" w:rsidR="001D06E1" w:rsidRDefault="00D25435">
      <w:pPr>
        <w:pStyle w:val="Commarcadores"/>
      </w:pPr>
      <w:r>
        <w:t>A Barragem Norte deve ser reconhecida formalmente como infraestrutura crítica de segurança regional.</w:t>
      </w:r>
    </w:p>
    <w:p w14:paraId="4C8C4700" w14:textId="77777777" w:rsidR="001D06E1" w:rsidRDefault="00D25435">
      <w:pPr>
        <w:pStyle w:val="Commarcadores"/>
      </w:pPr>
      <w:r>
        <w:t>União e Estado devem apresentar cronograma integrado e vinculante para recuperação, operação e manutenção.</w:t>
      </w:r>
    </w:p>
    <w:p w14:paraId="3C8CA0A5" w14:textId="77777777" w:rsidR="001D06E1" w:rsidRDefault="00D25435">
      <w:pPr>
        <w:pStyle w:val="Commarcadores"/>
      </w:pPr>
      <w:r>
        <w:t>O PAE e o PSB devem ser elaborados, publicados e testados com urgência, incluindo comunidade indígena e municípios a jusante.</w:t>
      </w:r>
    </w:p>
    <w:p w14:paraId="79FBA504" w14:textId="77777777" w:rsidR="001D06E1" w:rsidRDefault="00D25435">
      <w:pPr>
        <w:pStyle w:val="Commarcadores"/>
      </w:pPr>
      <w:r>
        <w:t>A comunidade indígena deve ser respeitada e ouvida, mas o acesso emergencial à barragem não pode depender de negociação improvisada em cada enchente.</w:t>
      </w:r>
    </w:p>
    <w:p w14:paraId="45F68ACE" w14:textId="77777777" w:rsidR="001D06E1" w:rsidRDefault="00D25435">
      <w:pPr>
        <w:pStyle w:val="Commarcadores"/>
      </w:pPr>
      <w:r>
        <w:t>As obrigações sociais pactuadas com os indígenas devem ser cumpridas pelo poder público, para retirar o conflito do momento de crise.</w:t>
      </w:r>
    </w:p>
    <w:p w14:paraId="1E37E086" w14:textId="77777777" w:rsidR="001D06E1" w:rsidRDefault="00D25435">
      <w:pPr>
        <w:pStyle w:val="Commarcadores"/>
      </w:pPr>
      <w:r>
        <w:t>As entidades devem documentar o impacto econômico da inoperância, com dados de empregos, empresas, PIB, exportações, arrecadação e logística.</w:t>
      </w:r>
    </w:p>
    <w:p w14:paraId="60AD266E" w14:textId="77777777" w:rsidR="001D06E1" w:rsidRDefault="00D25435">
      <w:pPr>
        <w:pStyle w:val="Commarcadores"/>
      </w:pPr>
      <w:r>
        <w:t>A operação privada de 2023 deve ser formalmente documentada, demonstrando que empresários custearam meios que deveriam estar previamente organizados pelo Estado.</w:t>
      </w:r>
    </w:p>
    <w:p w14:paraId="6DA83B2D" w14:textId="77777777" w:rsidR="001D06E1" w:rsidRDefault="00D25435">
      <w:pPr>
        <w:pStyle w:val="Commarcadores"/>
      </w:pPr>
      <w:r>
        <w:t>Atos individualizados de bloqueio, dano ou impedimento de operação emergencial devem ser apurados, sem imputação coletiva à comunidade indígena.</w:t>
      </w:r>
    </w:p>
    <w:p w14:paraId="69F318CB" w14:textId="77777777" w:rsidR="001D06E1" w:rsidRDefault="00D25435">
      <w:pPr>
        <w:pStyle w:val="Commarcadores"/>
      </w:pPr>
      <w:r>
        <w:t>O processo judicial deve receber acompanhamento permanente das entidades, com assessoramento técnico e jurídico especializado.</w:t>
      </w:r>
    </w:p>
    <w:p w14:paraId="2E0B0FDE" w14:textId="77777777" w:rsidR="001D06E1" w:rsidRDefault="00D25435">
      <w:pPr>
        <w:pStyle w:val="Ttulo1"/>
      </w:pPr>
      <w:r>
        <w:t>15. Pontos probatórios a organizar antes da petição</w:t>
      </w:r>
    </w:p>
    <w:tbl>
      <w:tblPr>
        <w:tblStyle w:val="Tabelacomgrade"/>
        <w:tblW w:w="0" w:type="auto"/>
        <w:jc w:val="center"/>
        <w:tblLook w:val="04A0" w:firstRow="1" w:lastRow="0" w:firstColumn="1" w:lastColumn="0" w:noHBand="0" w:noVBand="1"/>
      </w:tblPr>
      <w:tblGrid>
        <w:gridCol w:w="5035"/>
        <w:gridCol w:w="5035"/>
      </w:tblGrid>
      <w:tr w:rsidR="001D06E1" w14:paraId="01DFD115" w14:textId="77777777">
        <w:trPr>
          <w:tblHeader/>
          <w:jc w:val="center"/>
        </w:trPr>
        <w:tc>
          <w:tcPr>
            <w:tcW w:w="5040" w:type="dxa"/>
            <w:shd w:val="clear" w:color="auto" w:fill="1F4E79"/>
          </w:tcPr>
          <w:p w14:paraId="796C959B" w14:textId="77777777" w:rsidR="001D06E1" w:rsidRDefault="00D25435">
            <w:r>
              <w:rPr>
                <w:b/>
                <w:color w:val="FFFFFF"/>
                <w:sz w:val="17"/>
              </w:rPr>
              <w:t>Tema</w:t>
            </w:r>
          </w:p>
        </w:tc>
        <w:tc>
          <w:tcPr>
            <w:tcW w:w="5040" w:type="dxa"/>
            <w:shd w:val="clear" w:color="auto" w:fill="1F4E79"/>
          </w:tcPr>
          <w:p w14:paraId="55B452F8" w14:textId="77777777" w:rsidR="001D06E1" w:rsidRDefault="00D25435">
            <w:r>
              <w:rPr>
                <w:b/>
                <w:color w:val="FFFFFF"/>
                <w:sz w:val="17"/>
              </w:rPr>
              <w:t>Documentos recomendados</w:t>
            </w:r>
          </w:p>
        </w:tc>
      </w:tr>
      <w:tr w:rsidR="001D06E1" w14:paraId="32F138C9" w14:textId="77777777">
        <w:trPr>
          <w:jc w:val="center"/>
        </w:trPr>
        <w:tc>
          <w:tcPr>
            <w:tcW w:w="5040" w:type="dxa"/>
            <w:shd w:val="clear" w:color="auto" w:fill="F2F6FA"/>
          </w:tcPr>
          <w:p w14:paraId="0264D612" w14:textId="77777777" w:rsidR="001D06E1" w:rsidRDefault="00D25435">
            <w:r>
              <w:rPr>
                <w:sz w:val="17"/>
              </w:rPr>
              <w:t>Operação de 2023</w:t>
            </w:r>
          </w:p>
        </w:tc>
        <w:tc>
          <w:tcPr>
            <w:tcW w:w="5040" w:type="dxa"/>
          </w:tcPr>
          <w:p w14:paraId="71750FEF" w14:textId="77777777" w:rsidR="001D06E1" w:rsidRDefault="00D25435">
            <w:r>
              <w:rPr>
                <w:sz w:val="17"/>
              </w:rPr>
              <w:t>Comprovantes de pagamento, notas fiscais, recibos, mensagens, fotos, vídeos, declarações dos empresários, identificação dos equipamentos e custos.</w:t>
            </w:r>
          </w:p>
        </w:tc>
      </w:tr>
      <w:tr w:rsidR="001D06E1" w14:paraId="3A7B7A7F" w14:textId="77777777">
        <w:trPr>
          <w:jc w:val="center"/>
        </w:trPr>
        <w:tc>
          <w:tcPr>
            <w:tcW w:w="5040" w:type="dxa"/>
            <w:shd w:val="clear" w:color="auto" w:fill="F2F6FA"/>
          </w:tcPr>
          <w:p w14:paraId="6B1C37AE" w14:textId="77777777" w:rsidR="001D06E1" w:rsidRDefault="00D25435">
            <w:r>
              <w:rPr>
                <w:sz w:val="17"/>
              </w:rPr>
              <w:t>G6 e entidades</w:t>
            </w:r>
          </w:p>
        </w:tc>
        <w:tc>
          <w:tcPr>
            <w:tcW w:w="5040" w:type="dxa"/>
          </w:tcPr>
          <w:p w14:paraId="3491050C" w14:textId="77777777" w:rsidR="001D06E1" w:rsidRDefault="00D25435">
            <w:r>
              <w:rPr>
                <w:sz w:val="17"/>
              </w:rPr>
              <w:t>Ata de reunião, lista de participantes, deliberações, comprovantes de arrecadação, comunicações internas e autorização para uso institucional.</w:t>
            </w:r>
          </w:p>
        </w:tc>
      </w:tr>
      <w:tr w:rsidR="001D06E1" w14:paraId="23DD3085" w14:textId="77777777">
        <w:trPr>
          <w:jc w:val="center"/>
        </w:trPr>
        <w:tc>
          <w:tcPr>
            <w:tcW w:w="5040" w:type="dxa"/>
            <w:shd w:val="clear" w:color="auto" w:fill="F2F6FA"/>
          </w:tcPr>
          <w:p w14:paraId="2E172B83" w14:textId="77777777" w:rsidR="001D06E1" w:rsidRDefault="00D25435">
            <w:r>
              <w:rPr>
                <w:sz w:val="17"/>
              </w:rPr>
              <w:t>Alimentação e apoio à segurança</w:t>
            </w:r>
          </w:p>
        </w:tc>
        <w:tc>
          <w:tcPr>
            <w:tcW w:w="5040" w:type="dxa"/>
          </w:tcPr>
          <w:p w14:paraId="49ECFE1B" w14:textId="77777777" w:rsidR="001D06E1" w:rsidRDefault="00D25435">
            <w:r>
              <w:rPr>
                <w:sz w:val="17"/>
              </w:rPr>
              <w:t>Comprovantes de fornecimento de alimentação, logística e apoio a policiais ou equipes técnicas, com cuidado para não expor dados sensíveis.</w:t>
            </w:r>
          </w:p>
        </w:tc>
      </w:tr>
      <w:tr w:rsidR="001D06E1" w14:paraId="6BCB232B" w14:textId="77777777">
        <w:trPr>
          <w:jc w:val="center"/>
        </w:trPr>
        <w:tc>
          <w:tcPr>
            <w:tcW w:w="5040" w:type="dxa"/>
            <w:shd w:val="clear" w:color="auto" w:fill="F2F6FA"/>
          </w:tcPr>
          <w:p w14:paraId="779B2891" w14:textId="77777777" w:rsidR="001D06E1" w:rsidRDefault="00D25435">
            <w:r>
              <w:rPr>
                <w:sz w:val="17"/>
              </w:rPr>
              <w:t>Comporta danificada</w:t>
            </w:r>
          </w:p>
        </w:tc>
        <w:tc>
          <w:tcPr>
            <w:tcW w:w="5040" w:type="dxa"/>
          </w:tcPr>
          <w:p w14:paraId="1670431B" w14:textId="77777777" w:rsidR="001D06E1" w:rsidRDefault="00D25435">
            <w:r>
              <w:rPr>
                <w:sz w:val="17"/>
              </w:rPr>
              <w:t>Laudos, fotos, relatórios técnicos, ofícios, manifestação da CELESC, Defesa Civil ou empresa responsável.</w:t>
            </w:r>
          </w:p>
        </w:tc>
      </w:tr>
      <w:tr w:rsidR="001D06E1" w14:paraId="1C0455B8" w14:textId="77777777">
        <w:trPr>
          <w:jc w:val="center"/>
        </w:trPr>
        <w:tc>
          <w:tcPr>
            <w:tcW w:w="5040" w:type="dxa"/>
            <w:shd w:val="clear" w:color="auto" w:fill="F2F6FA"/>
          </w:tcPr>
          <w:p w14:paraId="6B1129F2" w14:textId="77777777" w:rsidR="001D06E1" w:rsidRDefault="00D25435">
            <w:r>
              <w:rPr>
                <w:sz w:val="17"/>
              </w:rPr>
              <w:t>Ata de 2023</w:t>
            </w:r>
          </w:p>
        </w:tc>
        <w:tc>
          <w:tcPr>
            <w:tcW w:w="5040" w:type="dxa"/>
          </w:tcPr>
          <w:p w14:paraId="0C83168A" w14:textId="77777777" w:rsidR="001D06E1" w:rsidRDefault="00D25435">
            <w:r>
              <w:rPr>
                <w:sz w:val="17"/>
              </w:rPr>
              <w:t>Versões originais e protocoladas, assinaturas, metadados, registros de envio, testemunhas e eventual divergência entre versões.</w:t>
            </w:r>
          </w:p>
        </w:tc>
      </w:tr>
      <w:tr w:rsidR="001D06E1" w14:paraId="372F9EF5" w14:textId="77777777">
        <w:trPr>
          <w:jc w:val="center"/>
        </w:trPr>
        <w:tc>
          <w:tcPr>
            <w:tcW w:w="5040" w:type="dxa"/>
            <w:shd w:val="clear" w:color="auto" w:fill="F2F6FA"/>
          </w:tcPr>
          <w:p w14:paraId="6D59466A" w14:textId="77777777" w:rsidR="001D06E1" w:rsidRDefault="00D25435">
            <w:r>
              <w:rPr>
                <w:sz w:val="17"/>
              </w:rPr>
              <w:t>Impacto econômico</w:t>
            </w:r>
          </w:p>
        </w:tc>
        <w:tc>
          <w:tcPr>
            <w:tcW w:w="5040" w:type="dxa"/>
          </w:tcPr>
          <w:p w14:paraId="14EF30CB" w14:textId="77777777" w:rsidR="001D06E1" w:rsidRDefault="00D25435">
            <w:r>
              <w:rPr>
                <w:sz w:val="17"/>
              </w:rPr>
              <w:t>Dados de associados, empregos, faturamento, exportação, cargas, estoque, imóveis em área de risco, mapa de empresas atingíveis.</w:t>
            </w:r>
          </w:p>
        </w:tc>
      </w:tr>
      <w:tr w:rsidR="001D06E1" w14:paraId="7E945A4A" w14:textId="77777777">
        <w:trPr>
          <w:jc w:val="center"/>
        </w:trPr>
        <w:tc>
          <w:tcPr>
            <w:tcW w:w="5040" w:type="dxa"/>
            <w:shd w:val="clear" w:color="auto" w:fill="F2F6FA"/>
          </w:tcPr>
          <w:p w14:paraId="38F1F439" w14:textId="77777777" w:rsidR="001D06E1" w:rsidRDefault="00D25435">
            <w:r>
              <w:rPr>
                <w:sz w:val="17"/>
              </w:rPr>
              <w:t>Risco social</w:t>
            </w:r>
          </w:p>
        </w:tc>
        <w:tc>
          <w:tcPr>
            <w:tcW w:w="5040" w:type="dxa"/>
          </w:tcPr>
          <w:p w14:paraId="3532F2AB" w14:textId="77777777" w:rsidR="001D06E1" w:rsidRDefault="00D25435">
            <w:r>
              <w:rPr>
                <w:sz w:val="17"/>
              </w:rPr>
              <w:t>Relatos de moradores, fotos de enchentes, danos anteriores, mapas de inundação, dados de Defesa Civil municipal.</w:t>
            </w:r>
          </w:p>
        </w:tc>
      </w:tr>
    </w:tbl>
    <w:p w14:paraId="1C58D6B9" w14:textId="77777777" w:rsidR="001D06E1" w:rsidRDefault="001D06E1"/>
    <w:p w14:paraId="17324B34" w14:textId="77777777" w:rsidR="001D06E1" w:rsidRDefault="00D25435">
      <w:pPr>
        <w:pStyle w:val="Ttulo1"/>
      </w:pPr>
      <w:r>
        <w:t>16. Minuta de texto para envio aos empresários</w:t>
      </w:r>
    </w:p>
    <w:p w14:paraId="7F7BD51D" w14:textId="77777777" w:rsidR="001D06E1" w:rsidRDefault="00D25435">
      <w:r>
        <w:rPr>
          <w:b/>
        </w:rPr>
        <w:t xml:space="preserve">Assunto: </w:t>
      </w:r>
      <w:r>
        <w:t>Barragem Norte e segurança do Vale do Itajaí: necessidade de atuação conjunta das entidades empresariais</w:t>
      </w:r>
    </w:p>
    <w:p w14:paraId="4CABC7D3" w14:textId="77777777" w:rsidR="001D06E1" w:rsidRDefault="00D25435">
      <w:r>
        <w:t>Prezados empresários e dirigentes de entidades,</w:t>
      </w:r>
    </w:p>
    <w:p w14:paraId="751DC117" w14:textId="77777777" w:rsidR="001D06E1" w:rsidRDefault="00D25435">
      <w:r>
        <w:t xml:space="preserve">A situação da Barragem Norte, em José Boiteux, deixou de ser um tema técnico distante e passou a representar risco direto à população, às empresas, aos empregos, à logística e à economia do Vale do Itajaí. A estrutura, essencial para </w:t>
      </w:r>
      <w:r>
        <w:lastRenderedPageBreak/>
        <w:t>contenção de cheias, permanece envolvida em um processo judicial que se arrasta há décadas, com obrigações ainda pendentes, dificuldades de acesso, ausência de plano de emergência plenamente implementado e histórico de operação improvisada em momentos críticos.</w:t>
      </w:r>
    </w:p>
    <w:p w14:paraId="11858E96" w14:textId="77777777" w:rsidR="001D06E1" w:rsidRDefault="00D25435">
      <w:r>
        <w:t>Em 2023, durante episódio de chuvas intensas, a atuação da sociedade civil e de empresários da região foi decisiva para viabilizar meios materiais da operação emergencial. Essa situação não pode se repetir como regra. A proteção da vida, da produção, das cargas, do comércio e da infraestrutura regional não pode depender de improviso, boa vontade ou negociações de última hora.</w:t>
      </w:r>
    </w:p>
    <w:p w14:paraId="4BBBD474" w14:textId="77777777" w:rsidR="001D06E1" w:rsidRDefault="00D25435">
      <w:r>
        <w:t>O objetivo da mobilização não é criar conflito com a comunidade indígena, mas exigir que União e Estado cumpram suas obrigações, respeitem os direitos indígenas, garantam acesso seguro à barragem, elaborem e implementem o Plano de Ação de Emergência e apresentem cronograma real de recuperação e operação permanente.</w:t>
      </w:r>
    </w:p>
    <w:p w14:paraId="7FD2364F" w14:textId="77777777" w:rsidR="001D06E1" w:rsidRDefault="00D25435">
      <w:r>
        <w:t>Por isso, propõe-se a união das entidades representativas do Vale do Itajaí para ingresso formal no processo judicial, apresentação de dados econômicos e sociais, cobrança de providências perante os órgãos de controle e acompanhamento permanente da execução das medidas de segurança.</w:t>
      </w:r>
    </w:p>
    <w:p w14:paraId="3E7A828A" w14:textId="77777777" w:rsidR="001D06E1" w:rsidRDefault="00D25435">
      <w:r>
        <w:t>A omissão custa caro. A prevenção custa menos. O Vale do Itajaí precisa falar com unidade, serenidade e firmeza.</w:t>
      </w:r>
    </w:p>
    <w:p w14:paraId="7CEEBC20" w14:textId="77777777" w:rsidR="001D06E1" w:rsidRDefault="00D25435">
      <w:pPr>
        <w:pStyle w:val="Ttulo1"/>
      </w:pPr>
      <w:r>
        <w:t>17. Minuta de deliberação institucional</w:t>
      </w:r>
    </w:p>
    <w:p w14:paraId="6DB40937" w14:textId="77777777" w:rsidR="001D06E1" w:rsidRDefault="00D25435">
      <w:r>
        <w:t>A Diretoria da [NOME DA ENTIDADE], considerando a relevância econômica e social da Barragem Norte para a segurança da população e das atividades produtivas do Vale do Itajaí; considerando o histórico de enchentes que afetam a região; considerando a existência de processo judicial em curso perante a 1ª Vara Federal de Blumenau; considerando a necessidade de Plano de Ação de Emergência, recuperação estrutural, operação permanente e transparência quanto às responsabilidades de União e Estado de Santa Catarina;</w:t>
      </w:r>
      <w:r>
        <w:t xml:space="preserve"> delibera:</w:t>
      </w:r>
    </w:p>
    <w:p w14:paraId="2ED26AE8" w14:textId="77777777" w:rsidR="001D06E1" w:rsidRDefault="00D25435">
      <w:pPr>
        <w:pStyle w:val="Numerada"/>
      </w:pPr>
      <w:r>
        <w:t>Autorizar a contratação de assessoria jurídica para avaliar o ingresso da entidade nos autos da ACP nº 5012227-71.2018.4.04.7205/SC, na qualidade processual adequada.</w:t>
      </w:r>
    </w:p>
    <w:p w14:paraId="595C1DB9" w14:textId="77777777" w:rsidR="001D06E1" w:rsidRDefault="00D25435">
      <w:pPr>
        <w:pStyle w:val="Numerada"/>
      </w:pPr>
      <w:r>
        <w:t>Autorizar a elaboração de relatório econômico sobre os impactos potenciais da inoperância ou operação deficiente da Barragem Norte sobre os associados e a economia regional.</w:t>
      </w:r>
    </w:p>
    <w:p w14:paraId="3DED1B13" w14:textId="77777777" w:rsidR="001D06E1" w:rsidRDefault="00D25435">
      <w:pPr>
        <w:pStyle w:val="Numerada"/>
      </w:pPr>
      <w:r>
        <w:t>Autorizar o diálogo institucional com demais entidades de classe, municípios, órgãos de controle, Ministério Público, Defesa Civil, FUNAI e representantes da comunidade indígena.</w:t>
      </w:r>
    </w:p>
    <w:p w14:paraId="4C346BB6" w14:textId="77777777" w:rsidR="001D06E1" w:rsidRDefault="00D25435">
      <w:pPr>
        <w:pStyle w:val="Numerada"/>
      </w:pPr>
      <w:r>
        <w:t>Autorizar o encaminhamento de ofícios ao TCE/SC, TCU, CGE/SC, CGU, MIDR, ANA e Defesa Civil, solicitando informações e providências.</w:t>
      </w:r>
    </w:p>
    <w:p w14:paraId="12150DB8" w14:textId="77777777" w:rsidR="001D06E1" w:rsidRDefault="00D25435">
      <w:pPr>
        <w:pStyle w:val="Numerada"/>
      </w:pPr>
      <w:r>
        <w:t>Autorizar a coleta de documentos relativos à operação emergencial de 2023 e demais fatos relevantes.</w:t>
      </w:r>
    </w:p>
    <w:p w14:paraId="4CBC1533" w14:textId="77777777" w:rsidR="001D06E1" w:rsidRDefault="00D25435">
      <w:pPr>
        <w:pStyle w:val="Ttulo1"/>
      </w:pPr>
      <w:r>
        <w:t>18. Conclusão</w:t>
      </w:r>
    </w:p>
    <w:p w14:paraId="668618B2" w14:textId="77777777" w:rsidR="001D06E1" w:rsidRDefault="00D25435">
      <w:r>
        <w:t>A Barragem Norte simboliza, hoje, uma escolha pública. Ou União e Estado de Santa Catarina estruturam uma solução permanente, técnica, respeitosa e verificável, ou o Vale do Itajaí continuará submetido a ciclos de medo, improviso, disputa de responsabilidades e risco econômico bilionário.</w:t>
      </w:r>
    </w:p>
    <w:p w14:paraId="416E5655" w14:textId="77777777" w:rsidR="001D06E1" w:rsidRDefault="00D25435">
      <w:r>
        <w:t>A comunidade indígena deve ser respeitada e as obrigações sociais pactuadas devem ser cumpridas. A população a jusante também deve ser protegida. Os empresários não podem substituir o Estado a cada enchente. A polícia não pode ser chamada apenas para administrar crise. O Poder Judiciário não pode receber apenas promessas vagas. Os órgãos de controle não podem atuar depois da tragédia.</w:t>
      </w:r>
    </w:p>
    <w:p w14:paraId="40F2C369" w14:textId="77777777" w:rsidR="001D06E1" w:rsidRDefault="00D25435">
      <w:r>
        <w:t>O caminho institucional é claro: ingresso das entidades no processo, prova econômica robusta, cronograma judicial obrigatório, PAE e PSB imediatos, protocolo permanente de acesso, cumprimento das obrigações sociais com os indígenas, contratação emergencial do que for indispensável, controle externo sobre convênios e responsabilização de omissões.</w:t>
      </w:r>
    </w:p>
    <w:p w14:paraId="3C3F6664" w14:textId="77777777" w:rsidR="001D06E1" w:rsidRDefault="00D25435">
      <w:r>
        <w:lastRenderedPageBreak/>
        <w:t>Santa Catarina e o Vale do Itajaí não merecem descaso. A Barragem Norte deve voltar a ser uma estrutura de proteção, não um símbolo de abandono administrativo.</w:t>
      </w:r>
    </w:p>
    <w:p w14:paraId="6747DC99" w14:textId="77777777" w:rsidR="001D06E1" w:rsidRDefault="00D25435">
      <w:r>
        <w:br w:type="page"/>
      </w:r>
    </w:p>
    <w:p w14:paraId="4AE6C45B" w14:textId="77777777" w:rsidR="001D06E1" w:rsidRDefault="00D25435">
      <w:pPr>
        <w:pStyle w:val="Ttulo1"/>
      </w:pPr>
      <w:r>
        <w:lastRenderedPageBreak/>
        <w:t>19. Fontes e documentos de apoio</w:t>
      </w:r>
    </w:p>
    <w:p w14:paraId="1207AAAF" w14:textId="77777777" w:rsidR="001D06E1" w:rsidRDefault="00D25435">
      <w:r>
        <w:t>Documentos internos analisados:</w:t>
      </w:r>
    </w:p>
    <w:p w14:paraId="4B2BA3F6" w14:textId="77777777" w:rsidR="001D06E1" w:rsidRDefault="00D25435">
      <w:pPr>
        <w:pStyle w:val="Commarcadores"/>
      </w:pPr>
      <w:r>
        <w:t>Análise Crítica Jurídica - Processo nº 5012227-71.2018.4.04.7205/SC - Barragem Norte - José Boiteux/SC.</w:t>
      </w:r>
    </w:p>
    <w:p w14:paraId="643DEA88" w14:textId="77777777" w:rsidR="001D06E1" w:rsidRDefault="00D25435">
      <w:pPr>
        <w:pStyle w:val="Commarcadores"/>
      </w:pPr>
      <w:r>
        <w:t>Relatório Analítico - ACP nº 5012227-71.2018.4.04.7205/SC.</w:t>
      </w:r>
    </w:p>
    <w:p w14:paraId="365B5F43" w14:textId="77777777" w:rsidR="001D06E1" w:rsidRDefault="00D25435">
      <w:pPr>
        <w:pStyle w:val="Commarcadores"/>
      </w:pPr>
      <w:r>
        <w:t>Plano de Execução Imediata - Modalidades de Contratação pela Lei nº 14.133/2021 - Barragem Norte.</w:t>
      </w:r>
    </w:p>
    <w:p w14:paraId="6A6270D8" w14:textId="77777777" w:rsidR="001D06E1" w:rsidRDefault="00D25435">
      <w:pPr>
        <w:pStyle w:val="Commarcadores"/>
      </w:pPr>
      <w:r>
        <w:t>Proteção do Vale do Itajaí - A Barragem que protege 1,5 milhão de pessoas.</w:t>
      </w:r>
    </w:p>
    <w:p w14:paraId="5D8FF0B3" w14:textId="77777777" w:rsidR="001D06E1" w:rsidRDefault="00D25435">
      <w:pPr>
        <w:pStyle w:val="Commarcadores"/>
      </w:pPr>
      <w:r>
        <w:t>Análise do Processo Judicial nº 5013528-53.2018.4.04.7205/SC - Reparação de danos coletivos, culturais, materiais e morais decorrentes da Barragem Norte.</w:t>
      </w:r>
    </w:p>
    <w:p w14:paraId="7611E1E2" w14:textId="77777777" w:rsidR="001D06E1" w:rsidRDefault="00D25435">
      <w:r>
        <w:t>Fontes públicas consultadas:</w:t>
      </w:r>
    </w:p>
    <w:p w14:paraId="271399A8" w14:textId="77777777" w:rsidR="001D06E1" w:rsidRDefault="00D25435">
      <w:pPr>
        <w:pStyle w:val="Commarcadores"/>
      </w:pPr>
      <w:r>
        <w:t xml:space="preserve">Defesa Civil de Santa Catarina e EPAGRI/CIRAM. Nota Meteorológica SDC/SC e EPAGRI 14/04 - Atualizações do cenário de El Niño para o segundo semestre de 2026. Disponível em: </w:t>
      </w:r>
      <w:hyperlink r:id="rId8">
        <w:r>
          <w:rPr>
            <w:color w:val="0563C1"/>
            <w:u w:val="single"/>
          </w:rPr>
          <w:t>https://www.defesacivil.sc.gov.br/2026/04/14/nota-meteorologica-sdc-e-epagri-atualizacoes-do-cenario-de-el-nino-para-o-segundo-semestre-de-2026/</w:t>
        </w:r>
      </w:hyperlink>
    </w:p>
    <w:p w14:paraId="35FA93EE" w14:textId="77777777" w:rsidR="001D06E1" w:rsidRDefault="00D25435">
      <w:pPr>
        <w:pStyle w:val="Commarcadores"/>
      </w:pPr>
      <w:r>
        <w:t xml:space="preserve">NOAA Climate Prediction Center. ENSO Diagnostic Discussion - 9 April 2026. Disponível em: </w:t>
      </w:r>
      <w:hyperlink r:id="rId9">
        <w:r>
          <w:rPr>
            <w:color w:val="0563C1"/>
            <w:u w:val="single"/>
          </w:rPr>
          <w:t>https://www.cpc.ncep.noaa.gov/products/analysis_monitoring/enso_advisory/ensodisc.shtml</w:t>
        </w:r>
      </w:hyperlink>
    </w:p>
    <w:p w14:paraId="6909D964" w14:textId="77777777" w:rsidR="001D06E1" w:rsidRDefault="00D25435">
      <w:pPr>
        <w:pStyle w:val="Commarcadores"/>
      </w:pPr>
      <w:r>
        <w:t xml:space="preserve">World Meteorological Organization. WMO: Likelihood increases of El Niño - 24 April 2026. Disponível em: </w:t>
      </w:r>
      <w:hyperlink r:id="rId10">
        <w:r>
          <w:rPr>
            <w:color w:val="0563C1"/>
            <w:u w:val="single"/>
          </w:rPr>
          <w:t>https://wmo.int/media/news/wmo-likelihood-increases-of-el-nino</w:t>
        </w:r>
      </w:hyperlink>
    </w:p>
    <w:p w14:paraId="39E5B98E" w14:textId="77777777" w:rsidR="001D06E1" w:rsidRDefault="00D25435">
      <w:r>
        <w:t>Observação final: os trechos relativos à operação privada de 2023, ao custeio por empresários, ao papel do G6, à alimentação de policiais e à alegação de alteração posterior de ata devem ser documentalmente comprovados antes de sua utilização em peça judicial, coletiva ou representação perante órgãos de controle.</w:t>
      </w:r>
    </w:p>
    <w:sectPr w:rsidR="001D06E1"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0421D" w14:textId="77777777" w:rsidR="00D25435" w:rsidRDefault="00D25435">
      <w:pPr>
        <w:spacing w:after="0" w:line="240" w:lineRule="auto"/>
      </w:pPr>
      <w:r>
        <w:separator/>
      </w:r>
    </w:p>
  </w:endnote>
  <w:endnote w:type="continuationSeparator" w:id="0">
    <w:p w14:paraId="04C4DE97" w14:textId="77777777" w:rsidR="00D25435" w:rsidRDefault="00D25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E883" w14:textId="77777777" w:rsidR="001D06E1" w:rsidRDefault="00D25435">
    <w:pPr>
      <w:pStyle w:val="SmallCaps"/>
      <w:jc w:val="center"/>
      <w:rPr>
        <w:rFonts w:hint="eastAsia"/>
      </w:rPr>
    </w:pPr>
    <w:proofErr w:type="spellStart"/>
    <w:r>
      <w:t>Documento</w:t>
    </w:r>
    <w:proofErr w:type="spellEnd"/>
    <w:r>
      <w:t xml:space="preserve"> de </w:t>
    </w:r>
    <w:proofErr w:type="spellStart"/>
    <w:r>
      <w:t>trabalho</w:t>
    </w:r>
    <w:proofErr w:type="spellEnd"/>
    <w:r>
      <w:t xml:space="preserve"> - Abril de 2026 | Página </w:t>
    </w:r>
    <w:r>
      <w:fldChar w:fldCharType="begin"/>
    </w:r>
    <w:r>
      <w:instrText>PAGE</w:instrText>
    </w:r>
    <w:r w:rsidR="00C95D5B">
      <w:rPr>
        <w:rFonts w:hint="eastAsia"/>
      </w:rPr>
      <w:fldChar w:fldCharType="separate"/>
    </w:r>
    <w:r w:rsidR="00C95D5B">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585AC" w14:textId="77777777" w:rsidR="00D25435" w:rsidRDefault="00D25435">
      <w:pPr>
        <w:spacing w:after="0" w:line="240" w:lineRule="auto"/>
      </w:pPr>
      <w:r>
        <w:separator/>
      </w:r>
    </w:p>
  </w:footnote>
  <w:footnote w:type="continuationSeparator" w:id="0">
    <w:p w14:paraId="55D4D3FF" w14:textId="77777777" w:rsidR="00D25435" w:rsidRDefault="00D254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BE74" w14:textId="77777777" w:rsidR="001D06E1" w:rsidRDefault="00D25435">
    <w:pPr>
      <w:pStyle w:val="SmallCaps"/>
      <w:jc w:val="right"/>
      <w:rPr>
        <w:rFonts w:hint="eastAsia"/>
      </w:rPr>
    </w:pPr>
    <w:proofErr w:type="spellStart"/>
    <w:r>
      <w:t>Barragem</w:t>
    </w:r>
    <w:proofErr w:type="spellEnd"/>
    <w:r>
      <w:t xml:space="preserve"> Norte - Vale do </w:t>
    </w:r>
    <w:proofErr w:type="spellStart"/>
    <w:r>
      <w:t>Itajaí</w:t>
    </w:r>
    <w:proofErr w:type="spellEnd"/>
    <w:r>
      <w:t xml:space="preserve"> | </w:t>
    </w:r>
    <w:proofErr w:type="spellStart"/>
    <w:r>
      <w:t>Documento</w:t>
    </w:r>
    <w:proofErr w:type="spellEnd"/>
    <w:r>
      <w:t xml:space="preserve"> </w:t>
    </w:r>
    <w:proofErr w:type="spellStart"/>
    <w:r>
      <w:t>técnico-jurídico</w:t>
    </w:r>
    <w:proofErr w:type="spellEnd"/>
    <w:r>
      <w:t xml:space="preserve"> para </w:t>
    </w:r>
    <w:proofErr w:type="spellStart"/>
    <w:r>
      <w:t>entidades</w:t>
    </w:r>
    <w:proofErr w:type="spellEnd"/>
    <w:r>
      <w:t xml:space="preserve"> </w:t>
    </w:r>
    <w:proofErr w:type="spellStart"/>
    <w:r>
      <w:t>representativas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12106398">
    <w:abstractNumId w:val="8"/>
  </w:num>
  <w:num w:numId="2" w16cid:durableId="1122647765">
    <w:abstractNumId w:val="6"/>
  </w:num>
  <w:num w:numId="3" w16cid:durableId="608046722">
    <w:abstractNumId w:val="5"/>
  </w:num>
  <w:num w:numId="4" w16cid:durableId="1501963054">
    <w:abstractNumId w:val="4"/>
  </w:num>
  <w:num w:numId="5" w16cid:durableId="107816030">
    <w:abstractNumId w:val="7"/>
  </w:num>
  <w:num w:numId="6" w16cid:durableId="955721386">
    <w:abstractNumId w:val="3"/>
  </w:num>
  <w:num w:numId="7" w16cid:durableId="392312925">
    <w:abstractNumId w:val="2"/>
  </w:num>
  <w:num w:numId="8" w16cid:durableId="24525659">
    <w:abstractNumId w:val="1"/>
  </w:num>
  <w:num w:numId="9" w16cid:durableId="119291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6E1"/>
    <w:rsid w:val="0029639D"/>
    <w:rsid w:val="00326F90"/>
    <w:rsid w:val="00AA1D8D"/>
    <w:rsid w:val="00B3319B"/>
    <w:rsid w:val="00B47730"/>
    <w:rsid w:val="00C95D5B"/>
    <w:rsid w:val="00CB0664"/>
    <w:rsid w:val="00D254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8CB67"/>
  <w14:defaultImageDpi w14:val="300"/>
  <w15:docId w15:val="{B75481C4-B517-4621-B3DA-2C92B2697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Ttulo1">
    <w:name w:val="heading 1"/>
    <w:basedOn w:val="Normal"/>
    <w:next w:val="Normal"/>
    <w:link w:val="Ttulo1Char"/>
    <w:uiPriority w:val="9"/>
    <w:qFormat/>
    <w:rsid w:val="00FC693F"/>
    <w:pPr>
      <w:keepNext/>
      <w:keepLines/>
      <w:spacing w:before="240" w:after="160"/>
      <w:outlineLvl w:val="0"/>
    </w:pPr>
    <w:rPr>
      <w:rFonts w:asciiTheme="majorHAnsi" w:eastAsiaTheme="majorEastAsia" w:hAnsiTheme="majorHAnsi" w:cstheme="majorBidi"/>
      <w:b/>
      <w:bCs/>
      <w:color w:val="1F4E79"/>
      <w:sz w:val="34"/>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1F4E79"/>
      <w:sz w:val="27"/>
      <w:szCs w:val="26"/>
    </w:rPr>
  </w:style>
  <w:style w:type="paragraph" w:styleId="Ttulo3">
    <w:name w:val="heading 3"/>
    <w:basedOn w:val="Normal"/>
    <w:next w:val="Normal"/>
    <w:link w:val="Ttulo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rPr>
      <w:rFonts w:ascii="Aptos" w:hAnsi="Aptos"/>
      <w:color w:val="64646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fesacivil.sc.gov.br/2026/04/14/nota-meteorologica-sdc-e-epagri-atualizacoes-do-cenario-de-el-nino-para-o-segundo-semestre-de-202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mo.int/media/news/wmo-likelihood-increases-of-el-nino" TargetMode="External"/><Relationship Id="rId4" Type="http://schemas.openxmlformats.org/officeDocument/2006/relationships/settings" Target="settings.xml"/><Relationship Id="rId9" Type="http://schemas.openxmlformats.org/officeDocument/2006/relationships/hyperlink" Target="https://www.cpc.ncep.noaa.gov/products/analysis_monitoring/enso_advisory/ensodisc.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4294965838</TotalTime>
  <Pages>13</Pages>
  <Words>5524</Words>
  <Characters>29831</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Barragem Norte - Documento às entidades do Vale do Itajaí</dc:title>
  <dc:subject>Segurança hídrica, responsabilidade pública e atuação de entidades</dc:subject>
  <dc:creator>Claudio Camargo Advocacia e Consultoria</dc:creator>
  <cp:keywords>Barragem Norte, Vale do Itajaí, defesa civil, direito indígena, PAE, entidades empresariais</cp:keywords>
  <dc:description>generated by python-docx</dc:description>
  <cp:lastModifiedBy>Claudio Camargo</cp:lastModifiedBy>
  <cp:revision>2</cp:revision>
  <dcterms:created xsi:type="dcterms:W3CDTF">2026-05-05T12:32:00Z</dcterms:created>
  <dcterms:modified xsi:type="dcterms:W3CDTF">2026-05-05T12:32:00Z</dcterms:modified>
  <cp:category/>
</cp:coreProperties>
</file>