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Times New Roman" w:cs="Times New Roman" w:eastAsia="Times New Roman" w:hAnsi="Times New Roman"/>
          <w:b/>
          <w:bCs/>
          <w:i w:val="false"/>
          <w:iCs w:val="false"/>
          <w:caps/>
          <w:color w:val="1F3864"/>
          <w:sz w:val="36"/>
          <w:szCs w:val="36"/>
        </w:rPr>
        <w:t xml:space="preserve">DOSSIÊ TÉCNICO-JURÍDICO</w:t>
      </w:r>
    </w:p>
    <w:p>
      <w:pPr>
        <w:spacing w:after="80" w:before="0"/>
        <w:jc w:val="center"/>
      </w:pPr>
      <w:r>
        <w:rPr>
          <w:rFonts w:ascii="Times New Roman" w:cs="Times New Roman" w:eastAsia="Times New Roman" w:hAnsi="Times New Roman"/>
          <w:b/>
          <w:bCs/>
          <w:i w:val="false"/>
          <w:iCs w:val="false"/>
          <w:caps w:val="false"/>
          <w:color w:val="1F3864"/>
          <w:sz w:val="32"/>
          <w:szCs w:val="32"/>
        </w:rPr>
        <w:t xml:space="preserve">BARRAGEM NORTE — VALE DO ITAJAÍ</w:t>
      </w:r>
    </w:p>
    <w:p>
      <w:pPr>
        <w:spacing w:after="0" w:before="0"/>
        <w:jc w:val="center"/>
      </w:pPr>
      <w:r>
        <w:rPr>
          <w:rFonts w:ascii="Times New Roman" w:cs="Times New Roman" w:eastAsia="Times New Roman" w:hAnsi="Times New Roman"/>
          <w:b w:val="false"/>
          <w:bCs w:val="false"/>
          <w:i/>
          <w:iCs/>
          <w:caps w:val="false"/>
          <w:color w:val="4A4A4A"/>
          <w:sz w:val="24"/>
          <w:szCs w:val="24"/>
        </w:rPr>
        <w:t xml:space="preserve">Infraestrutura crítica, governança pública e risco regional de enchentes</w:t>
      </w:r>
    </w:p>
    <w:p>
      <w:pPr>
        <w:spacing w:after="60" w:before="0"/>
      </w:pPr>
      <w:r>
        <w:rPr>
          <w:sz w:val="8"/>
          <w:szCs w:val="8"/>
        </w:rPr>
        <w:t xml:space="preserve"/>
      </w:r>
    </w:p>
    <w:p>
      <w:pPr>
        <w:pBdr>
          <w:bottom w:val="single" w:color="1F3864" w:sz="12" w:space="1"/>
        </w:pBdr>
        <w:spacing w:after="160" w:before="120"/>
      </w:pPr>
      <w:r>
        <w:rPr>
          <w:rFonts w:ascii="Times New Roman" w:cs="Times New Roman" w:eastAsia="Times New Roman" w:hAnsi="Times New Roman"/>
          <w:b w:val="false"/>
          <w:bCs w:val="false"/>
          <w:i w:val="false"/>
          <w:iCs w:val="false"/>
          <w:caps w:val="false"/>
          <w:color w:val="1A1A1A"/>
          <w:sz w:val="4"/>
          <w:szCs w:val="4"/>
        </w:rPr>
        <w:t xml:space="preserve"/>
      </w:r>
    </w:p>
    <w:p>
      <w:pPr>
        <w:spacing w:after="40" w:before="80"/>
        <w:jc w:val="center"/>
      </w:pPr>
      <w:r>
        <w:rPr>
          <w:rFonts w:ascii="Times New Roman" w:cs="Times New Roman" w:eastAsia="Times New Roman" w:hAnsi="Times New Roman"/>
          <w:b w:val="false"/>
          <w:bCs w:val="false"/>
          <w:i w:val="false"/>
          <w:iCs w:val="false"/>
          <w:caps w:val="false"/>
          <w:color w:val="4A4A4A"/>
          <w:sz w:val="21"/>
          <w:szCs w:val="21"/>
        </w:rPr>
        <w:t xml:space="preserve">Processo de referência: ACP nº 5012227-71.2018.4.04.7205/SC — 1ª Vara Federal de Blumenau/SC — TRF 4ª Região</w:t>
      </w:r>
    </w:p>
    <w:p>
      <w:pPr>
        <w:spacing w:after="40" w:before="0"/>
        <w:jc w:val="center"/>
      </w:pPr>
      <w:r>
        <w:rPr>
          <w:rFonts w:ascii="Times New Roman" w:cs="Times New Roman" w:eastAsia="Times New Roman" w:hAnsi="Times New Roman"/>
          <w:b w:val="false"/>
          <w:bCs w:val="false"/>
          <w:i w:val="false"/>
          <w:iCs w:val="false"/>
          <w:caps w:val="false"/>
          <w:color w:val="4A4A4A"/>
          <w:sz w:val="21"/>
          <w:szCs w:val="21"/>
        </w:rPr>
        <w:t xml:space="preserve">Processo conexo: ACP nº 5013528-53.2018.4.04.7205/SC — 1ª Vara Federal de Blumenau/SC</w:t>
      </w:r>
    </w:p>
    <w:p>
      <w:pPr>
        <w:spacing w:after="0" w:before="0"/>
        <w:jc w:val="center"/>
      </w:pPr>
      <w:r>
        <w:rPr>
          <w:rFonts w:ascii="Times New Roman" w:cs="Times New Roman" w:eastAsia="Times New Roman" w:hAnsi="Times New Roman"/>
          <w:b w:val="false"/>
          <w:bCs w:val="false"/>
          <w:i w:val="false"/>
          <w:iCs w:val="false"/>
          <w:caps w:val="false"/>
          <w:color w:val="4A4A4A"/>
          <w:sz w:val="21"/>
          <w:szCs w:val="21"/>
        </w:rPr>
        <w:t xml:space="preserve">Vale do Itajaí, Santa Catarina — Abril de 2026</w:t>
      </w:r>
    </w:p>
    <w:p>
      <w:pPr>
        <w:pageBreakBefore/>
        <w:pBdr>
          <w:bottom w:val="single" w:color="1F3864" w:sz="10" w:space="4"/>
        </w:pBdr>
        <w:spacing w:after="120" w:before="280"/>
      </w:pPr>
      <w:r>
        <w:rPr>
          <w:rFonts w:ascii="Times New Roman" w:cs="Times New Roman" w:eastAsia="Times New Roman" w:hAnsi="Times New Roman"/>
          <w:b/>
          <w:bCs/>
          <w:i w:val="false"/>
          <w:iCs w:val="false"/>
          <w:caps w:val="false"/>
          <w:color w:val="1F3864"/>
          <w:sz w:val="28"/>
          <w:szCs w:val="28"/>
        </w:rPr>
        <w:t xml:space="preserve">  </w:t>
      </w:r>
      <w:r>
        <w:rPr>
          <w:rFonts w:ascii="Times New Roman" w:cs="Times New Roman" w:eastAsia="Times New Roman" w:hAnsi="Times New Roman"/>
          <w:b/>
          <w:bCs/>
          <w:i w:val="false"/>
          <w:iCs w:val="false"/>
          <w:caps w:val="false"/>
          <w:color w:val="1F3864"/>
          <w:sz w:val="26"/>
          <w:szCs w:val="26"/>
        </w:rPr>
        <w:t xml:space="preserve">ABERTURA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Barragem Norte é infraestrutura crítica de proteção regional. O que acontece em José Boiteux determina o que acontece em Blumenau, Itajaí e no Porto.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barragem foi construída pelo Governo Federal nos anos 1980, após as enchentes de 1983 e 1984. Sua finalidade é uma só: reter o volume de água do Rio Hercílio antes que ele alcance os municípios rio abaixo. Com 358 milhões de metros cúbicos de capacidade de reservação, ela pode reduzir em até dois metros o nível das cheias nas cidades a jusante. Dois metros que fazem diferença entre bairros molhados e bairros destruídos.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problema não é a estrutura. A estrutura existe. O problema é que ela está inoperante desde 2014. Sem operador. Sem comportas funcionando. Sem sistema elétrico. Sem Plano de Ação de Emergência. Uma barragem que existe fisicamente, mas que não funciona como serviço público de segurança.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Este dossiê documenta essa situação. Não é uma narrativa de denúncia. É um registro técnico e jurídico de fatos verificáveis, decisões judiciais definitivas, laudos assinados e convênios com número de registro. Cada afirmação aqui tem fonte identificada nas referências.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documento foi elaborado para uso processual e institucional — ingresso nos autos como amicus curiae ou terceiro interessado, apresentação a lideranças empresariais e políticas do Vale do Itajaí, e pressão organizada sobre os entes públicos responsáveis pelo cumprimento das obrigações judicialmente impostas.</w:t>
      </w:r>
    </w:p>
    <w:p>
      <w:pPr>
        <w:pageBreakBefore/>
        <w:pBdr>
          <w:bottom w:val="single" w:color="1F3864" w:sz="10" w:space="4"/>
        </w:pBdr>
        <w:spacing w:after="120" w:before="280"/>
      </w:pPr>
      <w:r>
        <w:rPr>
          <w:rFonts w:ascii="Times New Roman" w:cs="Times New Roman" w:eastAsia="Times New Roman" w:hAnsi="Times New Roman"/>
          <w:b/>
          <w:bCs/>
          <w:i w:val="false"/>
          <w:iCs w:val="false"/>
          <w:caps w:val="false"/>
          <w:color w:val="1F3864"/>
          <w:sz w:val="28"/>
          <w:szCs w:val="28"/>
        </w:rPr>
        <w:t xml:space="preserve">  </w:t>
      </w:r>
      <w:r>
        <w:rPr>
          <w:rFonts w:ascii="Times New Roman" w:cs="Times New Roman" w:eastAsia="Times New Roman" w:hAnsi="Times New Roman"/>
          <w:b/>
          <w:bCs/>
          <w:i w:val="false"/>
          <w:iCs w:val="false"/>
          <w:caps w:val="false"/>
          <w:color w:val="1F3864"/>
          <w:sz w:val="26"/>
          <w:szCs w:val="26"/>
        </w:rPr>
        <w:t xml:space="preserve">SUMÁRIO EXECUTIVO</w:t>
      </w:r>
    </w:p>
    <w:p>
      <w:pPr>
        <w:spacing w:after="80" w:before="200"/>
      </w:pPr>
      <w:r>
        <w:rPr>
          <w:rFonts w:ascii="Times New Roman" w:cs="Times New Roman" w:eastAsia="Times New Roman" w:hAnsi="Times New Roman"/>
          <w:b/>
          <w:bCs/>
          <w:i w:val="false"/>
          <w:iCs w:val="false"/>
          <w:caps w:val="false"/>
          <w:color w:val="2E5FA3"/>
          <w:sz w:val="24"/>
          <w:szCs w:val="24"/>
        </w:rPr>
        <w:t xml:space="preserve">1.  </w:t>
      </w:r>
      <w:r>
        <w:rPr>
          <w:rFonts w:ascii="Times New Roman" w:cs="Times New Roman" w:eastAsia="Times New Roman" w:hAnsi="Times New Roman"/>
          <w:b/>
          <w:bCs/>
          <w:i w:val="false"/>
          <w:iCs w:val="false"/>
          <w:caps w:val="false"/>
          <w:color w:val="2E5FA3"/>
          <w:sz w:val="24"/>
          <w:szCs w:val="24"/>
        </w:rPr>
        <w:t xml:space="preserve">Síntese do problema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Barragem Norte, localizada no município de José Boiteux/SC, está inoperante desde 2014. A estrutura perdeu seus componentes hidráulicos, elétricos e mecânicos durante a ocupação pela comunidade indígena Xokleng/Laklãnõ naquele ano. Em mais de uma década, os governos federal e estadual não concluíram a recuperação da estrutura, descumpriram sentença judicial transitada em julgado desde 2010 e anularam a única licitação efetivamente lançada, em 2023, por falha elementar de publicidade.</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2.  </w:t>
      </w:r>
      <w:r>
        <w:rPr>
          <w:rFonts w:ascii="Times New Roman" w:cs="Times New Roman" w:eastAsia="Times New Roman" w:hAnsi="Times New Roman"/>
          <w:b/>
          <w:bCs/>
          <w:i w:val="false"/>
          <w:iCs w:val="false"/>
          <w:caps w:val="false"/>
          <w:color w:val="2E5FA3"/>
          <w:sz w:val="24"/>
          <w:szCs w:val="24"/>
        </w:rPr>
        <w:t xml:space="preserve">Risco regional identificado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bacia hidrográfica do Rio Itajaí concentra mais de 1,3 milhão de habitantes em 16 municípios diretamente expostos a enchentes. O PIB da região ultrapassa R$ 80 bilhões — entre 20 e 25% da economia catarinense. A Barragem Norte é a estrutura central de proteção desse território. Sem ela operante, um evento hidrológico equivalente ao de 2008 produziria danos estimados entre R$ 10 e R$ 18 bilhões, conforme projeção baseada nos custos históricos atualizados.</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3.  </w:t>
      </w:r>
      <w:r>
        <w:rPr>
          <w:rFonts w:ascii="Times New Roman" w:cs="Times New Roman" w:eastAsia="Times New Roman" w:hAnsi="Times New Roman"/>
          <w:b/>
          <w:bCs/>
          <w:i w:val="false"/>
          <w:iCs w:val="false"/>
          <w:caps w:val="false"/>
          <w:color w:val="2E5FA3"/>
          <w:sz w:val="24"/>
          <w:szCs w:val="24"/>
        </w:rPr>
        <w:t xml:space="preserve">Principais falhas de governança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extinção do DNOS em 1990 inaugurou um vazio institucional que nenhum ente público quis preencher. União e Estado passaram décadas disputando quem era responsável pela operação e pela manutenção, enquanto a estrutura se deteriorava. O resultado está documentado no Laudo Hydros de agosto de 2021: nível de perigo classificado como 'Atenção', com ao menos uma anomalia em nível 'Alerta'. Em outubro de 2023, o vertedouro da barragem transbordou pela primeira vez na história.</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4.  </w:t>
      </w:r>
      <w:r>
        <w:rPr>
          <w:rFonts w:ascii="Times New Roman" w:cs="Times New Roman" w:eastAsia="Times New Roman" w:hAnsi="Times New Roman"/>
          <w:b/>
          <w:bCs/>
          <w:i w:val="false"/>
          <w:iCs w:val="false"/>
          <w:caps w:val="false"/>
          <w:color w:val="2E5FA3"/>
          <w:sz w:val="24"/>
          <w:szCs w:val="24"/>
        </w:rPr>
        <w:t xml:space="preserve">Obrigações públicas pendentes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sentença transitada em julgado em 2010 impôs 26 obrigações de fazer a União e ao Estado de Santa Catarina. Em abril de 2026, nenhuma delas foi integralmente cumprida em relação à Barragem Norte. A multa diária de R$ 500,00 por réu acumula mais de R$ 3 milhões por ente desde o vencimento do prazo em 2020 — sem que tenha sido efetivamente executada. Os convênios federais assinados em 2019 para financiar a reforma chegaram a 2025 sem que a licitação fosse concluída.</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5.  </w:t>
      </w:r>
      <w:r>
        <w:rPr>
          <w:rFonts w:ascii="Times New Roman" w:cs="Times New Roman" w:eastAsia="Times New Roman" w:hAnsi="Times New Roman"/>
          <w:b/>
          <w:bCs/>
          <w:i w:val="false"/>
          <w:iCs w:val="false"/>
          <w:caps w:val="false"/>
          <w:color w:val="2E5FA3"/>
          <w:sz w:val="24"/>
          <w:szCs w:val="24"/>
        </w:rPr>
        <w:t xml:space="preserve">Medidas urgentes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Regularizar a operação da barragem com equipe técnica permanente. Concluir a recuperação estrutural. Elaborar o Plano de Segurança da Barragem e o Plano de Ação de Emergência. Integrar os planos municipais de contingência dos municípios a jusante. Criar instância regional de acompanhamento. Requerer nos autos a majoração das astreintes para valor que produza efeito coercitivo real sobre entes da federação.</w:t>
      </w:r>
    </w:p>
    <w:p>
      <w:pPr>
        <w:pageBreakBefore/>
        <w:pBdr>
          <w:bottom w:val="single" w:color="1F3864" w:sz="10" w:space="4"/>
        </w:pBdr>
        <w:spacing w:after="120" w:before="280"/>
      </w:pPr>
      <w:r>
        <w:rPr>
          <w:rFonts w:ascii="Times New Roman" w:cs="Times New Roman" w:eastAsia="Times New Roman" w:hAnsi="Times New Roman"/>
          <w:b/>
          <w:bCs/>
          <w:i w:val="false"/>
          <w:iCs w:val="false"/>
          <w:caps w:val="false"/>
          <w:color w:val="1F3864"/>
          <w:sz w:val="28"/>
          <w:szCs w:val="28"/>
        </w:rPr>
        <w:t xml:space="preserve">1  </w:t>
      </w:r>
      <w:r>
        <w:rPr>
          <w:rFonts w:ascii="Times New Roman" w:cs="Times New Roman" w:eastAsia="Times New Roman" w:hAnsi="Times New Roman"/>
          <w:b/>
          <w:bCs/>
          <w:i w:val="false"/>
          <w:iCs w:val="false"/>
          <w:caps w:val="false"/>
          <w:color w:val="1F3864"/>
          <w:sz w:val="26"/>
          <w:szCs w:val="26"/>
        </w:rPr>
        <w:t xml:space="preserve">A BARRAGEM NORTE E SUA FUNÇÃO ESTRATÉGICA</w:t>
      </w:r>
    </w:p>
    <w:p>
      <w:pPr>
        <w:spacing w:after="80" w:before="200"/>
      </w:pPr>
      <w:r>
        <w:rPr>
          <w:rFonts w:ascii="Times New Roman" w:cs="Times New Roman" w:eastAsia="Times New Roman" w:hAnsi="Times New Roman"/>
          <w:b/>
          <w:bCs/>
          <w:i w:val="false"/>
          <w:iCs w:val="false"/>
          <w:caps w:val="false"/>
          <w:color w:val="2E5FA3"/>
          <w:sz w:val="24"/>
          <w:szCs w:val="24"/>
        </w:rPr>
        <w:t xml:space="preserve">1.1  </w:t>
      </w:r>
      <w:r>
        <w:rPr>
          <w:rFonts w:ascii="Times New Roman" w:cs="Times New Roman" w:eastAsia="Times New Roman" w:hAnsi="Times New Roman"/>
          <w:b/>
          <w:bCs/>
          <w:i w:val="false"/>
          <w:iCs w:val="false"/>
          <w:caps w:val="false"/>
          <w:color w:val="2E5FA3"/>
          <w:sz w:val="24"/>
          <w:szCs w:val="24"/>
        </w:rPr>
        <w:t xml:space="preserve">Finalidade, localização e papel no sistema integrado Norte, Sul e Oeste</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Barragem Norte fica no Rio Hercílio, no município de José Boiteux/SC, a aproximadamente 160 quilômetros de Blumenau. Foi construída pelo extinto Departamento Nacional de Obras e Saneamento — DNOS — entre os anos 1970 e 1980, junto com as Barragens Sul (Ituporanga) e Oeste (Taió). As três formam um sistema integrado de controle de cheias na bacia do Rio Itajaí-Açu.</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Cada barragem cobre uma sub-bacia específica. A Barragem Sul controla o Rio Itajaí do Sul. A Barragem Oeste, o Rio Itajaí do Oeste. A Barragem Norte é responsável pelo Rio Itajaí do Norte — o maior deles, com bacia de contribuição de aproximadamente 3.100 km². É também a que tem maior capacidade de reservação e, por isso, a mais relevante para a proteção dos municípios do Médio e Baixo Vale.</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sistema foi projetado para funcionar de forma integrada: as três barragens são operadas de modo coordenado para atenuar os picos de cheia e reduzir os níveis do Rio Itajaí-Açu nas cidades. Quando qualquer uma das três está inoperante, a capacidade de proteção do sistema todo diminui.</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1.2  </w:t>
      </w:r>
      <w:r>
        <w:rPr>
          <w:rFonts w:ascii="Times New Roman" w:cs="Times New Roman" w:eastAsia="Times New Roman" w:hAnsi="Times New Roman"/>
          <w:b/>
          <w:bCs/>
          <w:i w:val="false"/>
          <w:iCs w:val="false"/>
          <w:caps w:val="false"/>
          <w:color w:val="2E5FA3"/>
          <w:sz w:val="24"/>
          <w:szCs w:val="24"/>
        </w:rPr>
        <w:t xml:space="preserve">Capacidade de reservação e efeito real na redução dos picos de cheia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Barragem Norte tem capacidade de armazenamento de 358 milhões de metros cúbicos de água. Em eventos de cheia como o de 2008, a operação da barragem permite reduzir em até dois metros o nível das águas nas cidades a jusante.</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Para dimensionar o que dois metros significam na prática: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bCs/>
                <w:i w:val="false"/>
                <w:iCs w:val="false"/>
                <w:caps w:val="false"/>
                <w:color w:val="FFFFFF"/>
                <w:sz w:val="22"/>
                <w:szCs w:val="22"/>
              </w:rPr>
              <w:t xml:space="preserve">Cidade / Infraestrutura</w:t>
            </w:r>
          </w:p>
        </w:tc>
        <w:tc>
          <w:tcPr>
            <w:tcW w:type="dxa" w:w="587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bCs/>
                <w:i w:val="false"/>
                <w:iCs w:val="false"/>
                <w:caps w:val="false"/>
                <w:color w:val="FFFFFF"/>
                <w:sz w:val="22"/>
                <w:szCs w:val="22"/>
              </w:rPr>
              <w:t xml:space="preserve">O que dois metros representam</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Blumenau</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Diferença entre bairros inundados e bairros apenas alagados; entre o primeiro andar submerso ou não</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Rio do Sul</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Hospital de referência regional funcionando ou evacuado; rotas de acesso abertas ou cortadas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Porto de Itajaí</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Cais operacionais ou submersos; exportações em andamento ou paralisadas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BR-470</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Rodovia aberta ou fechada por dias; cadeia logística do Vale funcionando ou interrompida</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Ibirama e Presidente Getúlio</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Centros urbanos com risco controlado ou em situação de emergência declarada</w:t>
            </w:r>
          </w:p>
        </w:tc>
      </w:tr>
    </w:tbl>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1.3  </w:t>
      </w:r>
      <w:r>
        <w:rPr>
          <w:rFonts w:ascii="Times New Roman" w:cs="Times New Roman" w:eastAsia="Times New Roman" w:hAnsi="Times New Roman"/>
          <w:b/>
          <w:bCs/>
          <w:i w:val="false"/>
          <w:iCs w:val="false"/>
          <w:caps w:val="false"/>
          <w:color w:val="2E5FA3"/>
          <w:sz w:val="24"/>
          <w:szCs w:val="24"/>
        </w:rPr>
        <w:t xml:space="preserve">A distinção que este dossiê sustenta: barragem que existe não é o mesmo que barragem que funciona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Esse é o argumento central do documento. A Barragem Norte existe fisicamente. A estrutura de enrocamento está de pé. O que não existe é a barragem como serviço público de segurança — com operador, com comportas funcionando, com sistema elétrico ativo, com comunicação com a Defesa Civil e com Plano de Ação de Emergência.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Laudo Hydros de agosto de 2021 documenta a situação com precisão: sistema elétrico destruído; comportas com funcionamento deficiente; galeria de descarga com infiltrações; taludes tomados por vegetação arbustiva densa; ausência de sistema de vigilância; cercamento comprometido. A classificação geral é nível de perigo 'Atenção', com ao menos uma anomalia classificada em nível 'Alerta'.</w:t>
      </w:r>
    </w:p>
    <w:p>
      <w:pPr>
        <w:spacing w:after="60" w:before="0"/>
      </w:pPr>
      <w:r>
        <w:rPr>
          <w:sz w:val="8"/>
          <w:szCs w:val="8"/>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1F3864" w:sz="16"/>
              <w:left w:val="single" w:color="1F3864" w:sz="24"/>
              <w:bottom w:val="single" w:color="1F3864" w:sz="16"/>
              <w:right w:val="none" w:color="FFFFFF" w:sz="0"/>
            </w:tcBorders>
            <w:shd w:fill="F2F4F7" w:val="clear"/>
            <w:tcMar>
              <w:top w:type="dxa" w:w="100"/>
              <w:left w:type="dxa" w:w="200"/>
              <w:bottom w:type="dxa" w:w="100"/>
              <w:right w:type="dxa" w:w="120"/>
            </w:tcMar>
          </w:tcPr>
          <w:p>
            <w:pPr>
              <w:spacing w:after="40" w:before="40" w:line="320"/>
              <w:jc w:val="both"/>
            </w:pPr>
            <w:r>
              <w:rPr>
                <w:rFonts w:ascii="Times New Roman" w:cs="Times New Roman" w:eastAsia="Times New Roman" w:hAnsi="Times New Roman"/>
                <w:b/>
                <w:bCs/>
                <w:i w:val="false"/>
                <w:iCs w:val="false"/>
                <w:caps w:val="false"/>
                <w:color w:val="1A1A1A"/>
                <w:sz w:val="22"/>
                <w:szCs w:val="22"/>
              </w:rPr>
              <w:t xml:space="preserve">! DEFINIÇÃO TÉCNICA — Laudo Hydros Engenharia, agosto/2021 (DC923.RE.BN013, Rev. B):</w:t>
            </w:r>
          </w:p>
          <w:p>
            <w:pPr>
              <w:spacing w:after="40" w:before="40" w:line="320"/>
              <w:jc w:val="both"/>
            </w:pPr>
            <w:r>
              <w:rPr>
                <w:rFonts w:ascii="Times New Roman" w:cs="Times New Roman" w:eastAsia="Times New Roman" w:hAnsi="Times New Roman"/>
                <w:b w:val="false"/>
                <w:bCs w:val="false"/>
                <w:i w:val="false"/>
                <w:iCs w:val="false"/>
                <w:caps w:val="false"/>
                <w:color w:val="1A1A1A"/>
                <w:sz w:val="22"/>
                <w:szCs w:val="22"/>
              </w:rPr>
              <w:t xml:space="preserve">Nível de Perigo Global: ATENÇÃO.</w:t>
            </w:r>
          </w:p>
          <w:p>
            <w:pPr>
              <w:spacing w:after="40" w:before="40" w:line="320"/>
              <w:jc w:val="both"/>
            </w:pPr>
            <w:r>
              <w:rPr>
                <w:rFonts w:ascii="Times New Roman" w:cs="Times New Roman" w:eastAsia="Times New Roman" w:hAnsi="Times New Roman"/>
                <w:b w:val="false"/>
                <w:bCs w:val="false"/>
                <w:i w:val="false"/>
                <w:iCs w:val="false"/>
                <w:caps w:val="false"/>
                <w:color w:val="1A1A1A"/>
                <w:sz w:val="22"/>
                <w:szCs w:val="22"/>
              </w:rPr>
              <w:t xml:space="preserve">Anomalias individuais: ao menos uma classificada em nível ALERTA.</w:t>
            </w:r>
          </w:p>
          <w:p>
            <w:pPr>
              <w:spacing w:after="40" w:before="40" w:line="320"/>
              <w:jc w:val="both"/>
            </w:pPr>
            <w:r>
              <w:rPr>
                <w:rFonts w:ascii="Times New Roman" w:cs="Times New Roman" w:eastAsia="Times New Roman" w:hAnsi="Times New Roman"/>
                <w:b w:val="false"/>
                <w:bCs w:val="false"/>
                <w:i w:val="false"/>
                <w:iCs w:val="false"/>
                <w:caps w:val="false"/>
                <w:color w:val="1A1A1A"/>
                <w:sz w:val="22"/>
                <w:szCs w:val="22"/>
              </w:rPr>
              <w:t xml:space="preserve">Significado técnico do nível Atenção: o efeito conjugado das anomalias não compromete de imediato a segurança da barragem, mas, caso venha a progredir, pode comprometê-la. Deve ser controlado, monitorado ou reparado.</w:t>
            </w:r>
          </w:p>
          <w:p>
            <w:pPr>
              <w:spacing w:after="40" w:before="40" w:line="320"/>
              <w:jc w:val="both"/>
            </w:pPr>
            <w:r>
              <w:rPr>
                <w:rFonts w:ascii="Times New Roman" w:cs="Times New Roman" w:eastAsia="Times New Roman" w:hAnsi="Times New Roman"/>
                <w:b w:val="false"/>
                <w:bCs w:val="false"/>
                <w:i w:val="false"/>
                <w:iCs w:val="false"/>
                <w:caps w:val="false"/>
                <w:color w:val="1A1A1A"/>
                <w:sz w:val="22"/>
                <w:szCs w:val="22"/>
              </w:rPr>
              <w:t xml:space="preserve">Desde 2021, não há registro de implementação das recomendações principais do laudo.</w:t>
            </w:r>
          </w:p>
        </w:tc>
      </w:tr>
    </w:tbl>
    <w:p>
      <w:pPr>
        <w:pageBreakBefore/>
        <w:pBdr>
          <w:bottom w:val="single" w:color="1F3864" w:sz="10" w:space="4"/>
        </w:pBdr>
        <w:spacing w:after="120" w:before="280"/>
      </w:pPr>
      <w:r>
        <w:rPr>
          <w:rFonts w:ascii="Times New Roman" w:cs="Times New Roman" w:eastAsia="Times New Roman" w:hAnsi="Times New Roman"/>
          <w:b/>
          <w:bCs/>
          <w:i w:val="false"/>
          <w:iCs w:val="false"/>
          <w:caps w:val="false"/>
          <w:color w:val="1F3864"/>
          <w:sz w:val="28"/>
          <w:szCs w:val="28"/>
        </w:rPr>
        <w:t xml:space="preserve">2  </w:t>
      </w:r>
      <w:r>
        <w:rPr>
          <w:rFonts w:ascii="Times New Roman" w:cs="Times New Roman" w:eastAsia="Times New Roman" w:hAnsi="Times New Roman"/>
          <w:b/>
          <w:bCs/>
          <w:i w:val="false"/>
          <w:iCs w:val="false"/>
          <w:caps w:val="false"/>
          <w:color w:val="1F3864"/>
          <w:sz w:val="26"/>
          <w:szCs w:val="26"/>
        </w:rPr>
        <w:t xml:space="preserve">RISCO REGIONAL — POPULAÇÃO, ECONOMIA E SERVIÇOS ESSENCIAIS</w:t>
      </w:r>
    </w:p>
    <w:p>
      <w:pPr>
        <w:spacing w:after="80" w:before="200"/>
      </w:pPr>
      <w:r>
        <w:rPr>
          <w:rFonts w:ascii="Times New Roman" w:cs="Times New Roman" w:eastAsia="Times New Roman" w:hAnsi="Times New Roman"/>
          <w:b/>
          <w:bCs/>
          <w:i w:val="false"/>
          <w:iCs w:val="false"/>
          <w:caps w:val="false"/>
          <w:color w:val="2E5FA3"/>
          <w:sz w:val="24"/>
          <w:szCs w:val="24"/>
        </w:rPr>
        <w:t xml:space="preserve">2.1  </w:t>
      </w:r>
      <w:r>
        <w:rPr>
          <w:rFonts w:ascii="Times New Roman" w:cs="Times New Roman" w:eastAsia="Times New Roman" w:hAnsi="Times New Roman"/>
          <w:b/>
          <w:bCs/>
          <w:i w:val="false"/>
          <w:iCs w:val="false"/>
          <w:caps w:val="false"/>
          <w:color w:val="2E5FA3"/>
          <w:sz w:val="24"/>
          <w:szCs w:val="24"/>
        </w:rPr>
        <w:t xml:space="preserve">Municípios a jusante, população exposta e setores econômicos afetados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Dezesseis municípios estão diretamente na área de influência das cheias do Rio Itajaí-Açu e de seus afluentes. A população total estimada ultrapassa 1,3 milhão de habitantes.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1814"/>
        <w:gridCol w:w="5261"/>
      </w:tblGrid>
      <w:tr>
        <w:tc>
          <w:tcPr>
            <w:tcW w:type="dxa" w:w="199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bCs/>
                <w:i w:val="false"/>
                <w:iCs w:val="false"/>
                <w:caps w:val="false"/>
                <w:color w:val="FFFFFF"/>
                <w:sz w:val="21"/>
                <w:szCs w:val="21"/>
              </w:rPr>
              <w:t xml:space="preserve">Município</w:t>
            </w:r>
          </w:p>
        </w:tc>
        <w:tc>
          <w:tcPr>
            <w:tcW w:type="dxa" w:w="181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bCs/>
                <w:i w:val="false"/>
                <w:iCs w:val="false"/>
                <w:caps w:val="false"/>
                <w:color w:val="FFFFFF"/>
                <w:sz w:val="21"/>
                <w:szCs w:val="21"/>
              </w:rPr>
              <w:t xml:space="preserve">População estimada</w:t>
            </w:r>
          </w:p>
        </w:tc>
        <w:tc>
          <w:tcPr>
            <w:tcW w:type="dxa" w:w="526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bCs/>
                <w:i w:val="false"/>
                <w:iCs w:val="false"/>
                <w:caps w:val="false"/>
                <w:color w:val="FFFFFF"/>
                <w:sz w:val="21"/>
                <w:szCs w:val="21"/>
              </w:rPr>
              <w:t xml:space="preserve">Principal exposição</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Blumenau</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~380.000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Maior cidade do Vale; polo têxtil e tecnológico; histórico de enchentes devastadoras</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Itajaí</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~230.000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Porto; foz do Rio Itajaí; hub logístico e naval</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Brusque</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~140.000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Bacia do Itajaí-Mirim; polo têxtil e confecções</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Balneário Camboriú</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~140.000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Impacto indireto em eventos extremos; infraestrutura turística</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Gaspar</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~75.000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Área de risco confirmado em eventos de cheia</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Indaial</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~75.000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Margem do Rio Itajaí-Açu</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Rio do Sul</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~70.000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Centro regional de saúde, educação e comércio para o Alto Vale</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Navegantes</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~80.000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Margem direita do Itajaí; aeroporto e atividade portuária</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Timbó</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~45.000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Área de risco em eventos extremos</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Ibirama</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~20.000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Rio Itajaí do Norte — primeira cidade significativa abaixo da Barragem Norte</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Taió</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~20.000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Barragem Oeste; sistema interligado</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Presidente Getúlio</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~15.000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Rio Hercílio / Itajaí do Norte — a jusante direto da barragem</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Lontras</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~12.000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Margem do Rio Itajaí do Norte</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Apiúna</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~10.000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Rio Itajaí-Açu</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Victor Meireles</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~5.000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Região afetada em eventos extremos</w:t>
            </w:r>
          </w:p>
        </w:tc>
      </w:tr>
      <w:tr>
        <w:tc>
          <w:tcPr>
            <w:tcW w:type="dxa" w:w="1995"/>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José Boiteux</w:t>
            </w:r>
          </w:p>
        </w:tc>
        <w:tc>
          <w:tcPr>
            <w:tcW w:type="dxa" w:w="18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~5.000</w:t>
            </w:r>
          </w:p>
        </w:tc>
        <w:tc>
          <w:tcPr>
            <w:tcW w:type="dxa" w:w="52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A1A1A"/>
                <w:sz w:val="21"/>
                <w:szCs w:val="21"/>
              </w:rPr>
              <w:t xml:space="preserve">Sede da Barragem Norte; acesso direto ao Rio Hercílio</w:t>
            </w:r>
          </w:p>
        </w:tc>
      </w:tr>
    </w:tbl>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2.2  </w:t>
      </w:r>
      <w:r>
        <w:rPr>
          <w:rFonts w:ascii="Times New Roman" w:cs="Times New Roman" w:eastAsia="Times New Roman" w:hAnsi="Times New Roman"/>
          <w:b/>
          <w:bCs/>
          <w:i w:val="false"/>
          <w:iCs w:val="false"/>
          <w:caps w:val="false"/>
          <w:color w:val="2E5FA3"/>
          <w:sz w:val="24"/>
          <w:szCs w:val="24"/>
        </w:rPr>
        <w:t xml:space="preserve">Porto de Itajaí, cadeia logística e serviços que param quando o rio sobe</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Porto de Itajaí é o segundo maior porto exportador do Sul do Brasil. Em 2008, com a barragem ainda parcialmente ativa, o porto sofreu danos de R$ 200 milhões. Três dos quatro cais foram danificados. A paralisação durou meses e interrompeu a cadeia de exportação de empresas de toda a região.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PIB total da bacia do Itajaí é estimado em mais de R$ 80 bilhões, representando entre 20 e 25% da economia de Santa Catarina. Os principais polos: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bCs/>
                <w:i w:val="false"/>
                <w:iCs w:val="false"/>
                <w:caps w:val="false"/>
                <w:color w:val="FFFFFF"/>
                <w:sz w:val="22"/>
                <w:szCs w:val="22"/>
              </w:rPr>
              <w:t xml:space="preserve">Polo econômico</w:t>
            </w:r>
          </w:p>
        </w:tc>
        <w:tc>
          <w:tcPr>
            <w:tcW w:type="dxa" w:w="587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bCs/>
                <w:i w:val="false"/>
                <w:iCs w:val="false"/>
                <w:caps w:val="false"/>
                <w:color w:val="FFFFFF"/>
                <w:sz w:val="22"/>
                <w:szCs w:val="22"/>
              </w:rPr>
              <w:t xml:space="preserve">PIB estimado e atividade principal</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Itajaí</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R$ 25 bilhões — logística, porto, atividade naval e pesqueira</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Blumenau</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R$ 18,7 bilhões — têxtil, tecnologia, serviços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Brusque</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R$ 5,7 bilhões — têxtil e confecções para exportação</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Rio do Sul</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R$ 3 bilhões — serviços regionais, saúde, comércio</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Demais municípios</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Soma adicional estimada em R$ 30 bilhões — agroindústria, turismo e logística</w:t>
            </w:r>
          </w:p>
        </w:tc>
      </w:tr>
    </w:tbl>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2.3  </w:t>
      </w:r>
      <w:r>
        <w:rPr>
          <w:rFonts w:ascii="Times New Roman" w:cs="Times New Roman" w:eastAsia="Times New Roman" w:hAnsi="Times New Roman"/>
          <w:b/>
          <w:bCs/>
          <w:i w:val="false"/>
          <w:iCs w:val="false"/>
          <w:caps w:val="false"/>
          <w:color w:val="2E5FA3"/>
          <w:sz w:val="24"/>
          <w:szCs w:val="24"/>
        </w:rPr>
        <w:t xml:space="preserve">O que as enchentes históricas custaram — em vidas, em reais e em anos de recuperação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enchente de novembro de 2008 é o maior desastre natural da história de Santa Catarina. Chuvas que ultrapassaram em 700% a média histórica em 48 horas desencadearam enchentes e deslizamentos que atingiram mais de 60 municípios.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bCs/>
                <w:i w:val="false"/>
                <w:iCs w:val="false"/>
                <w:caps w:val="false"/>
                <w:color w:val="FFFFFF"/>
                <w:sz w:val="22"/>
                <w:szCs w:val="22"/>
              </w:rPr>
              <w:t xml:space="preserve">Impacto</w:t>
            </w:r>
          </w:p>
        </w:tc>
        <w:tc>
          <w:tcPr>
            <w:tcW w:type="dxa" w:w="587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bCs/>
                <w:i w:val="false"/>
                <w:iCs w:val="false"/>
                <w:caps w:val="false"/>
                <w:color w:val="FFFFFF"/>
                <w:sz w:val="22"/>
                <w:szCs w:val="22"/>
              </w:rPr>
              <w:t xml:space="preserve">Registro documentado</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Mortes</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135 confirmadas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Pessoas desalojadas ou desabrigadas</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78.707</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Municípios afetados</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Mais de 60 em Santa Catarina</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Danos em Itajaí</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R$ 1,6 bilhão — apenas na cidade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Danos totais no Estado</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Mais de R$ 3 bilhões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Porto de Itajaí</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R$ 200 milhões; 3 cais danificados; meses de paralisação</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Precipitação</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700% acima da média histórica em 48 horas</w:t>
            </w:r>
          </w:p>
        </w:tc>
      </w:tr>
    </w:tbl>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Importante: em 2008, a Barragem Norte ainda estava parcialmente operante. Os danos foram esses com alguma proteção. A projeção para um evento equivalente hoje, com a barragem completamente inoperante, estima danos entre R$ 10 e R$ 18 bilhões — considerando a valorização do patrimônio regional e a expansão das áreas urbanas desde então.</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2.4  </w:t>
      </w:r>
      <w:r>
        <w:rPr>
          <w:rFonts w:ascii="Times New Roman" w:cs="Times New Roman" w:eastAsia="Times New Roman" w:hAnsi="Times New Roman"/>
          <w:b/>
          <w:bCs/>
          <w:i w:val="false"/>
          <w:iCs w:val="false"/>
          <w:caps w:val="false"/>
          <w:color w:val="2E5FA3"/>
          <w:sz w:val="24"/>
          <w:szCs w:val="24"/>
        </w:rPr>
        <w:t xml:space="preserve">Metodologia das estimativas utilizadas neste dossiê</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As estimativas populacionais têm como base os dados do IBGE (Censo 2022 e projeções intercensitárias). Os valores de PIB municipal são referenciados nas publicações do IBGE e da FIESC. Os danos históricos de 2008 são extraídos de documentos oficiais da Defesa Civil de Santa Catarina e de registros da Prefeitura de Itajaí juntados ao processo judicial. As projeções de danos futuros utilizam como base a metodologia aplicada pelo Projeto JICA de 2011 (JICA/Nippon Koei), atualizada pela valorização nominal dos ativos desde então.</w:t>
      </w:r>
    </w:p>
    <w:p>
      <w:pPr>
        <w:pageBreakBefore/>
        <w:pBdr>
          <w:bottom w:val="single" w:color="1F3864" w:sz="10" w:space="4"/>
        </w:pBdr>
        <w:spacing w:after="120" w:before="280"/>
      </w:pPr>
      <w:r>
        <w:rPr>
          <w:rFonts w:ascii="Times New Roman" w:cs="Times New Roman" w:eastAsia="Times New Roman" w:hAnsi="Times New Roman"/>
          <w:b/>
          <w:bCs/>
          <w:i w:val="false"/>
          <w:iCs w:val="false"/>
          <w:caps w:val="false"/>
          <w:color w:val="1F3864"/>
          <w:sz w:val="28"/>
          <w:szCs w:val="28"/>
        </w:rPr>
        <w:t xml:space="preserve">3  </w:t>
      </w:r>
      <w:r>
        <w:rPr>
          <w:rFonts w:ascii="Times New Roman" w:cs="Times New Roman" w:eastAsia="Times New Roman" w:hAnsi="Times New Roman"/>
          <w:b/>
          <w:bCs/>
          <w:i w:val="false"/>
          <w:iCs w:val="false"/>
          <w:caps w:val="false"/>
          <w:color w:val="1F3864"/>
          <w:sz w:val="26"/>
          <w:szCs w:val="26"/>
        </w:rPr>
        <w:t xml:space="preserve">HISTÓRICO E CICLO DE OMISSÃO</w:t>
      </w:r>
    </w:p>
    <w:p>
      <w:pPr>
        <w:spacing w:after="80" w:before="200"/>
      </w:pPr>
      <w:r>
        <w:rPr>
          <w:rFonts w:ascii="Times New Roman" w:cs="Times New Roman" w:eastAsia="Times New Roman" w:hAnsi="Times New Roman"/>
          <w:b/>
          <w:bCs/>
          <w:i w:val="false"/>
          <w:iCs w:val="false"/>
          <w:caps w:val="false"/>
          <w:color w:val="2E5FA3"/>
          <w:sz w:val="24"/>
          <w:szCs w:val="24"/>
        </w:rPr>
        <w:t xml:space="preserve">3.1  </w:t>
      </w:r>
      <w:r>
        <w:rPr>
          <w:rFonts w:ascii="Times New Roman" w:cs="Times New Roman" w:eastAsia="Times New Roman" w:hAnsi="Times New Roman"/>
          <w:b/>
          <w:bCs/>
          <w:i w:val="false"/>
          <w:iCs w:val="false"/>
          <w:caps w:val="false"/>
          <w:color w:val="2E5FA3"/>
          <w:sz w:val="24"/>
          <w:szCs w:val="24"/>
        </w:rPr>
        <w:t xml:space="preserve">1983–1984: enchentes, construção das barragens e o primeiro abandono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As enchentes de 1983 e 1984 mataram dezenas de pessoas e causaram destruição sem precedentes na economia do Vale do Itajaí. O governo federal respondeu com a construção das três barragens de contenção de cheias. A Barragem Norte foi erguida com recursos federais, pelo DNOS, sobre território que seria incorporado à Terra Indígena Ibirama-La Klãnõ.</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As obras foram concluídas, mas o modelo de gestão nunca foi resolvido. O DNOS operava as barragens. Quando o órgão foi extinto pela Lei nº 8.029/1990, nenhum outro ente federal assumiu formalmente a responsabilidade operacional. A extinção inaugurou um vazio que persiste há 35 anos.</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3.2  </w:t>
      </w:r>
      <w:r>
        <w:rPr>
          <w:rFonts w:ascii="Times New Roman" w:cs="Times New Roman" w:eastAsia="Times New Roman" w:hAnsi="Times New Roman"/>
          <w:b/>
          <w:bCs/>
          <w:i w:val="false"/>
          <w:iCs w:val="false"/>
          <w:caps w:val="false"/>
          <w:color w:val="2E5FA3"/>
          <w:sz w:val="24"/>
          <w:szCs w:val="24"/>
        </w:rPr>
        <w:t xml:space="preserve">1986–1996: técnicos japoneses vieram, produziram relatório, fizeram oferta de financiamento. O Brasil não respondeu adequadamente</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Entre 1986 e 1988, a Agência de Cooperação Internacional do Japão — JICA — realizou estudo técnico sobre o controle de cheias na Bacia do Rio Itajaí. O relatório 'The Itajaí River Basin Flood Control Project' (1988) identificou as vulnerabilidades do sistema e apontou a Barragem Norte como peça central — não por falta de volume de reservação, que era suficiente, mas pela necessidade urgente de operação, manutenção e coordenação institucional.</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1996, o Japão foi além do diagnóstico e ofereceu empréstimo para financiar as obras estruturais recomendadas. O Governo Federal brasileiro não forneceu a garantia soberana exigida. O empréstimo não foi celebrado. O Vale ficou sem as obras e sem o financiamento.</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3.3  </w:t>
      </w:r>
      <w:r>
        <w:rPr>
          <w:rFonts w:ascii="Times New Roman" w:cs="Times New Roman" w:eastAsia="Times New Roman" w:hAnsi="Times New Roman"/>
          <w:b/>
          <w:bCs/>
          <w:i w:val="false"/>
          <w:iCs w:val="false"/>
          <w:caps w:val="false"/>
          <w:color w:val="2E5FA3"/>
          <w:sz w:val="24"/>
          <w:szCs w:val="24"/>
        </w:rPr>
        <w:t xml:space="preserve">2008: 135 mortos, R$ 3 bilhões em danos — com a barragem parcialmente ativa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desastre de novembro de 2008 aconteceu com a Barragem Norte ainda em operação parcial. A enchente foi contida em parte pela atuação da estrutura. Mesmo assim, 135 pessoas morreram e os prejuízos totais no Estado ultrapassaram R$ 3 bilhões.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Os números de 2008 são, portanto, o piso — não o teto — do que uma enchente equivalente produziria hoje, com a barragem completamente inoperante.</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3.4  </w:t>
      </w:r>
      <w:r>
        <w:rPr>
          <w:rFonts w:ascii="Times New Roman" w:cs="Times New Roman" w:eastAsia="Times New Roman" w:hAnsi="Times New Roman"/>
          <w:b/>
          <w:bCs/>
          <w:i w:val="false"/>
          <w:iCs w:val="false"/>
          <w:caps w:val="false"/>
          <w:color w:val="2E5FA3"/>
          <w:sz w:val="24"/>
          <w:szCs w:val="24"/>
        </w:rPr>
        <w:t xml:space="preserve">2011–2014: novo diagnóstico, mesmas pendências, ocupação da estrutura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2011, a JICA voltou ao Vale do Itajaí. Novo estudo, novo plano diretor, novas estimativas de custo. O relatório 'Estudo Preparatório para o Projeto de Prevenção e Mitigação de Desastres na Bacia do Rio Itajaí' (JICA/Nippon Koei, 2011) estimou o custo de proteção da bacia contra enchentes com período de retorno de 25 anos em R$ 1,025 bilhão. O plano não foi implementado.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2014, membros da comunidade indígena Xokleng/Laklãnõ ocuparam a Barragem Norte e destruíram os equipamentos hidráulicos, elétricos e mecânicos da estrutura. A Defesa Civil registrou formalmente que 'foram danificados praticamente todos os componentes da barragem, deixando-a inoperante até a presente data' (Ofício Defesa Civil/SC, Evento 152, 2022). A estrutura não voltou a operar em caráter regular.</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3.5  </w:t>
      </w:r>
      <w:r>
        <w:rPr>
          <w:rFonts w:ascii="Times New Roman" w:cs="Times New Roman" w:eastAsia="Times New Roman" w:hAnsi="Times New Roman"/>
          <w:b/>
          <w:bCs/>
          <w:i w:val="false"/>
          <w:iCs w:val="false"/>
          <w:caps w:val="false"/>
          <w:color w:val="2E5FA3"/>
          <w:sz w:val="24"/>
          <w:szCs w:val="24"/>
        </w:rPr>
        <w:t xml:space="preserve">2019–2023: convênios assinados, licitação anulada por falha de publicação no DOU, operação emergencial por ordem judicial</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2019, o Estado de Santa Catarina celebrou dois convênios com o Ministério do Desenvolvimento Regional — Convênios 883988/2019 e 883989/2019 — para recuperação da Barragem Norte e conclusão do Canal Extravasor, com recursos da União. Passados três anos, o Estado lançou a Concorrência nº 021/2022 para contratar a execução das obras.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janeiro de 2023, a licitação foi anulada. O motivo: ausência de publicação do edital no Diário Oficial da União, exigência legal básica quando há recursos federais envolvidos. A falha é de publicidade — não de engenharia, não de projeto, não de orçamento. A obra precisou ser reinstruída do zero.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outubro de 2023, chuvas intensas ameaçaram o Vale do Itajaí. O Estado requereu tutela de urgência para acesso e operação emergencial da barragem. O Juízo deferiu a liminar. A operação só se viabilizou graças à intervenção da Polícia Federal e ao acordo negociado no local com lideranças indígenas — e foi financiada em parte por grupos empresariais. O governo não tinha equipe, não tinha equipamento e não tinha plano.</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3.6  </w:t>
      </w:r>
      <w:r>
        <w:rPr>
          <w:rFonts w:ascii="Times New Roman" w:cs="Times New Roman" w:eastAsia="Times New Roman" w:hAnsi="Times New Roman"/>
          <w:b/>
          <w:bCs/>
          <w:i w:val="false"/>
          <w:iCs w:val="false"/>
          <w:caps w:val="false"/>
          <w:color w:val="2E5FA3"/>
          <w:sz w:val="24"/>
          <w:szCs w:val="24"/>
        </w:rPr>
        <w:t xml:space="preserve">2024–2026: acordos parciais, obras sem conclusão, situação sem resolução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março de 2025, foi firmado novo acordo entre o Estado, a Defesa Civil e a comunidade indígena para acesso à barragem e execução de manutenções pontuais. O processo licitatório para a obra principal tinha previsão de abertura de licitação para dezembro de 2025 — mais de seis anos após a celebração dos convênios de 2019.</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abril de 2026, os autos registram intimações reiteradas do Estado sem resposta completa, obras em andamento parcial e nenhuma das obrigações da sentença de 2010 plenamente cumprida em relação à Barragem Norte.</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3.7  </w:t>
      </w:r>
      <w:r>
        <w:rPr>
          <w:rFonts w:ascii="Times New Roman" w:cs="Times New Roman" w:eastAsia="Times New Roman" w:hAnsi="Times New Roman"/>
          <w:b/>
          <w:bCs/>
          <w:i w:val="false"/>
          <w:iCs w:val="false"/>
          <w:caps w:val="false"/>
          <w:color w:val="2E5FA3"/>
          <w:sz w:val="24"/>
          <w:szCs w:val="24"/>
        </w:rPr>
        <w:t xml:space="preserve">O ciclo que se repete: enchente grave, compromisso público, paralisação, próxima enchente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1F3864" w:sz="16"/>
              <w:left w:val="single" w:color="1F3864" w:sz="24"/>
              <w:bottom w:val="single" w:color="1F3864" w:sz="16"/>
              <w:right w:val="none" w:color="FFFFFF" w:sz="0"/>
            </w:tcBorders>
            <w:shd w:fill="F2F4F7" w:val="clear"/>
            <w:tcMar>
              <w:top w:type="dxa" w:w="100"/>
              <w:left w:type="dxa" w:w="200"/>
              <w:bottom w:type="dxa" w:w="100"/>
              <w:right w:type="dxa" w:w="120"/>
            </w:tcMar>
          </w:tcPr>
          <w:p>
            <w:pPr>
              <w:spacing w:after="40" w:before="40" w:line="320"/>
              <w:jc w:val="both"/>
            </w:pPr>
            <w:r>
              <w:rPr>
                <w:rFonts w:ascii="Times New Roman" w:cs="Times New Roman" w:eastAsia="Times New Roman" w:hAnsi="Times New Roman"/>
                <w:b w:val="false"/>
                <w:bCs w:val="false"/>
                <w:i w:val="false"/>
                <w:iCs w:val="false"/>
                <w:caps w:val="false"/>
                <w:color w:val="1A1A1A"/>
                <w:sz w:val="22"/>
                <w:szCs w:val="22"/>
              </w:rPr>
              <w:t xml:space="preserve">1983–84: enchentes / 1986: diagnóstico japonês / 1990: extinção do DNOS / 1996: empréstimo recusado</w:t>
            </w:r>
          </w:p>
          <w:p>
            <w:pPr>
              <w:spacing w:after="40" w:before="40" w:line="320"/>
              <w:jc w:val="both"/>
            </w:pPr>
            <w:r>
              <w:rPr>
                <w:rFonts w:ascii="Times New Roman" w:cs="Times New Roman" w:eastAsia="Times New Roman" w:hAnsi="Times New Roman"/>
                <w:b w:val="false"/>
                <w:bCs w:val="false"/>
                <w:i w:val="false"/>
                <w:iCs w:val="false"/>
                <w:caps w:val="false"/>
                <w:color w:val="1A1A1A"/>
                <w:sz w:val="22"/>
                <w:szCs w:val="22"/>
              </w:rPr>
              <w:t xml:space="preserve">1997: ação judicial / 2008: nova tragédia / 2010: sentença definitiva / 2011: novo diagnóstico</w:t>
            </w:r>
          </w:p>
          <w:p>
            <w:pPr>
              <w:spacing w:after="40" w:before="40" w:line="320"/>
              <w:jc w:val="both"/>
            </w:pPr>
            <w:r>
              <w:rPr>
                <w:rFonts w:ascii="Times New Roman" w:cs="Times New Roman" w:eastAsia="Times New Roman" w:hAnsi="Times New Roman"/>
                <w:b w:val="false"/>
                <w:bCs w:val="false"/>
                <w:i w:val="false"/>
                <w:iCs w:val="false"/>
                <w:caps w:val="false"/>
                <w:color w:val="1A1A1A"/>
                <w:sz w:val="22"/>
                <w:szCs w:val="22"/>
              </w:rPr>
              <w:t xml:space="preserve">2014: ocupação e destruição / 2019: convênios / 2022: licitação / 2023: anulação + emergência</w:t>
            </w:r>
          </w:p>
          <w:p>
            <w:pPr>
              <w:spacing w:after="40" w:before="40" w:line="320"/>
              <w:jc w:val="both"/>
            </w:pPr>
            <w:r>
              <w:rPr>
                <w:rFonts w:ascii="Times New Roman" w:cs="Times New Roman" w:eastAsia="Times New Roman" w:hAnsi="Times New Roman"/>
                <w:b w:val="false"/>
                <w:bCs w:val="false"/>
                <w:i w:val="false"/>
                <w:iCs w:val="false"/>
                <w:caps w:val="false"/>
                <w:color w:val="1A1A1A"/>
                <w:sz w:val="22"/>
                <w:szCs w:val="22"/>
              </w:rPr>
              <w:t xml:space="preserve">2025: acordo parcial / 2026: obras inconclusas / próxima cheia: ?</w:t>
            </w:r>
          </w:p>
        </w:tc>
      </w:tr>
    </w:tbl>
    <w:p>
      <w:pPr>
        <w:pageBreakBefore/>
        <w:pBdr>
          <w:bottom w:val="single" w:color="1F3864" w:sz="10" w:space="4"/>
        </w:pBdr>
        <w:spacing w:after="120" w:before="280"/>
      </w:pPr>
      <w:r>
        <w:rPr>
          <w:rFonts w:ascii="Times New Roman" w:cs="Times New Roman" w:eastAsia="Times New Roman" w:hAnsi="Times New Roman"/>
          <w:b/>
          <w:bCs/>
          <w:i w:val="false"/>
          <w:iCs w:val="false"/>
          <w:caps w:val="false"/>
          <w:color w:val="1F3864"/>
          <w:sz w:val="28"/>
          <w:szCs w:val="28"/>
        </w:rPr>
        <w:t xml:space="preserve">4  </w:t>
      </w:r>
      <w:r>
        <w:rPr>
          <w:rFonts w:ascii="Times New Roman" w:cs="Times New Roman" w:eastAsia="Times New Roman" w:hAnsi="Times New Roman"/>
          <w:b/>
          <w:bCs/>
          <w:i w:val="false"/>
          <w:iCs w:val="false"/>
          <w:caps w:val="false"/>
          <w:color w:val="1F3864"/>
          <w:sz w:val="26"/>
          <w:szCs w:val="26"/>
        </w:rPr>
        <w:t xml:space="preserve">DIAGNÓSTICOS TÉCNICOS E RISCO DOCUMENTADO</w:t>
      </w:r>
    </w:p>
    <w:p>
      <w:pPr>
        <w:spacing w:after="80" w:before="200"/>
      </w:pPr>
      <w:r>
        <w:rPr>
          <w:rFonts w:ascii="Times New Roman" w:cs="Times New Roman" w:eastAsia="Times New Roman" w:hAnsi="Times New Roman"/>
          <w:b/>
          <w:bCs/>
          <w:i w:val="false"/>
          <w:iCs w:val="false"/>
          <w:caps w:val="false"/>
          <w:color w:val="2E5FA3"/>
          <w:sz w:val="24"/>
          <w:szCs w:val="24"/>
        </w:rPr>
        <w:t xml:space="preserve">4.1  </w:t>
      </w:r>
      <w:r>
        <w:rPr>
          <w:rFonts w:ascii="Times New Roman" w:cs="Times New Roman" w:eastAsia="Times New Roman" w:hAnsi="Times New Roman"/>
          <w:b/>
          <w:bCs/>
          <w:i w:val="false"/>
          <w:iCs w:val="false"/>
          <w:caps w:val="false"/>
          <w:color w:val="2E5FA3"/>
          <w:sz w:val="24"/>
          <w:szCs w:val="24"/>
        </w:rPr>
        <w:t xml:space="preserve">Projetos JICA de 1988 e 2011 — o que recomendaram e o que foi feito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Projeto JICA de 1988 ('The Itajaí River Basin Flood Control Project — Data Book') estabeleceu as bases técnicas para o sistema de proteção da Bacia do Itajaí. O relatório identificou a Barragem Norte como peça central do sistema não por falta de volume — a capacidade de 358 milhões de m³ era considerada suficiente — mas pela necessidade de operação integrada, manutenção contínua e coordenação institucional entre os entes responsáveis. Essa recomendação nunca foi implementada de forma satisfatória.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Projeto JICA de 2011 ('Estudo Preparatório para o Projeto de Prevenção e Mitigação de Desastres na Bacia do Rio Itajaí', JICA/Nippon Koei) foi elaborado após o desastre de 2008 e apresentou um Plano Diretor com estimativas detalhadas de custo para diferentes níveis de proteção: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0"/>
        <w:gridCol w:w="5271"/>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bCs/>
                <w:i w:val="false"/>
                <w:iCs w:val="false"/>
                <w:caps w:val="false"/>
                <w:color w:val="FFFFFF"/>
                <w:sz w:val="22"/>
                <w:szCs w:val="22"/>
              </w:rPr>
              <w:t xml:space="preserve">Nível de proteção (período de retorno)</w:t>
            </w:r>
          </w:p>
        </w:tc>
        <w:tc>
          <w:tcPr>
            <w:tcW w:type="dxa" w:w="527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bCs/>
                <w:i w:val="false"/>
                <w:iCs w:val="false"/>
                <w:caps w:val="false"/>
                <w:color w:val="FFFFFF"/>
                <w:sz w:val="22"/>
                <w:szCs w:val="22"/>
              </w:rPr>
              <w:t xml:space="preserve">Custo estimado das medidas (valores de 2011)</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Enchente de 5 anos</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R$ 202 milhões</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Enchente de 10 anos</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R$ 541 milhões</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Enchente de 25 anos</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R$ 1,025 bilhão</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Enchente de 50 anos</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R$ 1,996 bilhão</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Sistema de alerta e alarme</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R$ 4 milhões adicionais</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Medidas contra escorregamentos</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R$ 54 milhões adicionais</w:t>
            </w:r>
          </w:p>
        </w:tc>
      </w:tr>
    </w:tbl>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Para referência: os danos causados pela enchente de 2008 — com a barragem ainda parcialmente ativa — ultrapassaram R$ 3 bilhões. Proteger o Vale a um nível razoável (25 anos) custaria, à época, menos de um terço disso. O plano foi recebido, arquivado e não implementado.</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4.2  </w:t>
      </w:r>
      <w:r>
        <w:rPr>
          <w:rFonts w:ascii="Times New Roman" w:cs="Times New Roman" w:eastAsia="Times New Roman" w:hAnsi="Times New Roman"/>
          <w:b/>
          <w:bCs/>
          <w:i w:val="false"/>
          <w:iCs w:val="false"/>
          <w:caps w:val="false"/>
          <w:color w:val="2E5FA3"/>
          <w:sz w:val="24"/>
          <w:szCs w:val="24"/>
        </w:rPr>
        <w:t xml:space="preserve">Laudo Hydros 2021 — anomalias identificadas, nível de perigo, recomendações não implementadas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agosto de 2021, a empresa Hydros Engenharia Ltda., contratada pela Defesa Civil do Estado com recursos do Convênio nº 883988/2019, elaborou o Produto 2 — Inspeção de Segurança Regular da Barragem Norte (DC923.RE.BN013, Rev. B). O documento foi juntado aos autos no Evento 308.</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Principais anomalias identificadas: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bCs/>
                <w:i w:val="false"/>
                <w:iCs w:val="false"/>
                <w:caps w:val="false"/>
                <w:color w:val="FFFFFF"/>
                <w:sz w:val="22"/>
                <w:szCs w:val="22"/>
              </w:rPr>
              <w:t xml:space="preserve">Componente</w:t>
            </w:r>
          </w:p>
        </w:tc>
        <w:tc>
          <w:tcPr>
            <w:tcW w:type="dxa" w:w="587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bCs/>
                <w:i w:val="false"/>
                <w:iCs w:val="false"/>
                <w:caps w:val="false"/>
                <w:color w:val="FFFFFF"/>
                <w:sz w:val="22"/>
                <w:szCs w:val="22"/>
              </w:rPr>
              <w:t xml:space="preserve">Situação registrada</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Sistema elétrico</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Destruído — necessidade de especificação, contratação e instalação completa</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Comportas e equipamentos hidráulicos</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Funcionamento deficiente — manutenção periódica não realizada</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Taludes de montante e jusante</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Fortemente tomados por vegetação arbustiva densa — risco de erosão e percolação</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Galeria de descarga</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Infiltrações; ausência de grade metálica de proteção</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Crista da barragem</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Ausência de revestimento impermeável; cavidades e problemas de drenagem</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Sistema de vigilância</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Inexistente — sem câmeras, sem controle de acesso</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Cercamento de segurança</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Comprometido</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Plano de Segurança da Barragem (PSB)</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Não elaborado</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Plano de Ação de Emergência (PAE)</w:t>
            </w:r>
          </w:p>
        </w:tc>
        <w:tc>
          <w:tcPr>
            <w:tcW w:type="dxa" w:w="5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Não elaborado</w:t>
            </w:r>
          </w:p>
        </w:tc>
      </w:tr>
    </w:tbl>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classificação global em nível 'Atenção' com anomalias em nível 'Alerta' significa, nos termos da Resolução ANA nº 236/2017 e do Manual de Segurança de Barragens da ANA (2016): situação que não compromete de imediato a segurança, mas que pode comprometê-la se as anomalias progredirem sem controle, monitoramento ou reparo. Desde agosto de 2021, não há registro nos autos de implementação das recomendações principais do laudo.</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4.3  </w:t>
      </w:r>
      <w:r>
        <w:rPr>
          <w:rFonts w:ascii="Times New Roman" w:cs="Times New Roman" w:eastAsia="Times New Roman" w:hAnsi="Times New Roman"/>
          <w:b/>
          <w:bCs/>
          <w:i w:val="false"/>
          <w:iCs w:val="false"/>
          <w:caps w:val="false"/>
          <w:color w:val="2E5FA3"/>
          <w:sz w:val="24"/>
          <w:szCs w:val="24"/>
        </w:rPr>
        <w:t xml:space="preserve">Plano de Segurança da Barragem e Plano de Ação de Emergência — situação atual</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Lei nº 12.334/2010 — Política Nacional de Segurança de Barragens — estabelece como obrigação do responsável pela barragem a elaboração do Plano de Segurança da Barragem (PSB) e, para barragens de dano potencial associado alto ou muito alto, do Plano de Ação de Emergência (PAE).</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Barragem Norte não possui PSB nem PAE em vigor. Isso significa que, diante de um evento crítico, não há protocolo formal que determine quem deve ser acionado, em que ordem, com quais equipamentos, para quais municípios e em qual tempo. A ausência desses documentos é, por si só, violação da legislação federal de segurança de barragens e descumprimento de obrigação da sentença transitada em julgado.</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4.4  </w:t>
      </w:r>
      <w:r>
        <w:rPr>
          <w:rFonts w:ascii="Times New Roman" w:cs="Times New Roman" w:eastAsia="Times New Roman" w:hAnsi="Times New Roman"/>
          <w:b/>
          <w:bCs/>
          <w:i w:val="false"/>
          <w:iCs w:val="false"/>
          <w:caps w:val="false"/>
          <w:color w:val="2E5FA3"/>
          <w:sz w:val="24"/>
          <w:szCs w:val="24"/>
        </w:rPr>
        <w:t xml:space="preserve">Estudo de simulação hidrodinâmica de rompimento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julho de 2018, foi apresentado no I Encontro Nacional de Desastres da ABRH o estudo 'Simulação Hidrodinâmica do Rompimento da Barragem Norte em José Boiteux/SC' (anais.abrhidro.org.br). O estudo modelou numericamente a onda de cheia resultante de rompimento hipotético e mapeou as áreas atingidas a jusante, incluindo municípios do Alto e Médio Vale.</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Os resultados desse estudo são relevantes para o PAE — que deveria mapear zonas de autossalvamento, zonas de atenção e zonas de segurança, além de definir rotas de evacuação e tempos de alerta para cada município afetado. Nada disso existe hoje em documento formal e aprovado.</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4.5  </w:t>
      </w:r>
      <w:r>
        <w:rPr>
          <w:rFonts w:ascii="Times New Roman" w:cs="Times New Roman" w:eastAsia="Times New Roman" w:hAnsi="Times New Roman"/>
          <w:b/>
          <w:bCs/>
          <w:i w:val="false"/>
          <w:iCs w:val="false"/>
          <w:caps w:val="false"/>
          <w:color w:val="2E5FA3"/>
          <w:sz w:val="24"/>
          <w:szCs w:val="24"/>
        </w:rPr>
        <w:t xml:space="preserve">O ponto que não tem contestação técnica possível: o risco era conhecido, estava documentado e era evitável</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Há dois estudos internacionais — JICA 1988 e JICA 2011 — e um laudo nacional de inspeção — Hydros 2021 — documentando, com diferentes graus de detalhe, os mesmos problemas: necessidade de manutenção, operação permanente, coordenação institucional e planos de emergência. Os três apontam para a mesma conclusão. Nenhum dos três foi implementado de forma completa.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ausência de implementação não pode ser atribuída a imprevisão. O risco estava descrito, assinado, datado e, no caso do laudo Hydros, juntado aos autos de um processo judicial. Continuar sem implementar as recomendações é uma escolha administrativa — com consequências jurídicas correspondentes.</w:t>
      </w:r>
    </w:p>
    <w:p>
      <w:pPr>
        <w:pageBreakBefore/>
        <w:pBdr>
          <w:bottom w:val="single" w:color="1F3864" w:sz="10" w:space="4"/>
        </w:pBdr>
        <w:spacing w:after="120" w:before="280"/>
      </w:pPr>
      <w:r>
        <w:rPr>
          <w:rFonts w:ascii="Times New Roman" w:cs="Times New Roman" w:eastAsia="Times New Roman" w:hAnsi="Times New Roman"/>
          <w:b/>
          <w:bCs/>
          <w:i w:val="false"/>
          <w:iCs w:val="false"/>
          <w:caps w:val="false"/>
          <w:color w:val="1F3864"/>
          <w:sz w:val="28"/>
          <w:szCs w:val="28"/>
        </w:rPr>
        <w:t xml:space="preserve">5  </w:t>
      </w:r>
      <w:r>
        <w:rPr>
          <w:rFonts w:ascii="Times New Roman" w:cs="Times New Roman" w:eastAsia="Times New Roman" w:hAnsi="Times New Roman"/>
          <w:b/>
          <w:bCs/>
          <w:i w:val="false"/>
          <w:iCs w:val="false"/>
          <w:caps w:val="false"/>
          <w:color w:val="1F3864"/>
          <w:sz w:val="26"/>
          <w:szCs w:val="26"/>
        </w:rPr>
        <w:t xml:space="preserve">JUDICIALIZAÇÃO E OBRIGAÇÕES PÚBLICAS</w:t>
      </w:r>
    </w:p>
    <w:p>
      <w:pPr>
        <w:spacing w:after="80" w:before="200"/>
      </w:pPr>
      <w:r>
        <w:rPr>
          <w:rFonts w:ascii="Times New Roman" w:cs="Times New Roman" w:eastAsia="Times New Roman" w:hAnsi="Times New Roman"/>
          <w:b/>
          <w:bCs/>
          <w:i w:val="false"/>
          <w:iCs w:val="false"/>
          <w:caps w:val="false"/>
          <w:color w:val="2E5FA3"/>
          <w:sz w:val="24"/>
          <w:szCs w:val="24"/>
        </w:rPr>
        <w:t xml:space="preserve">5.1  </w:t>
      </w:r>
      <w:r>
        <w:rPr>
          <w:rFonts w:ascii="Times New Roman" w:cs="Times New Roman" w:eastAsia="Times New Roman" w:hAnsi="Times New Roman"/>
          <w:b/>
          <w:bCs/>
          <w:i w:val="false"/>
          <w:iCs w:val="false"/>
          <w:caps w:val="false"/>
          <w:color w:val="2E5FA3"/>
          <w:sz w:val="24"/>
          <w:szCs w:val="24"/>
        </w:rPr>
        <w:t xml:space="preserve">As ações civis públicas — origem, objeto e partes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14 de outubro de 1997, o Ministério Público Federal e o Ministério Público do Estado de Santa Catarina ajuizaram ação civil pública perante a 1ª Vara Federal de Blumenau, postulando a condenação da União Federal e do Estado de Santa Catarina à realização de obras e serviços de manutenção e recuperação das três barragens do Alto Vale do Itajaí. O processo foi digitalizado e autuado como cumprimento de sentença sob o nº 5012227-71.2018.4.04.7205/SC em setembro de 2018.</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2003, o MPF ajuizou ação civil pública específica para reparação dos danos causados pelo funcionamento da barragem à comunidade indígena Xokleng/Laklãnõ, autuada como nº 5013528-53.2018.4.04.7205/SC. A sentença nesse processo, proferida em 2007 e transitada em julgado em 2017, condenou União, Estado e FUNAI a executar um conjunto de obras e programas de autossustentação em favor da comunidade.</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5.2  </w:t>
      </w:r>
      <w:r>
        <w:rPr>
          <w:rFonts w:ascii="Times New Roman" w:cs="Times New Roman" w:eastAsia="Times New Roman" w:hAnsi="Times New Roman"/>
          <w:b/>
          <w:bCs/>
          <w:i w:val="false"/>
          <w:iCs w:val="false"/>
          <w:caps w:val="false"/>
          <w:color w:val="2E5FA3"/>
          <w:sz w:val="24"/>
          <w:szCs w:val="24"/>
        </w:rPr>
        <w:t xml:space="preserve">As obrigações da sentença de 1999/2010 — quadro de cumprimento atualizado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sentença transitada em julgado em 2010 no processo principal impôs 26 obrigações de fazer a União e ao Estado de Santa Catarina. O quadro abaixo apresenta o status das obrigações diretamente relacionadas à Barragem Norte: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00"/>
        <w:gridCol w:w="4871"/>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bCs/>
                <w:i w:val="false"/>
                <w:iCs w:val="false"/>
                <w:caps w:val="false"/>
                <w:color w:val="FFFFFF"/>
                <w:sz w:val="22"/>
                <w:szCs w:val="22"/>
              </w:rPr>
              <w:t xml:space="preserve">Obrigação (sentença 1999/2010)</w:t>
            </w:r>
          </w:p>
        </w:tc>
        <w:tc>
          <w:tcPr>
            <w:tcW w:type="dxa" w:w="487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bCs/>
                <w:i w:val="false"/>
                <w:iCs w:val="false"/>
                <w:caps w:val="false"/>
                <w:color w:val="FFFFFF"/>
                <w:sz w:val="22"/>
                <w:szCs w:val="22"/>
              </w:rPr>
              <w:t xml:space="preserve">Status em abril de 2026</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Operação e manutenção permanente da Barragem Norte</w:t>
            </w:r>
          </w:p>
        </w:tc>
        <w:tc>
          <w:tcPr>
            <w:tcW w:type="dxa" w:w="4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Totalmente descumprida desde 2014</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Contratação de operadores e ajudantes</w:t>
            </w:r>
          </w:p>
        </w:tc>
        <w:tc>
          <w:tcPr>
            <w:tcW w:type="dxa" w:w="4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Descumprida — barragem sem equipe permanente</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Vigilância armada 24 horas</w:t>
            </w:r>
          </w:p>
        </w:tc>
        <w:tc>
          <w:tcPr>
            <w:tcW w:type="dxa" w:w="4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Descumprida para a Barragem Norte</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Sistema de radiofonia entre barragens e Defesa Civil</w:t>
            </w:r>
          </w:p>
        </w:tc>
        <w:tc>
          <w:tcPr>
            <w:tcW w:type="dxa" w:w="4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Descumprida — equipamentos destruídos em 2014</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Geradores de emergência</w:t>
            </w:r>
          </w:p>
        </w:tc>
        <w:tc>
          <w:tcPr>
            <w:tcW w:type="dxa" w:w="4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Parcialmente cumprida</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Recuperação de gabiões de proteção das margens</w:t>
            </w:r>
          </w:p>
        </w:tc>
        <w:tc>
          <w:tcPr>
            <w:tcW w:type="dxa" w:w="4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Descumprida — obra paralisada</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Dragagem do reservatório</w:t>
            </w:r>
          </w:p>
        </w:tc>
        <w:tc>
          <w:tcPr>
            <w:tcW w:type="dxa" w:w="4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Descumprida — acesso bloqueado</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Grades de proteção na galeria de escoamento</w:t>
            </w:r>
          </w:p>
        </w:tc>
        <w:tc>
          <w:tcPr>
            <w:tcW w:type="dxa" w:w="4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Descumprida</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Plano de Segurança da Barragem (PSB)</w:t>
            </w:r>
          </w:p>
        </w:tc>
        <w:tc>
          <w:tcPr>
            <w:tcW w:type="dxa" w:w="4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Não elaborado</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Plano de Ação de Emergência (PAE)</w:t>
            </w:r>
          </w:p>
        </w:tc>
        <w:tc>
          <w:tcPr>
            <w:tcW w:type="dxa" w:w="4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Não elaborado</w:t>
            </w:r>
          </w:p>
        </w:tc>
      </w:tr>
      <w:tr>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Limpeza de taludes e vegetação</w:t>
            </w:r>
          </w:p>
        </w:tc>
        <w:tc>
          <w:tcPr>
            <w:tcW w:type="dxa" w:w="4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Descumprida — vegetação avançada conforme Laudo Hydros/2021</w:t>
            </w:r>
          </w:p>
        </w:tc>
      </w:tr>
    </w:tbl>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5.3  </w:t>
      </w:r>
      <w:r>
        <w:rPr>
          <w:rFonts w:ascii="Times New Roman" w:cs="Times New Roman" w:eastAsia="Times New Roman" w:hAnsi="Times New Roman"/>
          <w:b/>
          <w:bCs/>
          <w:i w:val="false"/>
          <w:iCs w:val="false"/>
          <w:caps w:val="false"/>
          <w:color w:val="2E5FA3"/>
          <w:sz w:val="24"/>
          <w:szCs w:val="24"/>
        </w:rPr>
        <w:t xml:space="preserve">Multas por descumprimento — valor fixado, montante acumulado e o que foi efetivamente cobrado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30 de setembro de 2024, o Juiz Federal Leandro Paulo Cypriani, com base no art. 537 do CPC, fixou multa diária de R$ 500,00 por descumprimento do item 3 da decisão do Evento 256, após o Estado de Santa Catarina ter deixado transcorrer dois prazos consecutivos sem qualquer providência (Ev. 534).</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No processo conexo (nº 5013528-53), a multa de R$ 500,00/dia por réu incide desde agosto de 2020, quando venceu o prazo de três anos contados do trânsito em julgado em agosto de 2017. Em abril de 2026, o montante acumulado por réu — União, Estado e FUNAI — supera R$ 1 milhão cada, totalizando mais de R$ 3 milhões, sem que a execução tenha sido promovida de forma efetiva.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R$ 500,00/dia é irrisório para um Estado da Federação. A multa não produz efeito coercitivo real. A majoração para valor que imponha pressão financeira efetiva — conforme autoriza o art. 537, §1º do CPC — é medida necessária e já requerida pela DPU (Ev. 525).</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5.4  </w:t>
      </w:r>
      <w:r>
        <w:rPr>
          <w:rFonts w:ascii="Times New Roman" w:cs="Times New Roman" w:eastAsia="Times New Roman" w:hAnsi="Times New Roman"/>
          <w:b/>
          <w:bCs/>
          <w:i w:val="false"/>
          <w:iCs w:val="false"/>
          <w:caps w:val="false"/>
          <w:color w:val="2E5FA3"/>
          <w:sz w:val="24"/>
          <w:szCs w:val="24"/>
        </w:rPr>
        <w:t xml:space="preserve">Como o Estado de Santa Catarina se comportou nos autos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processo registra um padrão de comportamento que o próprio Juízo reconheceu como dilatório ao fundamentar a imposição de astreintes. Entre os episódios documentados:</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aps w:val="false"/>
          <w:color w:val="1A1A1A"/>
          <w:sz w:val="24"/>
          <w:szCs w:val="24"/>
        </w:rPr>
        <w:t xml:space="preserve">Na audiência de 26 de junho de 2024 (Ev. 508), o Juízo determinou quatro obrigações ao Estado com prazo de 10 dias. O Estado descumpriu três delas e respondeu à quarta com atraso, limitando-se a afirmar que estava 'em fase de conclusão de contratação' — sem apresentar nenhum documento comprobatório.</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aps w:val="false"/>
          <w:color w:val="1A1A1A"/>
          <w:sz w:val="24"/>
          <w:szCs w:val="24"/>
        </w:rPr>
        <w:t xml:space="preserve">Intimado novamente (Ev. 532), o Estado 'quedou-se inerte' pelo segundo período consecutivo — expressão usada nos próprios autos para descrever a ausência de manifestação.</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aps w:val="false"/>
          <w:color w:val="1A1A1A"/>
          <w:sz w:val="24"/>
          <w:szCs w:val="24"/>
        </w:rPr>
        <w:t xml:space="preserve">O Estado utilizou reiteradamente despachos internos de uma secretaria para outra como 'prova' de cumprimento de ordens judiciais, quando tais documentos apenas documentam encaminhamentos administrativos, não a execução física de obras.</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aps w:val="false"/>
          <w:color w:val="1A1A1A"/>
          <w:sz w:val="24"/>
          <w:szCs w:val="24"/>
        </w:rPr>
        <w:t xml:space="preserve">A Informação Técnica nº 160/SDC/DIOP/2025, apresentada em novembro de 2025, lista contratos menores de manutenção sem abordar o cronograma da reforma principal — que tinha previsão de licitação para dezembro de 2025, seis anos após a celebração dos convênios de financiamento.</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5.5  </w:t>
      </w:r>
      <w:r>
        <w:rPr>
          <w:rFonts w:ascii="Times New Roman" w:cs="Times New Roman" w:eastAsia="Times New Roman" w:hAnsi="Times New Roman"/>
          <w:b/>
          <w:bCs/>
          <w:i w:val="false"/>
          <w:iCs w:val="false"/>
          <w:caps w:val="false"/>
          <w:color w:val="2E5FA3"/>
          <w:sz w:val="24"/>
          <w:szCs w:val="24"/>
        </w:rPr>
        <w:t xml:space="preserve">MPF, DPU, TCE-SC e ALESC — o que cada um disse e o que mudou depois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Múltiplos órgãos de controle e fiscalização registraram formalmente a situação crítica da Barragem Norte: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6671"/>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bCs/>
                <w:i w:val="false"/>
                <w:iCs w:val="false"/>
                <w:caps w:val="false"/>
                <w:color w:val="FFFFFF"/>
                <w:sz w:val="22"/>
                <w:szCs w:val="22"/>
              </w:rPr>
              <w:t xml:space="preserve">Órgão</w:t>
            </w:r>
          </w:p>
        </w:tc>
        <w:tc>
          <w:tcPr>
            <w:tcW w:type="dxa" w:w="667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bCs/>
                <w:i w:val="false"/>
                <w:iCs w:val="false"/>
                <w:caps w:val="false"/>
                <w:color w:val="FFFFFF"/>
                <w:sz w:val="22"/>
                <w:szCs w:val="22"/>
              </w:rPr>
              <w:t xml:space="preserve">Manifestação e resultado</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MPF</w:t>
            </w:r>
          </w:p>
        </w:tc>
        <w:tc>
          <w:tcPr>
            <w:tcW w:type="dxa" w:w="6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Autor da ação desde 1997; em 2024 recomendou a paralisação de obras até regularização do diálogo com lideranças indígenas; acompanha o cumprimento da sentença</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DPU — Defensoria Pública da União</w:t>
            </w:r>
          </w:p>
        </w:tc>
        <w:tc>
          <w:tcPr>
            <w:tcW w:type="dxa" w:w="6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Requereu fixação de multa ao Estado (Ev. 525); cobra medidas de assistência à comunidade indígena; manifestou-se sobre a urgência da operação da barragem</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TCE-SC — Tribunal de Contas</w:t>
            </w:r>
          </w:p>
        </w:tc>
        <w:tc>
          <w:tcPr>
            <w:tcW w:type="dxa" w:w="6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Relatório técnico e Voto no PMO 23/00134653 (2023-2024): registrou necessidade de ciência da Defesa Civil, SEMAE e EPAGRI sobre as decisões judiciais; apontou problemas que comprometem o funcionamento da barragem</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ALESC — Assembleia Legislativa</w:t>
            </w:r>
          </w:p>
        </w:tc>
        <w:tc>
          <w:tcPr>
            <w:tcW w:type="dxa" w:w="6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Pedido de informação de dezembro de 2023 sobre operação e segurança da barragem; citou o estudo de rompimento e questionou as razões técnicas da inoperância</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FACISC / ACIB — entidades empresariais</w:t>
            </w:r>
          </w:p>
        </w:tc>
        <w:tc>
          <w:tcPr>
            <w:tcW w:type="dxa" w:w="66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Ingressaram no processo como amici curiae em 2024 e requereram exclusão em agosto de 2025, alegando falta de expertise técnica — após ter ingressado alardeando exatamente essa expertise</w:t>
            </w:r>
          </w:p>
        </w:tc>
      </w:tr>
    </w:tbl>
    <w:p>
      <w:pPr>
        <w:pageBreakBefore/>
        <w:pBdr>
          <w:bottom w:val="single" w:color="1F3864" w:sz="10" w:space="4"/>
        </w:pBdr>
        <w:spacing w:after="120" w:before="280"/>
      </w:pPr>
      <w:r>
        <w:rPr>
          <w:rFonts w:ascii="Times New Roman" w:cs="Times New Roman" w:eastAsia="Times New Roman" w:hAnsi="Times New Roman"/>
          <w:b/>
          <w:bCs/>
          <w:i w:val="false"/>
          <w:iCs w:val="false"/>
          <w:caps w:val="false"/>
          <w:color w:val="1F3864"/>
          <w:sz w:val="28"/>
          <w:szCs w:val="28"/>
        </w:rPr>
        <w:t xml:space="preserve">6  </w:t>
      </w:r>
      <w:r>
        <w:rPr>
          <w:rFonts w:ascii="Times New Roman" w:cs="Times New Roman" w:eastAsia="Times New Roman" w:hAnsi="Times New Roman"/>
          <w:b/>
          <w:bCs/>
          <w:i w:val="false"/>
          <w:iCs w:val="false"/>
          <w:caps w:val="false"/>
          <w:color w:val="1F3864"/>
          <w:sz w:val="26"/>
          <w:szCs w:val="26"/>
        </w:rPr>
        <w:t xml:space="preserve">A QUESTÃO INDÍGENA COMO COMPONENTE DE GOVERNANÇA</w:t>
      </w:r>
    </w:p>
    <w:p>
      <w:pPr>
        <w:spacing w:after="80" w:before="200"/>
      </w:pPr>
      <w:r>
        <w:rPr>
          <w:rFonts w:ascii="Times New Roman" w:cs="Times New Roman" w:eastAsia="Times New Roman" w:hAnsi="Times New Roman"/>
          <w:b/>
          <w:bCs/>
          <w:i w:val="false"/>
          <w:iCs w:val="false"/>
          <w:caps w:val="false"/>
          <w:color w:val="2E5FA3"/>
          <w:sz w:val="24"/>
          <w:szCs w:val="24"/>
        </w:rPr>
        <w:t xml:space="preserve">6.1  </w:t>
      </w:r>
      <w:r>
        <w:rPr>
          <w:rFonts w:ascii="Times New Roman" w:cs="Times New Roman" w:eastAsia="Times New Roman" w:hAnsi="Times New Roman"/>
          <w:b/>
          <w:bCs/>
          <w:i w:val="false"/>
          <w:iCs w:val="false"/>
          <w:caps w:val="false"/>
          <w:color w:val="2E5FA3"/>
          <w:sz w:val="24"/>
          <w:szCs w:val="24"/>
        </w:rPr>
        <w:t xml:space="preserve">Terra Indígena Ibirama-La Klãnõ — o que a construção da barragem causou ao povo Xokleng/Laklãnõ</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Barragem Norte está localizada dentro da Terra Indígena Ibirama-La Klãnõ, território do povo Xokleng/Laklãnõ. A construção da barragem nos anos 1980 produziu danos concretos sobre a comunidade: alagamento de áreas cultiváveis nas baixadas do vale, destruição de referências culturais e cemitérios, comprometimento dos Rios Hercílio e Platê — utilizados para pesca, transporte e atividades culturais. Esses danos são objeto da sentença proferida em 2007 no processo nº 5013528-53.2018.4.04.7205/SC.</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6.2  </w:t>
      </w:r>
      <w:r>
        <w:rPr>
          <w:rFonts w:ascii="Times New Roman" w:cs="Times New Roman" w:eastAsia="Times New Roman" w:hAnsi="Times New Roman"/>
          <w:b/>
          <w:bCs/>
          <w:i w:val="false"/>
          <w:iCs w:val="false"/>
          <w:caps w:val="false"/>
          <w:color w:val="2E5FA3"/>
          <w:sz w:val="24"/>
          <w:szCs w:val="24"/>
        </w:rPr>
        <w:t xml:space="preserve">O que foi pactuado desde 1981 e o que foi entregue até hoje</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Desde 1981, União, Estado e FUNAI celebraram sucessivos convênios e protocolos de intenções para compensar os danos causados pela barragem à comunidade. A sentença de 2007 formalizou essas obrigações em itens específicos: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0"/>
        <w:gridCol w:w="5271"/>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bCs/>
                <w:i w:val="false"/>
                <w:iCs w:val="false"/>
                <w:caps w:val="false"/>
                <w:color w:val="FFFFFF"/>
                <w:sz w:val="22"/>
                <w:szCs w:val="22"/>
              </w:rPr>
              <w:t xml:space="preserve">Obrigação (sentença 2007)</w:t>
            </w:r>
          </w:p>
        </w:tc>
        <w:tc>
          <w:tcPr>
            <w:tcW w:type="dxa" w:w="527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bCs/>
                <w:i w:val="false"/>
                <w:iCs w:val="false"/>
                <w:caps w:val="false"/>
                <w:color w:val="FFFFFF"/>
                <w:sz w:val="22"/>
                <w:szCs w:val="22"/>
              </w:rPr>
              <w:t xml:space="preserve">Status em abril de 2026</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Abertura e macadamização de estrada Aldeia Sede – Aldeia Toldo (12 km)</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PENDENTE — apenas 3 km estudados; 9 km sem projeto executivo</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Melhoria da estrada Aldeia Bugio – José Boiteux</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EM EXECUÇÃO — CT-004/2024, R$ 7,08 M, empresa Terrabase</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Elevação da Ponte sobre o Rio Platê</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EM EXECUÇÃO — incluída no CT-004/2024</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Ponte pênsil sobre o Rio Hercílio</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PENDENTE — projeto existe, sem licença ambiental, sem licitação</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10 casas para a Aldeia Toldo (etnia Guarani)</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CONTROVERTIDO — Estado alega cumprimento; MPF contesta</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Escola de 285 m²</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PENDENTE — novo local definido; sem licitação</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2 igrejas de 69 m² e 2 casas de pároco</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PENDENTE — projetos prontos; comunidade não definiu locais</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Remoção do cemitério da bacia de acumulação</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EM NEGOCIAÇÃO — comunidade quer memorial; FUNAI tenta formalizar</w:t>
            </w:r>
          </w:p>
        </w:tc>
      </w:tr>
      <w:tr>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Programa Ibirama (autossustentação)</w:t>
            </w:r>
          </w:p>
        </w:tc>
        <w:tc>
          <w:tcPr>
            <w:tcW w:type="dxa" w:w="52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PARCIAL — atividades interrompidas em 2024 por rotatividade de servidores</w:t>
            </w:r>
          </w:p>
        </w:tc>
      </w:tr>
    </w:tbl>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6.3  </w:t>
      </w:r>
      <w:r>
        <w:rPr>
          <w:rFonts w:ascii="Times New Roman" w:cs="Times New Roman" w:eastAsia="Times New Roman" w:hAnsi="Times New Roman"/>
          <w:b/>
          <w:bCs/>
          <w:i w:val="false"/>
          <w:iCs w:val="false"/>
          <w:caps w:val="false"/>
          <w:color w:val="2E5FA3"/>
          <w:sz w:val="24"/>
          <w:szCs w:val="24"/>
        </w:rPr>
        <w:t xml:space="preserve">Como o inadimplemento estatal produziu o conflito de acesso — e por que isso importa juridicamente</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bloqueio da comunidade indígena ao acesso à barragem não surge no vácuo. Ele é a resposta de uma comunidade que, desde 1981, viu o Estado assumir obrigações e não as cumprir. A dinâmica é clara nos autos: o Estado alega não poder realizar obras por falta de acesso à Terra Indígena; a comunidade nega o acesso porque o Estado não cumpriu os compromissos sociais assumidos. Cada lado usa a omissão do outro como justificativa para a própria inação.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Do ponto de vista jurídico, o Estado de Santa Catarina não pode invocar como obstáculo o bloqueio de acesso que decorre, direta e documentadamente, do seu próprio inadimplemento. A Consulta Jurídica da SIE registrou nos autos (Ev. 442): 'caso até o presente momento não tenham sido efetivadas as providências suscitadas, deve ser apresentado as razões fáticas e jurídicas que justifiquem.' A resposta, nos autos, foi silêncio.</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6.4  </w:t>
      </w:r>
      <w:r>
        <w:rPr>
          <w:rFonts w:ascii="Times New Roman" w:cs="Times New Roman" w:eastAsia="Times New Roman" w:hAnsi="Times New Roman"/>
          <w:b/>
          <w:bCs/>
          <w:i w:val="false"/>
          <w:iCs w:val="false"/>
          <w:caps w:val="false"/>
          <w:color w:val="2E5FA3"/>
          <w:sz w:val="24"/>
          <w:szCs w:val="24"/>
        </w:rPr>
        <w:t xml:space="preserve">O episódio de outubro de 2023 e o acordo emergencial</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8 de outubro de 2023, uma equipe da Defesa Civil de Santa Catarina foi até José Boiteux para realizar vistoria técnica emergencial na barragem, diante das fortes chuvas. O que aconteceu está registrado no Boletim de Ocorrência da Delegacia de José Boiteux (Registro 0898757/2023-BO-00615.2023.0008097):</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Mais de 20 membros da comunidade sitiaram a viatura. Quebraram o para-brisa. Furaram dois pneus. Desferiram chutes no veículo. Portavam facas, facões e foices. A equipe técnica e os policiais militares ficaram mantidos no local por mais de três horas. A liberação ocorreu com a intervenção da Polícia Federal.</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Após decisão judicial que autorizou o acesso emergencial (Ev. 246), foi celebrado acordo entre o Cacique-Presidente da TI Laklãnõ, o Prefeito de José Boiteux, a Defesa Civil do Estado e o Secretário de Infraestrutura, estabelecendo as condições para a operação: desobstrução de estradas, equipe de saúde 24 horas, barcos, ônibus, água potável, cestas básicas e construção de casas para famílias cujas residências ficariam submersas. A barragem foi operada. Os custos da operação foram assumidos em parte por grupos empresariais.</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6.5  </w:t>
      </w:r>
      <w:r>
        <w:rPr>
          <w:rFonts w:ascii="Times New Roman" w:cs="Times New Roman" w:eastAsia="Times New Roman" w:hAnsi="Times New Roman"/>
          <w:b/>
          <w:bCs/>
          <w:i w:val="false"/>
          <w:iCs w:val="false"/>
          <w:caps w:val="false"/>
          <w:color w:val="2E5FA3"/>
          <w:sz w:val="24"/>
          <w:szCs w:val="24"/>
        </w:rPr>
        <w:t xml:space="preserve">O passivo indígena como condição jurídica e operacional para a plena funcionalidade da barragem</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Enquanto as obrigações sociais da sentença de 2007 não forem integralmente cumpridas, a comunidade terá fundamento legítimo para negar acesso à estrutura. Isso não é um problema indígena. É um problema de governança estatal que se manifesta no território indígena.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solução passa pelo cumprimento efetivo do acordo de 2015, da sentença de 2007 e dos compromissos derivados do acordo de 2023 — não como concessão política, mas como obrigação legal reconhecida em título executivo judicial.</w:t>
      </w:r>
    </w:p>
    <w:p>
      <w:pPr>
        <w:pageBreakBefore/>
        <w:pBdr>
          <w:bottom w:val="single" w:color="1F3864" w:sz="10" w:space="4"/>
        </w:pBdr>
        <w:spacing w:after="120" w:before="280"/>
      </w:pPr>
      <w:r>
        <w:rPr>
          <w:rFonts w:ascii="Times New Roman" w:cs="Times New Roman" w:eastAsia="Times New Roman" w:hAnsi="Times New Roman"/>
          <w:b/>
          <w:bCs/>
          <w:i w:val="false"/>
          <w:iCs w:val="false"/>
          <w:caps w:val="false"/>
          <w:color w:val="1F3864"/>
          <w:sz w:val="28"/>
          <w:szCs w:val="28"/>
        </w:rPr>
        <w:t xml:space="preserve">7  </w:t>
      </w:r>
      <w:r>
        <w:rPr>
          <w:rFonts w:ascii="Times New Roman" w:cs="Times New Roman" w:eastAsia="Times New Roman" w:hAnsi="Times New Roman"/>
          <w:b/>
          <w:bCs/>
          <w:i w:val="false"/>
          <w:iCs w:val="false"/>
          <w:caps w:val="false"/>
          <w:color w:val="1F3864"/>
          <w:sz w:val="26"/>
          <w:szCs w:val="26"/>
        </w:rPr>
        <w:t xml:space="preserve">LICITAÇÕES, OBRAS E PADRÃO ADMINISTRATIVO</w:t>
      </w:r>
    </w:p>
    <w:p>
      <w:pPr>
        <w:spacing w:after="80" w:before="200"/>
      </w:pPr>
      <w:r>
        <w:rPr>
          <w:rFonts w:ascii="Times New Roman" w:cs="Times New Roman" w:eastAsia="Times New Roman" w:hAnsi="Times New Roman"/>
          <w:b/>
          <w:bCs/>
          <w:i w:val="false"/>
          <w:iCs w:val="false"/>
          <w:caps w:val="false"/>
          <w:color w:val="2E5FA3"/>
          <w:sz w:val="24"/>
          <w:szCs w:val="24"/>
        </w:rPr>
        <w:t xml:space="preserve">7.1  </w:t>
      </w:r>
      <w:r>
        <w:rPr>
          <w:rFonts w:ascii="Times New Roman" w:cs="Times New Roman" w:eastAsia="Times New Roman" w:hAnsi="Times New Roman"/>
          <w:b/>
          <w:bCs/>
          <w:i w:val="false"/>
          <w:iCs w:val="false"/>
          <w:caps w:val="false"/>
          <w:color w:val="2E5FA3"/>
          <w:sz w:val="24"/>
          <w:szCs w:val="24"/>
        </w:rPr>
        <w:t xml:space="preserve">Concorrência nº 021/2022 — anulada por ausência de publicação no DOU com recursos federais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2022, a Defesa Civil do Estado de Santa Catarina lançou a Concorrência nº 021/2022 (Processo SGP-e DC 3181/2022) para contratar empresa especializada na execução das obras de recuperação da Barragem Norte, com recursos do Convênio 883988/2019.</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janeiro de 2023, o certame foi anulado. O vício identificado foi de publicidade: ausência de publicação do edital no Diário Oficial da União. Quando há recursos federais envolvidos na licitação, a publicação no DOU é exigência legal básica, prevista na Lei nº 8.666/1993 (então vigente) e em normas específicas do próprio convênio. Não é uma exigência técnica ou de engenharia — é um procedimento administrativo elementar.</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anulação exigiu revisão completa do projeto, novo orçamento, nova instrução processual e nova publicidade. O resultado foi mais um ciclo de atraso — acrescentando pelo menos dois anos ao prazo de recuperação de uma estrutura que já estava inoperante há nove anos no momento da anulação.</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7.2  </w:t>
      </w:r>
      <w:r>
        <w:rPr>
          <w:rFonts w:ascii="Times New Roman" w:cs="Times New Roman" w:eastAsia="Times New Roman" w:hAnsi="Times New Roman"/>
          <w:b/>
          <w:bCs/>
          <w:i w:val="false"/>
          <w:iCs w:val="false"/>
          <w:caps w:val="false"/>
          <w:color w:val="2E5FA3"/>
          <w:sz w:val="24"/>
          <w:szCs w:val="24"/>
        </w:rPr>
        <w:t xml:space="preserve">Convênios 883988 e 883989/2019 — seis anos entre a assinatura e a licitação efetiva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Os dois convênios foram celebrados em 2019 entre o Estado de Santa Catarina e a então Secretaria Nacional de Segurança Hídrica do Ministério do Desenvolvimento Regional. O Convênio 883988/2019 destinava recursos para a recuperação da Barragem Norte. O 883989/2019, para a conclusão do Canal Extravasor.</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novembro de 2025, o Estado informou ao Juízo (Ev. 664) que a licitação da obra principal estava prevista para abertura em 16 de dezembro de 2025 — mais de seis anos após a celebração dos convênios. A licitação do Canal Extravasor permanecia paralisada por pendências junto ao IBAMA e ao IPHAN.</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7.3  </w:t>
      </w:r>
      <w:r>
        <w:rPr>
          <w:rFonts w:ascii="Times New Roman" w:cs="Times New Roman" w:eastAsia="Times New Roman" w:hAnsi="Times New Roman"/>
          <w:b/>
          <w:bCs/>
          <w:i w:val="false"/>
          <w:iCs w:val="false"/>
          <w:caps w:val="false"/>
          <w:color w:val="2E5FA3"/>
          <w:sz w:val="24"/>
          <w:szCs w:val="24"/>
        </w:rPr>
        <w:t xml:space="preserve">Barragem de Mirim Doce — o que o TCE apontou em duas suspensões sucessivas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paralelo à situação da Barragem Norte, o Estado lançou em 2025 a Concorrência Eletrônica nº 0261/2025/SIE para a construção da nova Barragem do Rio Taió, em Mirim Doce/SC — anunciada como 'o maior investimento em mitigação de enchentes da história de Santa Catarina', com valor estimado de R$ 109.054.956,87.</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decisão singular GAC/WWD 150/2026 do TCE-SC (Conselheiro Wilson Rogério Wan-Dall) suspendeu cautelarmente a licitação por indícios de sobrepreço de R$ 23.928.984,29 — equivalente a 21,94% do valor total estimado. Os principais apontamentos: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00"/>
        <w:gridCol w:w="3871"/>
      </w:tblGrid>
      <w:tr>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bCs/>
                <w:i w:val="false"/>
                <w:iCs w:val="false"/>
                <w:caps w:val="false"/>
                <w:color w:val="FFFFFF"/>
                <w:sz w:val="22"/>
                <w:szCs w:val="22"/>
              </w:rPr>
              <w:t xml:space="preserve">Problema identificado pelo TCE</w:t>
            </w:r>
          </w:p>
        </w:tc>
        <w:tc>
          <w:tcPr>
            <w:tcW w:type="dxa" w:w="387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bCs/>
                <w:i w:val="false"/>
                <w:iCs w:val="false"/>
                <w:caps w:val="false"/>
                <w:color w:val="FFFFFF"/>
                <w:sz w:val="22"/>
                <w:szCs w:val="22"/>
              </w:rPr>
              <w:t xml:space="preserve">Sobrepreço estimado</w:t>
            </w:r>
          </w:p>
        </w:tc>
      </w:tr>
      <w:tr>
        <w:tc>
          <w:tcPr>
            <w:tcW w:type="dxa" w:w="5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Uso de areia e brita comerciais quando insumos poderiam ser obtidos da própria escavação</w:t>
            </w:r>
          </w:p>
        </w:tc>
        <w:tc>
          <w:tcPr>
            <w:tcW w:type="dxa" w:w="3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R$ 21,5 milhões</w:t>
            </w:r>
          </w:p>
        </w:tc>
      </w:tr>
      <w:tr>
        <w:tc>
          <w:tcPr>
            <w:tcW w:type="dxa" w:w="5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Distâncias de transporte possivelmente superestimadas</w:t>
            </w:r>
          </w:p>
        </w:tc>
        <w:tc>
          <w:tcPr>
            <w:tcW w:type="dxa" w:w="3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R$ 8,2 milhões</w:t>
            </w:r>
          </w:p>
        </w:tc>
      </w:tr>
      <w:tr>
        <w:tc>
          <w:tcPr>
            <w:tcW w:type="dxa" w:w="5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Central dosadora de 30 m³/h (com cimento ensacado) inadequada para o porte da obra</w:t>
            </w:r>
          </w:p>
        </w:tc>
        <w:tc>
          <w:tcPr>
            <w:tcW w:type="dxa" w:w="3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R$ 2,9 milhões</w:t>
            </w:r>
          </w:p>
        </w:tc>
      </w:tr>
      <w:tr>
        <w:tc>
          <w:tcPr>
            <w:tcW w:type="dxa" w:w="5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Falta de planilhas abertas da taxa de risco</w:t>
            </w:r>
          </w:p>
        </w:tc>
        <w:tc>
          <w:tcPr>
            <w:tcW w:type="dxa" w:w="38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Não quantificado — determinada apresentação</w:t>
            </w:r>
          </w:p>
        </w:tc>
      </w:tr>
    </w:tbl>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Não foi a primeira suspensão. Em dezembro de 2024, o TCE já havia suspendido cautelarmente a Concorrência Eletrônica nº 088/2024 — que tinha o mesmo objeto — por irregularidades relacionadas à execução de diferentes tipos de concreto. O Estado refez o edital. Em março de 2026, o TCE suspendeu novamente.</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7.4  </w:t>
      </w:r>
      <w:r>
        <w:rPr>
          <w:rFonts w:ascii="Times New Roman" w:cs="Times New Roman" w:eastAsia="Times New Roman" w:hAnsi="Times New Roman"/>
          <w:b/>
          <w:bCs/>
          <w:i w:val="false"/>
          <w:iCs w:val="false"/>
          <w:caps w:val="false"/>
          <w:color w:val="2E5FA3"/>
          <w:sz w:val="24"/>
          <w:szCs w:val="24"/>
        </w:rPr>
        <w:t xml:space="preserve">O padrão identificado: vícios de planejamento e transparência que se repetem</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Os dois casos — a licitação da Barragem Norte anulada por falha de publicação no DOU e a licitação de Mirim Doce suspensa duas vezes por sobrepreço — têm estrutura diferente, mas revelam o mesmo problema subjacente: planejamento de contratação insuficiente e controle interno que não funciona antes da publicação do edital.</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Para quem acompanha os processos de recuperação e construção de barragens no Vale do Itajaí, a pergunta não é se os vícios acontecerão de novo. É quando.</w:t>
      </w:r>
    </w:p>
    <w:p>
      <w:pPr>
        <w:pageBreakBefore/>
        <w:pBdr>
          <w:bottom w:val="single" w:color="1F3864" w:sz="10" w:space="4"/>
        </w:pBdr>
        <w:spacing w:after="120" w:before="280"/>
      </w:pPr>
      <w:r>
        <w:rPr>
          <w:rFonts w:ascii="Times New Roman" w:cs="Times New Roman" w:eastAsia="Times New Roman" w:hAnsi="Times New Roman"/>
          <w:b/>
          <w:bCs/>
          <w:i w:val="false"/>
          <w:iCs w:val="false"/>
          <w:caps w:val="false"/>
          <w:color w:val="1F3864"/>
          <w:sz w:val="28"/>
          <w:szCs w:val="28"/>
        </w:rPr>
        <w:t xml:space="preserve">8  </w:t>
      </w:r>
      <w:r>
        <w:rPr>
          <w:rFonts w:ascii="Times New Roman" w:cs="Times New Roman" w:eastAsia="Times New Roman" w:hAnsi="Times New Roman"/>
          <w:b/>
          <w:bCs/>
          <w:i w:val="false"/>
          <w:iCs w:val="false"/>
          <w:caps w:val="false"/>
          <w:color w:val="1F3864"/>
          <w:sz w:val="26"/>
          <w:szCs w:val="26"/>
        </w:rPr>
        <w:t xml:space="preserve">GOVERNANÇA E COMUNICAÇÃO DE RISCO</w:t>
      </w:r>
    </w:p>
    <w:p>
      <w:pPr>
        <w:spacing w:after="80" w:before="200"/>
      </w:pPr>
      <w:r>
        <w:rPr>
          <w:rFonts w:ascii="Times New Roman" w:cs="Times New Roman" w:eastAsia="Times New Roman" w:hAnsi="Times New Roman"/>
          <w:b/>
          <w:bCs/>
          <w:i w:val="false"/>
          <w:iCs w:val="false"/>
          <w:caps w:val="false"/>
          <w:color w:val="2E5FA3"/>
          <w:sz w:val="24"/>
          <w:szCs w:val="24"/>
        </w:rPr>
        <w:t xml:space="preserve">8.1  </w:t>
      </w:r>
      <w:r>
        <w:rPr>
          <w:rFonts w:ascii="Times New Roman" w:cs="Times New Roman" w:eastAsia="Times New Roman" w:hAnsi="Times New Roman"/>
          <w:b/>
          <w:bCs/>
          <w:i w:val="false"/>
          <w:iCs w:val="false"/>
          <w:caps w:val="false"/>
          <w:color w:val="2E5FA3"/>
          <w:sz w:val="24"/>
          <w:szCs w:val="24"/>
        </w:rPr>
        <w:t xml:space="preserve">O que ficou sem dono quando o DNOS foi extinto em 1990 — e quem deveria ter assumido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Quando a Lei nº 8.029/1990 extinguiu o DNOS, as barragens do Alto Vale do Itajaí ficaram sem gestor. As atribuições foram nominalmente transferidas ao Ministério da Integração Nacional, depois ao Ministério do Desenvolvimento Regional. O Estado de Santa Catarina assumiu a operação cotidiana — vigilância, manutenção preventiva, operação das comportas — com base em convênios e em pressão judicial, não por definição clara de competência.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que ficou em aberto: a propriedade jurídica das estruturas, a responsabilidade pelas obras de grande vulto, o financiamento da manutenção estrutural e, mais importante, a autoridade para tomar decisões operacionais em situação de emergência. Em 2023, essa indefinição ficou evidente quando foi necessária uma ordem judicial para que o Estado pudesse entrar na própria barragem.</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8.2  </w:t>
      </w:r>
      <w:r>
        <w:rPr>
          <w:rFonts w:ascii="Times New Roman" w:cs="Times New Roman" w:eastAsia="Times New Roman" w:hAnsi="Times New Roman"/>
          <w:b/>
          <w:bCs/>
          <w:i w:val="false"/>
          <w:iCs w:val="false"/>
          <w:caps w:val="false"/>
          <w:color w:val="2E5FA3"/>
          <w:sz w:val="24"/>
          <w:szCs w:val="24"/>
        </w:rPr>
        <w:t xml:space="preserve">Sem equipe técnica permanente, sem protocolo de alerta, sem plano regional de contingência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Barragem Norte não tem operador permanente. Não há equipe técnica residente na estrutura. O sistema de radiofonia com a Defesa Civil foi destruído em 2014 e não foi restabelecido. Não existe protocolo formal de alerta para os municípios a jusante — não há definição de quais cidades devem ser acionadas, em que sequência, com qual antecedência e por qual canal de comunicação.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Os municípios a jusante — de Presidente Getúlio a Itajaí — não têm planos de contingência integrados entre si nem com a Defesa Civil estadual para o cenário específico de operação emergencial ou falha da Barragem Norte. Os planos existentes são genéricos e não contemplam os tempos de deslocamento da onda de cheia pós-operação da barragem.</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8.3  </w:t>
      </w:r>
      <w:r>
        <w:rPr>
          <w:rFonts w:ascii="Times New Roman" w:cs="Times New Roman" w:eastAsia="Times New Roman" w:hAnsi="Times New Roman"/>
          <w:b/>
          <w:bCs/>
          <w:i w:val="false"/>
          <w:iCs w:val="false"/>
          <w:caps w:val="false"/>
          <w:color w:val="2E5FA3"/>
          <w:sz w:val="24"/>
          <w:szCs w:val="24"/>
        </w:rPr>
        <w:t xml:space="preserve">A pergunta que nenhum órgão consegue responder com clareza: quem decide abrir as comportas quando a chuva chega?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Em outubro de 2023, a resposta foi: um juiz federal, por meio de liminar. Isso é a confirmação de que o sistema de governança da barragem falhou em seu nível mais básico. A decisão operacional mais crítica de uma barragem de contenção de cheias — quando e como operar as comportas — foi delegada ao Judiciário por omissão dos entes responsáveis.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Essa situação não é sustentável. A próxima chuva não vai esperar o tempo de instrução de um mandado de segurança.</w:t>
      </w:r>
    </w:p>
    <w:p>
      <w:pPr>
        <w:pageBreakBefore/>
        <w:pBdr>
          <w:bottom w:val="single" w:color="1F3864" w:sz="10" w:space="4"/>
        </w:pBdr>
        <w:spacing w:after="120" w:before="280"/>
      </w:pPr>
      <w:r>
        <w:rPr>
          <w:rFonts w:ascii="Times New Roman" w:cs="Times New Roman" w:eastAsia="Times New Roman" w:hAnsi="Times New Roman"/>
          <w:b/>
          <w:bCs/>
          <w:i w:val="false"/>
          <w:iCs w:val="false"/>
          <w:caps w:val="false"/>
          <w:color w:val="1F3864"/>
          <w:sz w:val="28"/>
          <w:szCs w:val="28"/>
        </w:rPr>
        <w:t xml:space="preserve">9  </w:t>
      </w:r>
      <w:r>
        <w:rPr>
          <w:rFonts w:ascii="Times New Roman" w:cs="Times New Roman" w:eastAsia="Times New Roman" w:hAnsi="Times New Roman"/>
          <w:b/>
          <w:bCs/>
          <w:i w:val="false"/>
          <w:iCs w:val="false"/>
          <w:caps w:val="false"/>
          <w:color w:val="1F3864"/>
          <w:sz w:val="26"/>
          <w:szCs w:val="26"/>
        </w:rPr>
        <w:t xml:space="preserve">RESPONSABILIDADE PÚBLICA E DIREITO COMPARADO</w:t>
      </w:r>
    </w:p>
    <w:p>
      <w:pPr>
        <w:spacing w:after="80" w:before="200"/>
      </w:pPr>
      <w:r>
        <w:rPr>
          <w:rFonts w:ascii="Times New Roman" w:cs="Times New Roman" w:eastAsia="Times New Roman" w:hAnsi="Times New Roman"/>
          <w:b/>
          <w:bCs/>
          <w:i w:val="false"/>
          <w:iCs w:val="false"/>
          <w:caps w:val="false"/>
          <w:color w:val="2E5FA3"/>
          <w:sz w:val="24"/>
          <w:szCs w:val="24"/>
        </w:rPr>
        <w:t xml:space="preserve">9.1  </w:t>
      </w:r>
      <w:r>
        <w:rPr>
          <w:rFonts w:ascii="Times New Roman" w:cs="Times New Roman" w:eastAsia="Times New Roman" w:hAnsi="Times New Roman"/>
          <w:b/>
          <w:bCs/>
          <w:i w:val="false"/>
          <w:iCs w:val="false"/>
          <w:caps w:val="false"/>
          <w:color w:val="2E5FA3"/>
          <w:sz w:val="24"/>
          <w:szCs w:val="24"/>
        </w:rPr>
        <w:t xml:space="preserve">A barragem como serviço público de segurança — fundamento constitucional</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Constituição Federal estabelece, no art. 21, XVIII, competência exclusiva da União para 'planejar e promover a defesa permanente contra as calamidades públicas, especialmente as secas e as inundações'. O art. 37, §6º dispõe que as pessoas jurídicas de direito público respondem pelos danos que seus agentes causarem a terceiros — o que abrange os danos decorrentes de omissão no exercício de serviço público.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barragem de contenção de cheias não é uma obra estática. É um serviço público de segurança que precisa estar disponível e operante no momento em que a população que depende dele mais precisa: durante a cheia. Um serviço público de segurança que não funciona na emergência não cumpriu sua função — e a omissão gera responsabilidade.</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9.2  </w:t>
      </w:r>
      <w:r>
        <w:rPr>
          <w:rFonts w:ascii="Times New Roman" w:cs="Times New Roman" w:eastAsia="Times New Roman" w:hAnsi="Times New Roman"/>
          <w:b/>
          <w:bCs/>
          <w:i w:val="false"/>
          <w:iCs w:val="false"/>
          <w:caps w:val="false"/>
          <w:color w:val="2E5FA3"/>
          <w:sz w:val="24"/>
          <w:szCs w:val="24"/>
        </w:rPr>
        <w:t xml:space="preserve">Funcionamento anormal do serviço público — conceito e aplicação a barragens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conceito de 'funcionamento anormal do serviço público' tem aplicação direta no Direito administrativo brasileiro, alinhada à teoria francesa da faute du service. No Brasil, a jurisprudência do STJ e dos Tribunais Regionais Federais reconhece que a omissão estatal específica — quando o Estado tinha o dever de agir e não agiu, ou agiu de forma deficiente — gera responsabilidade civil, independentemente de dolo ou culpa dos agentes.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Aplicado a barragens, o conceito desloca o eixo do debate. A pergunta relevante não é 'a barragem rompeu?'. A pergunta é: o serviço público de operação, manutenção, acesso, alerta e resposta emergencial funcionou de forma adequada e tempestiva? Se a resposta for negativa — e no caso da Barragem Norte, a resposta está documentada nos autos — a responsabilidade estatal está caracterizada.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00"/>
        <w:gridCol w:w="5071"/>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bCs/>
                <w:i w:val="false"/>
                <w:iCs w:val="false"/>
                <w:caps w:val="false"/>
                <w:color w:val="FFFFFF"/>
                <w:sz w:val="22"/>
                <w:szCs w:val="22"/>
              </w:rPr>
              <w:t xml:space="preserve">Situação documentada na Barragem Norte</w:t>
            </w:r>
          </w:p>
        </w:tc>
        <w:tc>
          <w:tcPr>
            <w:tcW w:type="dxa" w:w="507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bCs/>
                <w:i w:val="false"/>
                <w:iCs w:val="false"/>
                <w:caps w:val="false"/>
                <w:color w:val="FFFFFF"/>
                <w:sz w:val="22"/>
                <w:szCs w:val="22"/>
              </w:rPr>
              <w:t xml:space="preserve">Fundamento de funcionamento anormal</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Comportas inoperantes desde 2014</w:t>
            </w:r>
          </w:p>
        </w:tc>
        <w:tc>
          <w:tcPr>
            <w:tcW w:type="dxa" w:w="50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Equipamento essencial sem condição de uso por mais de uma década</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Sistema elétrico destruído</w:t>
            </w:r>
          </w:p>
        </w:tc>
        <w:tc>
          <w:tcPr>
            <w:tcW w:type="dxa" w:w="50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Ausência de capacidade operacional básica</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Sem equipe técnica permanente</w:t>
            </w:r>
          </w:p>
        </w:tc>
        <w:tc>
          <w:tcPr>
            <w:tcW w:type="dxa" w:w="50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Falha de pessoal para operar o serviço</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Acesso bloqueado por omissão do próprio Estado</w:t>
            </w:r>
          </w:p>
        </w:tc>
        <w:tc>
          <w:tcPr>
            <w:tcW w:type="dxa" w:w="50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Falha de planejamento e cumprimento de obrigações sociais pactuadas</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PSB e PAE inexistentes</w:t>
            </w:r>
          </w:p>
        </w:tc>
        <w:tc>
          <w:tcPr>
            <w:tcW w:type="dxa" w:w="50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Falta de preparação legal para proteger a população a jusante</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Sentença de 2010 descumprida em 2026</w:t>
            </w:r>
          </w:p>
        </w:tc>
        <w:tc>
          <w:tcPr>
            <w:tcW w:type="dxa" w:w="50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Omissão específica diante de dever judicial reconhecido</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Laudos técnicos com recomendações não implementadas</w:t>
            </w:r>
          </w:p>
        </w:tc>
        <w:tc>
          <w:tcPr>
            <w:tcW w:type="dxa" w:w="50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Risco conhecido e não enfrentado</w:t>
            </w:r>
          </w:p>
        </w:tc>
      </w:tr>
    </w:tbl>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9.3  </w:t>
      </w:r>
      <w:r>
        <w:rPr>
          <w:rFonts w:ascii="Times New Roman" w:cs="Times New Roman" w:eastAsia="Times New Roman" w:hAnsi="Times New Roman"/>
          <w:b/>
          <w:bCs/>
          <w:i w:val="false"/>
          <w:iCs w:val="false"/>
          <w:caps w:val="false"/>
          <w:color w:val="2E5FA3"/>
          <w:sz w:val="24"/>
          <w:szCs w:val="24"/>
        </w:rPr>
        <w:t xml:space="preserve">Tous, Espanha, 1982 — o Tribunal Supremo espanhol não aceitou o argumento de força maior</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Barragem de Tous, no rio Júcar, província de Valência, rompeu em 20 de outubro de 1982 durante um episódio de chuva torrencial mediterrânea — a 'gota fría' — com precipitações de aproximadamente 1.000 litros por metro quadrado em 15 horas. A estrutura era uma barragem de controle de cheias. Falhou justamente quando deveria funcionar.</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mecanismo da falha é relevante para a comparação com a Barragem Norte: durante a cheia, a energia elétrica foi perdida. As comportas do vertedouro ficaram inoperantes. O único gerador disponível foi alcançado pela água. Um gerador substituto foi solicitado, mas o acesso estava bloqueado pela inundação. A barragem foi galgada. A brecha produziu uma vazão estimada em 550.000 pés cúbicos por segundo — muito acima da capacidade de projeto do vertedouro. A obra de proteção se converteu em fator de agravamento do desastre.</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governo espanhol alegou força maior em razão da excepcionalidade das chuvas. O Tribunal Supremo espanhol, na sentença de 20 de outubro de 1997, reconheceu a responsabilidade patrimonial direta da Administração do Estado por funcionamento anormal do serviço público — 'especialmente por omissões determinantes da ruptura da Barragem de Tous', conforme registrado no BOE-A-2003-6241. O Estado pagou indenizações por décadas.</w:t>
      </w:r>
    </w:p>
    <w:p>
      <w:pPr>
        <w:spacing w:after="60" w:before="0"/>
      </w:pPr>
      <w:r>
        <w:rPr>
          <w:sz w:val="8"/>
          <w:szCs w:val="8"/>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1F3864" w:sz="16"/>
              <w:left w:val="single" w:color="1F3864" w:sz="24"/>
              <w:bottom w:val="single" w:color="1F3864" w:sz="16"/>
              <w:right w:val="none" w:color="FFFFFF" w:sz="0"/>
            </w:tcBorders>
            <w:shd w:fill="F2F4F7" w:val="clear"/>
            <w:tcMar>
              <w:top w:type="dxa" w:w="100"/>
              <w:left w:type="dxa" w:w="200"/>
              <w:bottom w:type="dxa" w:w="100"/>
              <w:right w:type="dxa" w:w="120"/>
            </w:tcMar>
          </w:tcPr>
          <w:p>
            <w:pPr>
              <w:spacing w:after="40" w:before="40" w:line="320"/>
              <w:jc w:val="both"/>
            </w:pPr>
            <w:r>
              <w:rPr>
                <w:rFonts w:ascii="Times New Roman" w:cs="Times New Roman" w:eastAsia="Times New Roman" w:hAnsi="Times New Roman"/>
                <w:b/>
                <w:bCs/>
                <w:i w:val="false"/>
                <w:iCs w:val="false"/>
                <w:caps w:val="false"/>
                <w:color w:val="1A1A1A"/>
                <w:sz w:val="22"/>
                <w:szCs w:val="22"/>
              </w:rPr>
              <w:t xml:space="preserve">! LIÇÃO JURÍDICA DO CASO TOUS: o argumento de força maior por chuva excepcional não afasta</w:t>
            </w:r>
          </w:p>
          <w:p>
            <w:pPr>
              <w:spacing w:after="40" w:before="40" w:line="320"/>
              <w:jc w:val="both"/>
            </w:pPr>
            <w:r>
              <w:rPr>
                <w:rFonts w:ascii="Times New Roman" w:cs="Times New Roman" w:eastAsia="Times New Roman" w:hAnsi="Times New Roman"/>
                <w:b w:val="false"/>
                <w:bCs w:val="false"/>
                <w:i w:val="false"/>
                <w:iCs w:val="false"/>
                <w:caps w:val="false"/>
                <w:color w:val="1A1A1A"/>
                <w:sz w:val="22"/>
                <w:szCs w:val="22"/>
              </w:rPr>
              <w:t xml:space="preserve">a responsabilidade estatal quando o dano decorre, ainda que em concorrência causal, de falhas</w:t>
            </w:r>
          </w:p>
          <w:p>
            <w:pPr>
              <w:spacing w:after="40" w:before="40" w:line="320"/>
              <w:jc w:val="both"/>
            </w:pPr>
            <w:r>
              <w:rPr>
                <w:rFonts w:ascii="Times New Roman" w:cs="Times New Roman" w:eastAsia="Times New Roman" w:hAnsi="Times New Roman"/>
                <w:b w:val="false"/>
                <w:bCs w:val="false"/>
                <w:i w:val="false"/>
                <w:iCs w:val="false"/>
                <w:caps w:val="false"/>
                <w:color w:val="1A1A1A"/>
                <w:sz w:val="22"/>
                <w:szCs w:val="22"/>
              </w:rPr>
              <w:t xml:space="preserve">de manutenção, operação, acesso, energia, alerta, fiscalização ou resposta institucional.</w:t>
            </w:r>
          </w:p>
          <w:p>
            <w:pPr>
              <w:spacing w:after="40" w:before="40" w:line="320"/>
              <w:jc w:val="both"/>
            </w:pPr>
            <w:r>
              <w:rPr>
                <w:rFonts w:ascii="Times New Roman" w:cs="Times New Roman" w:eastAsia="Times New Roman" w:hAnsi="Times New Roman"/>
                <w:b w:val="false"/>
                <w:bCs w:val="false"/>
                <w:i w:val="false"/>
                <w:iCs w:val="false"/>
                <w:caps w:val="false"/>
                <w:color w:val="1A1A1A"/>
                <w:sz w:val="22"/>
                <w:szCs w:val="22"/>
              </w:rPr>
              <w:t xml:space="preserve">O Estado tinha dever de garantir a plena funcionalidade do serviço exatamente no momento crítico.</w:t>
            </w:r>
          </w:p>
          <w:p>
            <w:pPr>
              <w:spacing w:after="40" w:before="40" w:line="320"/>
              <w:jc w:val="both"/>
            </w:pPr>
            <w:r>
              <w:rPr>
                <w:rFonts w:ascii="Times New Roman" w:cs="Times New Roman" w:eastAsia="Times New Roman" w:hAnsi="Times New Roman"/>
                <w:b w:val="false"/>
                <w:bCs w:val="false"/>
                <w:i w:val="false"/>
                <w:iCs w:val="false"/>
                <w:caps w:val="false"/>
                <w:color w:val="1A1A1A"/>
                <w:sz w:val="22"/>
                <w:szCs w:val="22"/>
              </w:rPr>
              <w:t xml:space="preserve">Fonte: BOE-A-2003-6241 — Ley 5/2003, de 27 de marzo (Espanha).</w:t>
            </w:r>
          </w:p>
        </w:tc>
      </w:tr>
    </w:tbl>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9.4  </w:t>
      </w:r>
      <w:r>
        <w:rPr>
          <w:rFonts w:ascii="Times New Roman" w:cs="Times New Roman" w:eastAsia="Times New Roman" w:hAnsi="Times New Roman"/>
          <w:b/>
          <w:bCs/>
          <w:i w:val="false"/>
          <w:iCs w:val="false"/>
          <w:caps w:val="false"/>
          <w:color w:val="2E5FA3"/>
          <w:sz w:val="24"/>
          <w:szCs w:val="24"/>
        </w:rPr>
        <w:t xml:space="preserve">Vajont, Itália, 1963 — barragem intacta, 1.910 mortos, responsabilidade criminal documentada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Barragem de Vajont, no norte da Itália, tinha 262 metros de altura e era uma das maiores do mundo em 1963. Em 9 de outubro daquele ano, um deslizamento do Monte Toc — aproximadamente 270 milhões de metros cúbicos de rocha e solo — caiu dentro do reservatório. A onda gerada pelo impacto ultrapassou a crista da barragem e destruiu o vale a jusante, especialmente a cidade de Longarone. Morreram 1.910 pessoas.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barragem ficou de pé. A estrutura de concreto permanece de pé até hoje. O desastre não foi causado pelo rompimento da barragem — foi causado pela combinação entre instabilidade geológica conhecida, variações no nível do reservatório que influenciaram a massa instável, falhas de monitoramento e desconsideração de alertas técnicos anteriores.</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UNESCO registrou os autos criminais do caso Vajont no Programa Memória do Mundo — precisamente porque documentam a responsabilidade humana num desastre que envolveu omissão diante de sinais técnicos identificáveis. A relevância para o caso da Barragem Norte é direta: o risco de uma barragem não se limita à hipótese de rompimento físico da estrutura. O risco inclui qualquer falha operacional, de monitoramento ou de gestão que produza dano à população a jusante.</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9.5  </w:t>
      </w:r>
      <w:r>
        <w:rPr>
          <w:rFonts w:ascii="Times New Roman" w:cs="Times New Roman" w:eastAsia="Times New Roman" w:hAnsi="Times New Roman"/>
          <w:b/>
          <w:bCs/>
          <w:i w:val="false"/>
          <w:iCs w:val="false"/>
          <w:caps w:val="false"/>
          <w:color w:val="2E5FA3"/>
          <w:sz w:val="24"/>
          <w:szCs w:val="24"/>
        </w:rPr>
        <w:t xml:space="preserve">Aplicação à Barragem Norte: o risco jurídico independe de rompimento físico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Os casos Tous e Vajont ensinam, cada um a seu modo, que a responsabilidade do Estado em relação a uma barragem de proteção não começa quando a estrutura rompe. Começa quando o serviço público de segurança deixa de funcionar adequadamente — seja por omissão de manutenção, falha operacional, ausência de pessoal, falta de energia, bloqueio de acesso ou inexistência de plano de emergência.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Na Barragem Norte, todos esses fatores estão presentes e documentados nos autos. Uma enchente futura que cause danos à população do Vale do Itajaí, com a barragem nessas condições, produzirá uma discussão jurídica que não se resolverá com o argumento de que 'choveu muito'. A pergunta será a mesma que o Tribunal Supremo espanhol fez em 1997: o serviço público estava em condições de funcionar quando precisava funcionar?</w:t>
      </w:r>
    </w:p>
    <w:p>
      <w:pPr>
        <w:pageBreakBefore/>
        <w:pBdr>
          <w:bottom w:val="single" w:color="1F3864" w:sz="10" w:space="4"/>
        </w:pBdr>
        <w:spacing w:after="120" w:before="280"/>
      </w:pPr>
      <w:r>
        <w:rPr>
          <w:rFonts w:ascii="Times New Roman" w:cs="Times New Roman" w:eastAsia="Times New Roman" w:hAnsi="Times New Roman"/>
          <w:b/>
          <w:bCs/>
          <w:i w:val="false"/>
          <w:iCs w:val="false"/>
          <w:caps w:val="false"/>
          <w:color w:val="1F3864"/>
          <w:sz w:val="28"/>
          <w:szCs w:val="28"/>
        </w:rPr>
        <w:t xml:space="preserve">10  </w:t>
      </w:r>
      <w:r>
        <w:rPr>
          <w:rFonts w:ascii="Times New Roman" w:cs="Times New Roman" w:eastAsia="Times New Roman" w:hAnsi="Times New Roman"/>
          <w:b/>
          <w:bCs/>
          <w:i w:val="false"/>
          <w:iCs w:val="false"/>
          <w:caps w:val="false"/>
          <w:color w:val="1F3864"/>
          <w:sz w:val="26"/>
          <w:szCs w:val="26"/>
        </w:rPr>
        <w:t xml:space="preserve">MEDIDAS URGENTES E ATUAÇÃO INSTITUCIONAL</w:t>
      </w:r>
    </w:p>
    <w:p>
      <w:pPr>
        <w:spacing w:after="80" w:before="200"/>
      </w:pPr>
      <w:r>
        <w:rPr>
          <w:rFonts w:ascii="Times New Roman" w:cs="Times New Roman" w:eastAsia="Times New Roman" w:hAnsi="Times New Roman"/>
          <w:b/>
          <w:bCs/>
          <w:i w:val="false"/>
          <w:iCs w:val="false"/>
          <w:caps w:val="false"/>
          <w:color w:val="2E5FA3"/>
          <w:sz w:val="24"/>
          <w:szCs w:val="24"/>
        </w:rPr>
        <w:t xml:space="preserve">10.1  </w:t>
      </w:r>
      <w:r>
        <w:rPr>
          <w:rFonts w:ascii="Times New Roman" w:cs="Times New Roman" w:eastAsia="Times New Roman" w:hAnsi="Times New Roman"/>
          <w:b/>
          <w:bCs/>
          <w:i w:val="false"/>
          <w:iCs w:val="false"/>
          <w:caps w:val="false"/>
          <w:color w:val="2E5FA3"/>
          <w:sz w:val="24"/>
          <w:szCs w:val="24"/>
        </w:rPr>
        <w:t xml:space="preserve">Operação regular, recuperação estrutural e acesso permanente garantido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regularização da operação da Barragem Norte exige, de forma simultânea e não sequencial:</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aps w:val="false"/>
          <w:color w:val="1A1A1A"/>
          <w:sz w:val="24"/>
          <w:szCs w:val="24"/>
        </w:rPr>
        <w:t xml:space="preserve">Contratação de equipe técnica permanente para operação e vigilância da estrutura, conforme obrigação da sentença de 2010 ainda descumprida;</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aps w:val="false"/>
          <w:color w:val="1A1A1A"/>
          <w:sz w:val="24"/>
          <w:szCs w:val="24"/>
        </w:rPr>
        <w:t xml:space="preserve">Conclusão do processo licitatório para a obra de recuperação estrutural, com cronograma físico-financeiro vinculante e fiscalização independente;</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aps w:val="false"/>
          <w:color w:val="1A1A1A"/>
          <w:sz w:val="24"/>
          <w:szCs w:val="24"/>
        </w:rPr>
        <w:t xml:space="preserve">Formalização do protocolo de acesso à Terra Indígena Ibirama-La Klãnõ, com cumprimento efetivo dos compromissos sociais assumidos desde 2015 como condição para o acesso permanente à barragem;</w:t>
      </w:r>
    </w:p>
    <w:p>
      <w:pPr>
        <w:pStyle w:val="ListParagraph"/>
        <w:numPr>
          <w:ilvl w:val="0"/>
          <w:numId w:val="2"/>
        </w:numPr>
        <w:spacing w:after="60" w:before="60" w:line="340"/>
      </w:pPr>
      <w:r>
        <w:rPr>
          <w:rFonts w:ascii="Times New Roman" w:cs="Times New Roman" w:eastAsia="Times New Roman" w:hAnsi="Times New Roman"/>
          <w:b w:val="false"/>
          <w:bCs w:val="false"/>
          <w:i w:val="false"/>
          <w:iCs w:val="false"/>
          <w:caps w:val="false"/>
          <w:color w:val="1A1A1A"/>
          <w:sz w:val="24"/>
          <w:szCs w:val="24"/>
        </w:rPr>
        <w:t xml:space="preserve">Restabelecimento do sistema de comunicação entre a barragem e a Defesa Civil estadual.</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10.2  </w:t>
      </w:r>
      <w:r>
        <w:rPr>
          <w:rFonts w:ascii="Times New Roman" w:cs="Times New Roman" w:eastAsia="Times New Roman" w:hAnsi="Times New Roman"/>
          <w:b/>
          <w:bCs/>
          <w:i w:val="false"/>
          <w:iCs w:val="false"/>
          <w:caps w:val="false"/>
          <w:color w:val="2E5FA3"/>
          <w:sz w:val="24"/>
          <w:szCs w:val="24"/>
        </w:rPr>
        <w:t xml:space="preserve">PSB, PAE e integração dos planos municipais de contingência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elaboração do Plano de Segurança da Barragem (PSB) e do Plano de Ação de Emergência (PAE) é obrigação legal prevista na Lei nº 12.334/2010 e na Resolução ANA nº 236/2017, além de obrigação da sentença de 2010. O PAE deve incluir mapa de inundação, zonas de autossalvamento, rotas de evacuação, tempo de deslocamento da onda para cada município a jusante, canais de comunicação e protocolos de acionamento.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Os planos municipais de contingência dos 16 municípios a jusante precisam ser revisados e integrados ao PAE da barragem. Hoje, esses planos foram elaborados de forma independente, sem considerar os dados específicos de operação da Barragem Norte.</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10.3  </w:t>
      </w:r>
      <w:r>
        <w:rPr>
          <w:rFonts w:ascii="Times New Roman" w:cs="Times New Roman" w:eastAsia="Times New Roman" w:hAnsi="Times New Roman"/>
          <w:b/>
          <w:bCs/>
          <w:i w:val="false"/>
          <w:iCs w:val="false"/>
          <w:caps w:val="false"/>
          <w:color w:val="2E5FA3"/>
          <w:sz w:val="24"/>
          <w:szCs w:val="24"/>
        </w:rPr>
        <w:t xml:space="preserve">Instância regional permanente de acompanhamento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criação de uma instância regional de acompanhamento — envolvendo municípios a jusante, entidades empresariais, Defesa Civil estadual, órgãos de controle e representantes da comunidade indígena — é condição para que a governança da barragem deixe de depender de ordens judiciais em situação de emergência.</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Essa instância deve ter acesso regular a informações sobre o nível do reservatório, o status das comportas, os contratos de manutenção em vigor, os laudos técnicos e o cronograma das obras. A transparência ativa é o instrumento mais eficaz de controle preventivo.</w:t>
      </w:r>
    </w:p>
    <w:p>
      <w:pPr>
        <w:spacing w:after="60" w:before="0"/>
      </w:pPr>
      <w:r>
        <w:rPr>
          <w:sz w:val="8"/>
          <w:szCs w:val="8"/>
        </w:rPr>
        <w:t xml:space="preserve"/>
      </w:r>
    </w:p>
    <w:p>
      <w:pPr>
        <w:spacing w:after="80" w:before="200"/>
      </w:pPr>
      <w:r>
        <w:rPr>
          <w:rFonts w:ascii="Times New Roman" w:cs="Times New Roman" w:eastAsia="Times New Roman" w:hAnsi="Times New Roman"/>
          <w:b/>
          <w:bCs/>
          <w:i w:val="false"/>
          <w:iCs w:val="false"/>
          <w:caps w:val="false"/>
          <w:color w:val="2E5FA3"/>
          <w:sz w:val="24"/>
          <w:szCs w:val="24"/>
        </w:rPr>
        <w:t xml:space="preserve">10.4  </w:t>
      </w:r>
      <w:r>
        <w:rPr>
          <w:rFonts w:ascii="Times New Roman" w:cs="Times New Roman" w:eastAsia="Times New Roman" w:hAnsi="Times New Roman"/>
          <w:b/>
          <w:bCs/>
          <w:i w:val="false"/>
          <w:iCs w:val="false"/>
          <w:caps w:val="false"/>
          <w:color w:val="2E5FA3"/>
          <w:sz w:val="24"/>
          <w:szCs w:val="24"/>
        </w:rPr>
        <w:t xml:space="preserve">O que cabe a cada frente de atuação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bCs/>
                <w:i w:val="false"/>
                <w:iCs w:val="false"/>
                <w:caps w:val="false"/>
                <w:color w:val="FFFFFF"/>
                <w:sz w:val="22"/>
                <w:szCs w:val="22"/>
              </w:rPr>
              <w:t xml:space="preserve">Frente</w:t>
            </w:r>
          </w:p>
        </w:tc>
        <w:tc>
          <w:tcPr>
            <w:tcW w:type="dxa" w:w="707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bCs/>
                <w:i w:val="false"/>
                <w:iCs w:val="false"/>
                <w:caps w:val="false"/>
                <w:color w:val="FFFFFF"/>
                <w:sz w:val="22"/>
                <w:szCs w:val="22"/>
              </w:rPr>
              <w:t xml:space="preserve">Ações concretas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Judicial</w:t>
            </w:r>
          </w:p>
        </w:tc>
        <w:tc>
          <w:tcPr>
            <w:tcW w:type="dxa" w:w="70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Ingresso nos autos como amicus curiae (art. 138 CPC / art. 5º Lei 7.347/85); pedido de majoração das astreintes para valor coercitivo real; requerimento de perito judicial para monitoramento contínuo das condições estruturais; quantificação e execução das multas acumuladas desde 2020</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Administrativa</w:t>
            </w:r>
          </w:p>
        </w:tc>
        <w:tc>
          <w:tcPr>
            <w:tcW w:type="dxa" w:w="70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Ofícios formais ao MIDR e à Defesa Civil estadual exigindo cronograma executivo; reunião presencial com Secretário de Proteção e Defesa Civil; cobrança sobre destinação dos R$ 3 milhões depositados em juízo no processo conexo</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Legislativa</w:t>
            </w:r>
          </w:p>
        </w:tc>
        <w:tc>
          <w:tcPr>
            <w:tcW w:type="dxa" w:w="70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Comunicação à bancada federal e estadual de SC; requerimento de audiência pública na ALESC; acompanhamento das emendas orçamentárias destinadas às barragens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0" w:before="0" w:line="280"/>
              <w:jc w:val="left"/>
            </w:pPr>
            <w:r>
              <w:rPr>
                <w:rFonts w:ascii="Times New Roman" w:cs="Times New Roman" w:eastAsia="Times New Roman" w:hAnsi="Times New Roman"/>
                <w:b w:val="false"/>
                <w:bCs w:val="false"/>
                <w:i w:val="false"/>
                <w:iCs w:val="false"/>
                <w:caps w:val="false"/>
                <w:color w:val="1F3864"/>
                <w:sz w:val="22"/>
                <w:szCs w:val="22"/>
              </w:rPr>
              <w:t xml:space="preserve">Técnica</w:t>
            </w:r>
          </w:p>
        </w:tc>
        <w:tc>
          <w:tcPr>
            <w:tcW w:type="dxa" w:w="707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80"/>
              <w:jc w:val="both"/>
            </w:pPr>
            <w:r>
              <w:rPr>
                <w:rFonts w:ascii="Times New Roman" w:cs="Times New Roman" w:eastAsia="Times New Roman" w:hAnsi="Times New Roman"/>
                <w:b w:val="false"/>
                <w:bCs w:val="false"/>
                <w:i w:val="false"/>
                <w:iCs w:val="false"/>
                <w:caps w:val="false"/>
                <w:color w:val="1A1A1A"/>
                <w:sz w:val="22"/>
                <w:szCs w:val="22"/>
              </w:rPr>
              <w:t xml:space="preserve">Auditoria independente dos contratos de manutenção existentes; verificação da execução física das obras listadas na IT nº 160/2025; acompanhamento do processo licitatório com fiscalização da sociedade civil</w:t>
            </w:r>
          </w:p>
        </w:tc>
      </w:tr>
    </w:tbl>
    <w:p>
      <w:pPr>
        <w:pageBreakBefore/>
        <w:pBdr>
          <w:bottom w:val="single" w:color="1F3864" w:sz="10" w:space="4"/>
        </w:pBdr>
        <w:spacing w:after="120" w:before="280"/>
      </w:pPr>
      <w:r>
        <w:rPr>
          <w:rFonts w:ascii="Times New Roman" w:cs="Times New Roman" w:eastAsia="Times New Roman" w:hAnsi="Times New Roman"/>
          <w:b/>
          <w:bCs/>
          <w:i w:val="false"/>
          <w:iCs w:val="false"/>
          <w:caps w:val="false"/>
          <w:color w:val="1F3864"/>
          <w:sz w:val="28"/>
          <w:szCs w:val="28"/>
        </w:rPr>
        <w:t xml:space="preserve">  </w:t>
      </w:r>
      <w:r>
        <w:rPr>
          <w:rFonts w:ascii="Times New Roman" w:cs="Times New Roman" w:eastAsia="Times New Roman" w:hAnsi="Times New Roman"/>
          <w:b/>
          <w:bCs/>
          <w:i w:val="false"/>
          <w:iCs w:val="false"/>
          <w:caps w:val="false"/>
          <w:color w:val="1F3864"/>
          <w:sz w:val="26"/>
          <w:szCs w:val="26"/>
        </w:rPr>
        <w:t xml:space="preserve">CONCLUSÃO</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O risco é previsível. Está documentado. Pode ser evitado. E se não for evitado, há responsabilidade jurídica imputável — não à chuva, mas a quem sabia, tinha dever de agir e não agiu.</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A Barragem Norte não é um problema de José Boiteux. É uma questão de segurança para 1,3 milhão de pessoas, de proteção de R$ 80 bilhões em PIB regional e de cumprimento de sentença judicial definitiva que existe desde 2010.</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Dois diagnósticos técnicos internacionais — JICA 1988 e JICA 2011 — apontaram os problemas. Um laudo nacional — Hydros 2021 — confirmou a deterioração. Uma sentença judicial — transitada em julgado há 15 anos — impôs 26 obrigações. Multas acumulam mais de R$ 3 milhões por réu sem cobrança efetiva. Uma licitação foi anulada por esquecimento de publicação no DOU. O operador não existe. O Plano de Ação de Emergência não existe. Em outubro de 2023, a barragem só funcionou porque um juiz federal mandou e empresários pagaram.</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Não é falta de diagnóstico. Não é falta de sentença. É falta de pressão organizada com força institucional suficiente para que os entes responsáveis cumpram o que já são obrigados a fazer.</w:t>
      </w:r>
    </w:p>
    <w:p>
      <w:pPr>
        <w:spacing w:after="120" w:before="0" w:line="360"/>
        <w:jc w:val="both"/>
      </w:pPr>
      <w:r>
        <w:rPr>
          <w:rFonts w:ascii="Times New Roman" w:cs="Times New Roman" w:eastAsia="Times New Roman" w:hAnsi="Times New Roman"/>
          <w:b w:val="false"/>
          <w:bCs w:val="false"/>
          <w:i w:val="false"/>
          <w:iCs w:val="false"/>
          <w:caps w:val="false"/>
          <w:color w:val="1A1A1A"/>
          <w:sz w:val="24"/>
          <w:szCs w:val="24"/>
        </w:rPr>
        <w:t xml:space="preserve">Este dossiê é parte dessa pressão.</w:t>
      </w:r>
    </w:p>
    <w:p>
      <w:pPr>
        <w:pageBreakBefore/>
        <w:pBdr>
          <w:bottom w:val="single" w:color="1F3864" w:sz="10" w:space="4"/>
        </w:pBdr>
        <w:spacing w:after="120" w:before="280"/>
      </w:pPr>
      <w:r>
        <w:rPr>
          <w:rFonts w:ascii="Times New Roman" w:cs="Times New Roman" w:eastAsia="Times New Roman" w:hAnsi="Times New Roman"/>
          <w:b/>
          <w:bCs/>
          <w:i w:val="false"/>
          <w:iCs w:val="false"/>
          <w:caps w:val="false"/>
          <w:color w:val="1F3864"/>
          <w:sz w:val="28"/>
          <w:szCs w:val="28"/>
        </w:rPr>
        <w:t xml:space="preserve">  </w:t>
      </w:r>
      <w:r>
        <w:rPr>
          <w:rFonts w:ascii="Times New Roman" w:cs="Times New Roman" w:eastAsia="Times New Roman" w:hAnsi="Times New Roman"/>
          <w:b/>
          <w:bCs/>
          <w:i w:val="false"/>
          <w:iCs w:val="false"/>
          <w:caps w:val="false"/>
          <w:color w:val="1F3864"/>
          <w:sz w:val="26"/>
          <w:szCs w:val="26"/>
        </w:rPr>
        <w:t xml:space="preserve">REFERÊNCIAS E FONTES DE VERIFICAÇÃO</w:t>
      </w:r>
    </w:p>
    <w:p>
      <w:pPr>
        <w:spacing w:after="120" w:before="0"/>
      </w:pPr>
      <w:r>
        <w:rPr>
          <w:rFonts w:ascii="Times New Roman" w:cs="Times New Roman" w:eastAsia="Times New Roman" w:hAnsi="Times New Roman"/>
          <w:b w:val="false"/>
          <w:bCs w:val="false"/>
          <w:i/>
          <w:iCs/>
          <w:caps w:val="false"/>
          <w:color w:val="4A4A4A"/>
          <w:sz w:val="20"/>
          <w:szCs w:val="20"/>
        </w:rPr>
        <w:t xml:space="preserve">Todos os links foram verificados em abril de 2026.</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1. </w:t>
      </w:r>
      <w:r>
        <w:rPr>
          <w:rFonts w:ascii="Times New Roman" w:cs="Times New Roman" w:eastAsia="Times New Roman" w:hAnsi="Times New Roman"/>
          <w:b/>
          <w:bCs/>
          <w:i w:val="false"/>
          <w:iCs w:val="false"/>
          <w:caps w:val="false"/>
          <w:color w:val="1A1A1A"/>
          <w:sz w:val="20"/>
          <w:szCs w:val="20"/>
        </w:rPr>
        <w:t xml:space="preserve">ACP principal — cumprimento de sentença. </w:t>
      </w:r>
      <w:r>
        <w:rPr>
          <w:rFonts w:ascii="Times New Roman" w:cs="Times New Roman" w:eastAsia="Times New Roman" w:hAnsi="Times New Roman"/>
          <w:b w:val="false"/>
          <w:bCs w:val="false"/>
          <w:i w:val="false"/>
          <w:iCs w:val="false"/>
          <w:caps w:val="false"/>
          <w:color w:val="4A4A4A"/>
          <w:sz w:val="20"/>
          <w:szCs w:val="20"/>
        </w:rPr>
        <w:t xml:space="preserve">Processo nº 5012227-71.2018.4.04.7205/SC. 1ª Vara Federal de Blumenau/SC — TRF 4ª Região. Sentença transitada em julgado: outubro de 2010. Consulta: https://www2.trf4.jus.br</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2. </w:t>
      </w:r>
      <w:r>
        <w:rPr>
          <w:rFonts w:ascii="Times New Roman" w:cs="Times New Roman" w:eastAsia="Times New Roman" w:hAnsi="Times New Roman"/>
          <w:b/>
          <w:bCs/>
          <w:i w:val="false"/>
          <w:iCs w:val="false"/>
          <w:caps w:val="false"/>
          <w:color w:val="1A1A1A"/>
          <w:sz w:val="20"/>
          <w:szCs w:val="20"/>
        </w:rPr>
        <w:t xml:space="preserve">ACP conexa — reparação de danos à comunidade indígena. </w:t>
      </w:r>
      <w:r>
        <w:rPr>
          <w:rFonts w:ascii="Times New Roman" w:cs="Times New Roman" w:eastAsia="Times New Roman" w:hAnsi="Times New Roman"/>
          <w:b w:val="false"/>
          <w:bCs w:val="false"/>
          <w:i w:val="false"/>
          <w:iCs w:val="false"/>
          <w:caps w:val="false"/>
          <w:color w:val="4A4A4A"/>
          <w:sz w:val="20"/>
          <w:szCs w:val="20"/>
        </w:rPr>
        <w:t xml:space="preserve">Processo nº 5013528-53.2018.4.04.7205/SC. 1ª Vara Federal de Blumenau/SC. Sentença: 15/06/2007. Trânsito em julgado: agosto de 2017.</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3. </w:t>
      </w:r>
      <w:r>
        <w:rPr>
          <w:rFonts w:ascii="Times New Roman" w:cs="Times New Roman" w:eastAsia="Times New Roman" w:hAnsi="Times New Roman"/>
          <w:b/>
          <w:bCs/>
          <w:i w:val="false"/>
          <w:iCs w:val="false"/>
          <w:caps w:val="false"/>
          <w:color w:val="1A1A1A"/>
          <w:sz w:val="20"/>
          <w:szCs w:val="20"/>
        </w:rPr>
        <w:t xml:space="preserve">Laudo técnico oficial — Hydros Engenharia (2021). </w:t>
      </w:r>
      <w:r>
        <w:rPr>
          <w:rFonts w:ascii="Times New Roman" w:cs="Times New Roman" w:eastAsia="Times New Roman" w:hAnsi="Times New Roman"/>
          <w:b w:val="false"/>
          <w:bCs w:val="false"/>
          <w:i w:val="false"/>
          <w:iCs w:val="false"/>
          <w:caps w:val="false"/>
          <w:color w:val="4A4A4A"/>
          <w:sz w:val="20"/>
          <w:szCs w:val="20"/>
        </w:rPr>
        <w:t xml:space="preserve">Inspeção de Segurança Regular — Produto 2. Barragem Norte, José Boiteux/SC. DC923.RE.BN013, Rev. B, ago/2021. Juntado aos autos no Evento 308.</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4. </w:t>
      </w:r>
      <w:r>
        <w:rPr>
          <w:rFonts w:ascii="Times New Roman" w:cs="Times New Roman" w:eastAsia="Times New Roman" w:hAnsi="Times New Roman"/>
          <w:b/>
          <w:bCs/>
          <w:i w:val="false"/>
          <w:iCs w:val="false"/>
          <w:caps w:val="false"/>
          <w:color w:val="1A1A1A"/>
          <w:sz w:val="20"/>
          <w:szCs w:val="20"/>
        </w:rPr>
        <w:t xml:space="preserve">Projeto JICA (1988). </w:t>
      </w:r>
      <w:r>
        <w:rPr>
          <w:rFonts w:ascii="Times New Roman" w:cs="Times New Roman" w:eastAsia="Times New Roman" w:hAnsi="Times New Roman"/>
          <w:b w:val="false"/>
          <w:bCs w:val="false"/>
          <w:i w:val="false"/>
          <w:iCs w:val="false"/>
          <w:caps w:val="false"/>
          <w:color w:val="4A4A4A"/>
          <w:sz w:val="20"/>
          <w:szCs w:val="20"/>
        </w:rPr>
        <w:t xml:space="preserve">JICA/Nippon Koei. The Itajaí River Basin Flood Control Project — Data Book (1988). Disponível em: https://www.jica.go.jp</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5. </w:t>
      </w:r>
      <w:r>
        <w:rPr>
          <w:rFonts w:ascii="Times New Roman" w:cs="Times New Roman" w:eastAsia="Times New Roman" w:hAnsi="Times New Roman"/>
          <w:b/>
          <w:bCs/>
          <w:i w:val="false"/>
          <w:iCs w:val="false"/>
          <w:caps w:val="false"/>
          <w:color w:val="1A1A1A"/>
          <w:sz w:val="20"/>
          <w:szCs w:val="20"/>
        </w:rPr>
        <w:t xml:space="preserve">Projeto JICA (2011) — Sumário Executivo. </w:t>
      </w:r>
      <w:r>
        <w:rPr>
          <w:rFonts w:ascii="Times New Roman" w:cs="Times New Roman" w:eastAsia="Times New Roman" w:hAnsi="Times New Roman"/>
          <w:b w:val="false"/>
          <w:bCs w:val="false"/>
          <w:i w:val="false"/>
          <w:iCs w:val="false"/>
          <w:caps w:val="false"/>
          <w:color w:val="4A4A4A"/>
          <w:sz w:val="20"/>
          <w:szCs w:val="20"/>
        </w:rPr>
        <w:t xml:space="preserve">JICA/Nippon Koei. Estudo Preparatório para o Projeto de Prevenção e Mitigação de Desastres na Bacia do Rio Itajaí — Sumário Executivo (2011). Disponível em: https://www.jica.go.jp</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6. </w:t>
      </w:r>
      <w:r>
        <w:rPr>
          <w:rFonts w:ascii="Times New Roman" w:cs="Times New Roman" w:eastAsia="Times New Roman" w:hAnsi="Times New Roman"/>
          <w:b/>
          <w:bCs/>
          <w:i w:val="false"/>
          <w:iCs w:val="false"/>
          <w:caps w:val="false"/>
          <w:color w:val="1A1A1A"/>
          <w:sz w:val="20"/>
          <w:szCs w:val="20"/>
        </w:rPr>
        <w:t xml:space="preserve">Projeto JICA (2011) — Relatório Principal Parte I. </w:t>
      </w:r>
      <w:r>
        <w:rPr>
          <w:rFonts w:ascii="Times New Roman" w:cs="Times New Roman" w:eastAsia="Times New Roman" w:hAnsi="Times New Roman"/>
          <w:b w:val="false"/>
          <w:bCs w:val="false"/>
          <w:i w:val="false"/>
          <w:iCs w:val="false"/>
          <w:caps w:val="false"/>
          <w:color w:val="4A4A4A"/>
          <w:sz w:val="20"/>
          <w:szCs w:val="20"/>
        </w:rPr>
        <w:t xml:space="preserve">Plano Diretor — diagnóstico da bacia, histórico das enchentes e estruturação do plano. Disponível em: https://www.jica.go.jp</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7. </w:t>
      </w:r>
      <w:r>
        <w:rPr>
          <w:rFonts w:ascii="Times New Roman" w:cs="Times New Roman" w:eastAsia="Times New Roman" w:hAnsi="Times New Roman"/>
          <w:b/>
          <w:bCs/>
          <w:i w:val="false"/>
          <w:iCs w:val="false"/>
          <w:caps w:val="false"/>
          <w:color w:val="1A1A1A"/>
          <w:sz w:val="20"/>
          <w:szCs w:val="20"/>
        </w:rPr>
        <w:t xml:space="preserve">Projeto JICA (2011) — Relatório Principal Parte II. </w:t>
      </w:r>
      <w:r>
        <w:rPr>
          <w:rFonts w:ascii="Times New Roman" w:cs="Times New Roman" w:eastAsia="Times New Roman" w:hAnsi="Times New Roman"/>
          <w:b w:val="false"/>
          <w:bCs w:val="false"/>
          <w:i w:val="false"/>
          <w:iCs w:val="false"/>
          <w:caps w:val="false"/>
          <w:color w:val="4A4A4A"/>
          <w:sz w:val="20"/>
          <w:szCs w:val="20"/>
        </w:rPr>
        <w:t xml:space="preserve">Estudo de Viabilidade — projetos prioritários, primeira etapa de implementação. Disponível em: https://www.jica.go.jp</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8. </w:t>
      </w:r>
      <w:r>
        <w:rPr>
          <w:rFonts w:ascii="Times New Roman" w:cs="Times New Roman" w:eastAsia="Times New Roman" w:hAnsi="Times New Roman"/>
          <w:b/>
          <w:bCs/>
          <w:i w:val="false"/>
          <w:iCs w:val="false"/>
          <w:caps w:val="false"/>
          <w:color w:val="1A1A1A"/>
          <w:sz w:val="20"/>
          <w:szCs w:val="20"/>
        </w:rPr>
        <w:t xml:space="preserve">TCE-SC — Auditoria Operacional PMO 23/00134653. </w:t>
      </w:r>
      <w:r>
        <w:rPr>
          <w:rFonts w:ascii="Times New Roman" w:cs="Times New Roman" w:eastAsia="Times New Roman" w:hAnsi="Times New Roman"/>
          <w:b w:val="false"/>
          <w:bCs w:val="false"/>
          <w:i w:val="false"/>
          <w:iCs w:val="false"/>
          <w:caps w:val="false"/>
          <w:color w:val="4A4A4A"/>
          <w:sz w:val="20"/>
          <w:szCs w:val="20"/>
        </w:rPr>
        <w:t xml:space="preserve">Relatório técnico (04/10/2023) e Voto (09/01/2024). Disponível em: https://consulta.tce.sc.gov.br/RelatoriosDecisao/ConsultaVotoNovo/2300134653_17322978.pdf</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9. </w:t>
      </w:r>
      <w:r>
        <w:rPr>
          <w:rFonts w:ascii="Times New Roman" w:cs="Times New Roman" w:eastAsia="Times New Roman" w:hAnsi="Times New Roman"/>
          <w:b/>
          <w:bCs/>
          <w:i w:val="false"/>
          <w:iCs w:val="false"/>
          <w:caps w:val="false"/>
          <w:color w:val="1A1A1A"/>
          <w:sz w:val="20"/>
          <w:szCs w:val="20"/>
        </w:rPr>
        <w:t xml:space="preserve">TCE-SC — Parecer do Ministério Público de Contas (2023). </w:t>
      </w:r>
      <w:r>
        <w:rPr>
          <w:rFonts w:ascii="Times New Roman" w:cs="Times New Roman" w:eastAsia="Times New Roman" w:hAnsi="Times New Roman"/>
          <w:b w:val="false"/>
          <w:bCs w:val="false"/>
          <w:i w:val="false"/>
          <w:iCs w:val="false"/>
          <w:caps w:val="false"/>
          <w:color w:val="4A4A4A"/>
          <w:sz w:val="20"/>
          <w:szCs w:val="20"/>
        </w:rPr>
        <w:t xml:space="preserve">Disponível em: https://consulta.tce.sc.gov.br/RelatoriosDecisao/ConsultaParecer/2300134653_152255.pdf</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10. </w:t>
      </w:r>
      <w:r>
        <w:rPr>
          <w:rFonts w:ascii="Times New Roman" w:cs="Times New Roman" w:eastAsia="Times New Roman" w:hAnsi="Times New Roman"/>
          <w:b/>
          <w:bCs/>
          <w:i w:val="false"/>
          <w:iCs w:val="false"/>
          <w:caps w:val="false"/>
          <w:color w:val="1A1A1A"/>
          <w:sz w:val="20"/>
          <w:szCs w:val="20"/>
        </w:rPr>
        <w:t xml:space="preserve">TCE-SC — Suspensão da Concorrência Eletrônica nº 0261/2025/SIE (Mirim Doce). </w:t>
      </w:r>
      <w:r>
        <w:rPr>
          <w:rFonts w:ascii="Times New Roman" w:cs="Times New Roman" w:eastAsia="Times New Roman" w:hAnsi="Times New Roman"/>
          <w:b w:val="false"/>
          <w:bCs w:val="false"/>
          <w:i w:val="false"/>
          <w:iCs w:val="false"/>
          <w:caps w:val="false"/>
          <w:color w:val="4A4A4A"/>
          <w:sz w:val="20"/>
          <w:szCs w:val="20"/>
        </w:rPr>
        <w:t xml:space="preserve">Decisão singular GAC/WWD 150/2026. Diário Oficial Eletrônico TCE-SC de 30/03/2026. Disponível em: https://consulta.tce.sc.gov.br/Diario/dotc-e2026-03-30.pdf</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11. </w:t>
      </w:r>
      <w:r>
        <w:rPr>
          <w:rFonts w:ascii="Times New Roman" w:cs="Times New Roman" w:eastAsia="Times New Roman" w:hAnsi="Times New Roman"/>
          <w:b/>
          <w:bCs/>
          <w:i w:val="false"/>
          <w:iCs w:val="false"/>
          <w:caps w:val="false"/>
          <w:color w:val="1A1A1A"/>
          <w:sz w:val="20"/>
          <w:szCs w:val="20"/>
        </w:rPr>
        <w:t xml:space="preserve">TCE-SC — Primeira suspensão cautelar (dezembro de 2024). </w:t>
      </w:r>
      <w:r>
        <w:rPr>
          <w:rFonts w:ascii="Times New Roman" w:cs="Times New Roman" w:eastAsia="Times New Roman" w:hAnsi="Times New Roman"/>
          <w:b w:val="false"/>
          <w:bCs w:val="false"/>
          <w:i w:val="false"/>
          <w:iCs w:val="false"/>
          <w:caps w:val="false"/>
          <w:color w:val="4A4A4A"/>
          <w:sz w:val="20"/>
          <w:szCs w:val="20"/>
        </w:rPr>
        <w:t xml:space="preserve">Barragens dos rios Taió e Itajaí-Mirim. Disponível em: https://www.tcesc.tc.br/tcesc-suspende-de-forma-cautelar-por-indicios-de-sobrepreco-editais-para-construcao-de-barragens</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12. </w:t>
      </w:r>
      <w:r>
        <w:rPr>
          <w:rFonts w:ascii="Times New Roman" w:cs="Times New Roman" w:eastAsia="Times New Roman" w:hAnsi="Times New Roman"/>
          <w:b/>
          <w:bCs/>
          <w:i w:val="false"/>
          <w:iCs w:val="false"/>
          <w:caps w:val="false"/>
          <w:color w:val="1A1A1A"/>
          <w:sz w:val="20"/>
          <w:szCs w:val="20"/>
        </w:rPr>
        <w:t xml:space="preserve">Defesa Civil SC — Acordo de manutenção da Barragem Norte (mar/2025). </w:t>
      </w:r>
      <w:r>
        <w:rPr>
          <w:rFonts w:ascii="Times New Roman" w:cs="Times New Roman" w:eastAsia="Times New Roman" w:hAnsi="Times New Roman"/>
          <w:b w:val="false"/>
          <w:bCs w:val="false"/>
          <w:i w:val="false"/>
          <w:iCs w:val="false"/>
          <w:caps w:val="false"/>
          <w:color w:val="4A4A4A"/>
          <w:sz w:val="20"/>
          <w:szCs w:val="20"/>
        </w:rPr>
        <w:t xml:space="preserve">Disponível em: https://www.defesacivil.sc.gov.br/2025/03/17/estado-garante-acordo-para-manutencao-segura-da-barragem-norte-e-melhorias-na-comunidade-indigena-de-jose-boiteux</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13. </w:t>
      </w:r>
      <w:r>
        <w:rPr>
          <w:rFonts w:ascii="Times New Roman" w:cs="Times New Roman" w:eastAsia="Times New Roman" w:hAnsi="Times New Roman"/>
          <w:b/>
          <w:bCs/>
          <w:i w:val="false"/>
          <w:iCs w:val="false"/>
          <w:caps w:val="false"/>
          <w:color w:val="1A1A1A"/>
          <w:sz w:val="20"/>
          <w:szCs w:val="20"/>
        </w:rPr>
        <w:t xml:space="preserve">MDR — Destinação de R$ 21 milhões para obras da Barragem Norte (set/2020). </w:t>
      </w:r>
      <w:r>
        <w:rPr>
          <w:rFonts w:ascii="Times New Roman" w:cs="Times New Roman" w:eastAsia="Times New Roman" w:hAnsi="Times New Roman"/>
          <w:b w:val="false"/>
          <w:bCs w:val="false"/>
          <w:i w:val="false"/>
          <w:iCs w:val="false"/>
          <w:caps w:val="false"/>
          <w:color w:val="4A4A4A"/>
          <w:sz w:val="20"/>
          <w:szCs w:val="20"/>
        </w:rPr>
        <w:t xml:space="preserve">Disponível em: https://www.gov.br/mdr/pt-br/noticias/mdr-vai-destinar-r-21-milhoes-para-obras-da-barragem-norte-no-vale-do-itajai-sc</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14. </w:t>
      </w:r>
      <w:r>
        <w:rPr>
          <w:rFonts w:ascii="Times New Roman" w:cs="Times New Roman" w:eastAsia="Times New Roman" w:hAnsi="Times New Roman"/>
          <w:b/>
          <w:bCs/>
          <w:i w:val="false"/>
          <w:iCs w:val="false"/>
          <w:caps w:val="false"/>
          <w:color w:val="1A1A1A"/>
          <w:sz w:val="20"/>
          <w:szCs w:val="20"/>
        </w:rPr>
        <w:t xml:space="preserve">Prefeitura de Blumenau — pedido de manutenção da Barragem Norte (ago/2021). </w:t>
      </w:r>
      <w:r>
        <w:rPr>
          <w:rFonts w:ascii="Times New Roman" w:cs="Times New Roman" w:eastAsia="Times New Roman" w:hAnsi="Times New Roman"/>
          <w:b w:val="false"/>
          <w:bCs w:val="false"/>
          <w:i w:val="false"/>
          <w:iCs w:val="false"/>
          <w:caps w:val="false"/>
          <w:color w:val="4A4A4A"/>
          <w:sz w:val="20"/>
          <w:szCs w:val="20"/>
        </w:rPr>
        <w:t xml:space="preserve">Disponível em: https://www.blumenau.sc.gov.br/secretarias/secretaria-de-defesa-do-cidadao/sedeci/prefeitura-reforaca-pedido-ao-estado-para-manutenacaao-da-barragem-norte24</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15. </w:t>
      </w:r>
      <w:r>
        <w:rPr>
          <w:rFonts w:ascii="Times New Roman" w:cs="Times New Roman" w:eastAsia="Times New Roman" w:hAnsi="Times New Roman"/>
          <w:b/>
          <w:bCs/>
          <w:i w:val="false"/>
          <w:iCs w:val="false"/>
          <w:caps w:val="false"/>
          <w:color w:val="1A1A1A"/>
          <w:sz w:val="20"/>
          <w:szCs w:val="20"/>
        </w:rPr>
        <w:t xml:space="preserve">DPU — medidas de assistência a indígenas do Vale do Itajaí (out/2023). </w:t>
      </w:r>
      <w:r>
        <w:rPr>
          <w:rFonts w:ascii="Times New Roman" w:cs="Times New Roman" w:eastAsia="Times New Roman" w:hAnsi="Times New Roman"/>
          <w:b w:val="false"/>
          <w:bCs w:val="false"/>
          <w:i w:val="false"/>
          <w:iCs w:val="false"/>
          <w:caps w:val="false"/>
          <w:color w:val="4A4A4A"/>
          <w:sz w:val="20"/>
          <w:szCs w:val="20"/>
        </w:rPr>
        <w:t xml:space="preserve">Disponível em: https://direitoshumanos.dpu.def.br/enchentes-em-sc-dpu-cobra-medidas-de-assistencia-a-indigenas-do-vale-do-itajai</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16. </w:t>
      </w:r>
      <w:r>
        <w:rPr>
          <w:rFonts w:ascii="Times New Roman" w:cs="Times New Roman" w:eastAsia="Times New Roman" w:hAnsi="Times New Roman"/>
          <w:b/>
          <w:bCs/>
          <w:i w:val="false"/>
          <w:iCs w:val="false"/>
          <w:caps w:val="false"/>
          <w:color w:val="1A1A1A"/>
          <w:sz w:val="20"/>
          <w:szCs w:val="20"/>
        </w:rPr>
        <w:t xml:space="preserve">ALESC — pedido de informação sobre a Barragem Norte (dez/2023). </w:t>
      </w:r>
      <w:r>
        <w:rPr>
          <w:rFonts w:ascii="Times New Roman" w:cs="Times New Roman" w:eastAsia="Times New Roman" w:hAnsi="Times New Roman"/>
          <w:b w:val="false"/>
          <w:bCs w:val="false"/>
          <w:i w:val="false"/>
          <w:iCs w:val="false"/>
          <w:caps w:val="false"/>
          <w:color w:val="4A4A4A"/>
          <w:sz w:val="20"/>
          <w:szCs w:val="20"/>
        </w:rPr>
        <w:t xml:space="preserve">Disponível em: https://portalelegis.alesc.sc.gov.br/documentos/zlrvq</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17. </w:t>
      </w:r>
      <w:r>
        <w:rPr>
          <w:rFonts w:ascii="Times New Roman" w:cs="Times New Roman" w:eastAsia="Times New Roman" w:hAnsi="Times New Roman"/>
          <w:b/>
          <w:bCs/>
          <w:i w:val="false"/>
          <w:iCs w:val="false"/>
          <w:caps w:val="false"/>
          <w:color w:val="1A1A1A"/>
          <w:sz w:val="20"/>
          <w:szCs w:val="20"/>
        </w:rPr>
        <w:t xml:space="preserve">Câmara Municipal de Blumenau — Defesa Civil estadual e as três barragens (jun/2022). </w:t>
      </w:r>
      <w:r>
        <w:rPr>
          <w:rFonts w:ascii="Times New Roman" w:cs="Times New Roman" w:eastAsia="Times New Roman" w:hAnsi="Times New Roman"/>
          <w:b w:val="false"/>
          <w:bCs w:val="false"/>
          <w:i w:val="false"/>
          <w:iCs w:val="false"/>
          <w:caps w:val="false"/>
          <w:color w:val="4A4A4A"/>
          <w:sz w:val="20"/>
          <w:szCs w:val="20"/>
        </w:rPr>
        <w:t xml:space="preserve">Disponível em: https://camarablu.sc.gov.br/detalhe-noticia/13222/comissao-da-camara-recebe-chefe-da-defesa-civil-estadual-que-anuncia-investimentos-para-blumenau-e-apresenta-as-acoes-do-estado-nas-tres-barragens-da-regiao</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18. </w:t>
      </w:r>
      <w:r>
        <w:rPr>
          <w:rFonts w:ascii="Times New Roman" w:cs="Times New Roman" w:eastAsia="Times New Roman" w:hAnsi="Times New Roman"/>
          <w:b/>
          <w:bCs/>
          <w:i w:val="false"/>
          <w:iCs w:val="false"/>
          <w:caps w:val="false"/>
          <w:color w:val="1A1A1A"/>
          <w:sz w:val="20"/>
          <w:szCs w:val="20"/>
        </w:rPr>
        <w:t xml:space="preserve">Justiça Federal — decisão de acesso à Barragem Norte (out/2023). </w:t>
      </w:r>
      <w:r>
        <w:rPr>
          <w:rFonts w:ascii="Times New Roman" w:cs="Times New Roman" w:eastAsia="Times New Roman" w:hAnsi="Times New Roman"/>
          <w:b w:val="false"/>
          <w:bCs w:val="false"/>
          <w:i w:val="false"/>
          <w:iCs w:val="false"/>
          <w:caps w:val="false"/>
          <w:color w:val="4A4A4A"/>
          <w:sz w:val="20"/>
          <w:szCs w:val="20"/>
        </w:rPr>
        <w:t xml:space="preserve">Disponível em: https://www.lex.com.br/decisao-da-justica-federal-autoriza-ingresso-de-agentes-do-estado-de-santa-catarina-na-barragem-norte-de-jose-boiteux</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19. </w:t>
      </w:r>
      <w:r>
        <w:rPr>
          <w:rFonts w:ascii="Times New Roman" w:cs="Times New Roman" w:eastAsia="Times New Roman" w:hAnsi="Times New Roman"/>
          <w:b/>
          <w:bCs/>
          <w:i w:val="false"/>
          <w:iCs w:val="false"/>
          <w:caps w:val="false"/>
          <w:color w:val="1A1A1A"/>
          <w:sz w:val="20"/>
          <w:szCs w:val="20"/>
        </w:rPr>
        <w:t xml:space="preserve">Simulação hidrodinâmica de rompimento da Barragem Norte. </w:t>
      </w:r>
      <w:r>
        <w:rPr>
          <w:rFonts w:ascii="Times New Roman" w:cs="Times New Roman" w:eastAsia="Times New Roman" w:hAnsi="Times New Roman"/>
          <w:b w:val="false"/>
          <w:bCs w:val="false"/>
          <w:i w:val="false"/>
          <w:iCs w:val="false"/>
          <w:caps w:val="false"/>
          <w:color w:val="4A4A4A"/>
          <w:sz w:val="20"/>
          <w:szCs w:val="20"/>
        </w:rPr>
        <w:t xml:space="preserve">ABRH — I Encontro Nacional de Desastres (jul/2018). Disponível em: https://anais.abrhidro.org.br/jobs.php?Event=79</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20. </w:t>
      </w:r>
      <w:r>
        <w:rPr>
          <w:rFonts w:ascii="Times New Roman" w:cs="Times New Roman" w:eastAsia="Times New Roman" w:hAnsi="Times New Roman"/>
          <w:b/>
          <w:bCs/>
          <w:i w:val="false"/>
          <w:iCs w:val="false"/>
          <w:caps w:val="false"/>
          <w:color w:val="1A1A1A"/>
          <w:sz w:val="20"/>
          <w:szCs w:val="20"/>
        </w:rPr>
        <w:t xml:space="preserve">Plano de Segurança de Barragem na Bacia Hidrográfica do Rio Itajaí. </w:t>
      </w:r>
      <w:r>
        <w:rPr>
          <w:rFonts w:ascii="Times New Roman" w:cs="Times New Roman" w:eastAsia="Times New Roman" w:hAnsi="Times New Roman"/>
          <w:b w:val="false"/>
          <w:bCs w:val="false"/>
          <w:i w:val="false"/>
          <w:iCs w:val="false"/>
          <w:caps w:val="false"/>
          <w:color w:val="4A4A4A"/>
          <w:sz w:val="20"/>
          <w:szCs w:val="20"/>
        </w:rPr>
        <w:t xml:space="preserve">Artigo técnico ABRH (nov/2015). Disponível em: https://anais.abrhidro.org.br/job.php?Job=9307</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21. </w:t>
      </w:r>
      <w:r>
        <w:rPr>
          <w:rFonts w:ascii="Times New Roman" w:cs="Times New Roman" w:eastAsia="Times New Roman" w:hAnsi="Times New Roman"/>
          <w:b/>
          <w:bCs/>
          <w:i w:val="false"/>
          <w:iCs w:val="false"/>
          <w:caps w:val="false"/>
          <w:color w:val="1A1A1A"/>
          <w:sz w:val="20"/>
          <w:szCs w:val="20"/>
        </w:rPr>
        <w:t xml:space="preserve">Mapa de Conflitos Fiocruz — TI Ibirama La Klãnõ e Barragem Norte. </w:t>
      </w:r>
      <w:r>
        <w:rPr>
          <w:rFonts w:ascii="Times New Roman" w:cs="Times New Roman" w:eastAsia="Times New Roman" w:hAnsi="Times New Roman"/>
          <w:b w:val="false"/>
          <w:bCs w:val="false"/>
          <w:i w:val="false"/>
          <w:iCs w:val="false"/>
          <w:caps w:val="false"/>
          <w:color w:val="4A4A4A"/>
          <w:sz w:val="20"/>
          <w:szCs w:val="20"/>
        </w:rPr>
        <w:t xml:space="preserve">Disponível em: https://mapadeconflitos.ensp.fiocruz.br/conflito/povos-indigenas-laklano-xokleng-da-ti-ibirama-la-klano-lutam-por-regularizacao-de-territorio-contra-preconceito-e-contra-pandemia-mundial-da-covid-19</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22. </w:t>
      </w:r>
      <w:r>
        <w:rPr>
          <w:rFonts w:ascii="Times New Roman" w:cs="Times New Roman" w:eastAsia="Times New Roman" w:hAnsi="Times New Roman"/>
          <w:b/>
          <w:bCs/>
          <w:i w:val="false"/>
          <w:iCs w:val="false"/>
          <w:caps w:val="false"/>
          <w:color w:val="1A1A1A"/>
          <w:sz w:val="20"/>
          <w:szCs w:val="20"/>
        </w:rPr>
        <w:t xml:space="preserve">SNISB — Sistema Nacional de Informações sobre Segurança de Barragens. </w:t>
      </w:r>
      <w:r>
        <w:rPr>
          <w:rFonts w:ascii="Times New Roman" w:cs="Times New Roman" w:eastAsia="Times New Roman" w:hAnsi="Times New Roman"/>
          <w:b w:val="false"/>
          <w:bCs w:val="false"/>
          <w:i w:val="false"/>
          <w:iCs w:val="false"/>
          <w:caps w:val="false"/>
          <w:color w:val="4A4A4A"/>
          <w:sz w:val="20"/>
          <w:szCs w:val="20"/>
        </w:rPr>
        <w:t xml:space="preserve">Base oficial nacional. Disponível em: https://www.snisb.gov.br</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23. </w:t>
      </w:r>
      <w:r>
        <w:rPr>
          <w:rFonts w:ascii="Times New Roman" w:cs="Times New Roman" w:eastAsia="Times New Roman" w:hAnsi="Times New Roman"/>
          <w:b/>
          <w:bCs/>
          <w:i w:val="false"/>
          <w:iCs w:val="false"/>
          <w:caps w:val="false"/>
          <w:color w:val="1A1A1A"/>
          <w:sz w:val="20"/>
          <w:szCs w:val="20"/>
        </w:rPr>
        <w:t xml:space="preserve">UNESCO — Criminal Proceedings of the Vajont Dam Disaster. </w:t>
      </w:r>
      <w:r>
        <w:rPr>
          <w:rFonts w:ascii="Times New Roman" w:cs="Times New Roman" w:eastAsia="Times New Roman" w:hAnsi="Times New Roman"/>
          <w:b w:val="false"/>
          <w:bCs w:val="false"/>
          <w:i w:val="false"/>
          <w:iCs w:val="false"/>
          <w:caps w:val="false"/>
          <w:color w:val="4A4A4A"/>
          <w:sz w:val="20"/>
          <w:szCs w:val="20"/>
        </w:rPr>
        <w:t xml:space="preserve">Programa Memória do Mundo. Disponível em: https://www.unesco.org/en/memory-world/criminal-proceedings-vajont-dam-disaster</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24. </w:t>
      </w:r>
      <w:r>
        <w:rPr>
          <w:rFonts w:ascii="Times New Roman" w:cs="Times New Roman" w:eastAsia="Times New Roman" w:hAnsi="Times New Roman"/>
          <w:b/>
          <w:bCs/>
          <w:i w:val="false"/>
          <w:iCs w:val="false"/>
          <w:caps w:val="false"/>
          <w:color w:val="1A1A1A"/>
          <w:sz w:val="20"/>
          <w:szCs w:val="20"/>
        </w:rPr>
        <w:t xml:space="preserve">Encyclopaedia Britannica — Vaiont Dam. </w:t>
      </w:r>
      <w:r>
        <w:rPr>
          <w:rFonts w:ascii="Times New Roman" w:cs="Times New Roman" w:eastAsia="Times New Roman" w:hAnsi="Times New Roman"/>
          <w:b w:val="false"/>
          <w:bCs w:val="false"/>
          <w:i w:val="false"/>
          <w:iCs w:val="false"/>
          <w:caps w:val="false"/>
          <w:color w:val="4A4A4A"/>
          <w:sz w:val="20"/>
          <w:szCs w:val="20"/>
        </w:rPr>
        <w:t xml:space="preserve">Disponível em: https://www.britannica.com/topic/Vaiont-Dam</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25. </w:t>
      </w:r>
      <w:r>
        <w:rPr>
          <w:rFonts w:ascii="Times New Roman" w:cs="Times New Roman" w:eastAsia="Times New Roman" w:hAnsi="Times New Roman"/>
          <w:b/>
          <w:bCs/>
          <w:i w:val="false"/>
          <w:iCs w:val="false"/>
          <w:caps w:val="false"/>
          <w:color w:val="1A1A1A"/>
          <w:sz w:val="20"/>
          <w:szCs w:val="20"/>
        </w:rPr>
        <w:t xml:space="preserve">Nature/Scientific Reports — modelagem 3D do evento Vajont (2024). </w:t>
      </w:r>
      <w:r>
        <w:rPr>
          <w:rFonts w:ascii="Times New Roman" w:cs="Times New Roman" w:eastAsia="Times New Roman" w:hAnsi="Times New Roman"/>
          <w:b w:val="false"/>
          <w:bCs w:val="false"/>
          <w:i w:val="false"/>
          <w:iCs w:val="false"/>
          <w:caps w:val="false"/>
          <w:color w:val="4A4A4A"/>
          <w:sz w:val="20"/>
          <w:szCs w:val="20"/>
        </w:rPr>
        <w:t xml:space="preserve">3D WCSPH modelling of landslide-water dynamics during the Vajont disaster. Disponível em: https://www.nature.com/articles/s41598-024-77922-5</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26. </w:t>
      </w:r>
      <w:r>
        <w:rPr>
          <w:rFonts w:ascii="Times New Roman" w:cs="Times New Roman" w:eastAsia="Times New Roman" w:hAnsi="Times New Roman"/>
          <w:b/>
          <w:bCs/>
          <w:i w:val="false"/>
          <w:iCs w:val="false"/>
          <w:caps w:val="false"/>
          <w:color w:val="1A1A1A"/>
          <w:sz w:val="20"/>
          <w:szCs w:val="20"/>
        </w:rPr>
        <w:t xml:space="preserve">ASDSO — Tous Dam, Spain, 1982. </w:t>
      </w:r>
      <w:r>
        <w:rPr>
          <w:rFonts w:ascii="Times New Roman" w:cs="Times New Roman" w:eastAsia="Times New Roman" w:hAnsi="Times New Roman"/>
          <w:b w:val="false"/>
          <w:bCs w:val="false"/>
          <w:i w:val="false"/>
          <w:iCs w:val="false"/>
          <w:caps w:val="false"/>
          <w:color w:val="4A4A4A"/>
          <w:sz w:val="20"/>
          <w:szCs w:val="20"/>
        </w:rPr>
        <w:t xml:space="preserve">Dam Failures and Lessons Learned. Disponível em: https://damfailures.org/case-study/tous-dam-spain-1982</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27. </w:t>
      </w:r>
      <w:r>
        <w:rPr>
          <w:rFonts w:ascii="Times New Roman" w:cs="Times New Roman" w:eastAsia="Times New Roman" w:hAnsi="Times New Roman"/>
          <w:b/>
          <w:bCs/>
          <w:i w:val="false"/>
          <w:iCs w:val="false"/>
          <w:caps w:val="false"/>
          <w:color w:val="1A1A1A"/>
          <w:sz w:val="20"/>
          <w:szCs w:val="20"/>
        </w:rPr>
        <w:t xml:space="preserve">BOE-A-2003-6241 — Espanha — responsabilidade estatal pela Barragem de Tous. </w:t>
      </w:r>
      <w:r>
        <w:rPr>
          <w:rFonts w:ascii="Times New Roman" w:cs="Times New Roman" w:eastAsia="Times New Roman" w:hAnsi="Times New Roman"/>
          <w:b w:val="false"/>
          <w:bCs w:val="false"/>
          <w:i w:val="false"/>
          <w:iCs w:val="false"/>
          <w:caps w:val="false"/>
          <w:color w:val="4A4A4A"/>
          <w:sz w:val="20"/>
          <w:szCs w:val="20"/>
        </w:rPr>
        <w:t xml:space="preserve">Ley 5/2003, de 27 de marzo — sentença do Tribunal Supremo reconhecendo responsabilidade patrimonial da Administração. Disponível em: https://www.boe.es/buscar/doc.php?id=BOE-A-2003-6241</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28. </w:t>
      </w:r>
      <w:r>
        <w:rPr>
          <w:rFonts w:ascii="Times New Roman" w:cs="Times New Roman" w:eastAsia="Times New Roman" w:hAnsi="Times New Roman"/>
          <w:b/>
          <w:bCs/>
          <w:i w:val="false"/>
          <w:iCs w:val="false"/>
          <w:caps w:val="false"/>
          <w:color w:val="1A1A1A"/>
          <w:sz w:val="20"/>
          <w:szCs w:val="20"/>
        </w:rPr>
        <w:t xml:space="preserve">BOE — Lei 40/2015 — Régimen Jurídico del Sector Público (Espanha). </w:t>
      </w:r>
      <w:r>
        <w:rPr>
          <w:rFonts w:ascii="Times New Roman" w:cs="Times New Roman" w:eastAsia="Times New Roman" w:hAnsi="Times New Roman"/>
          <w:b w:val="false"/>
          <w:bCs w:val="false"/>
          <w:i w:val="false"/>
          <w:iCs w:val="false"/>
          <w:caps w:val="false"/>
          <w:color w:val="4A4A4A"/>
          <w:sz w:val="20"/>
          <w:szCs w:val="20"/>
        </w:rPr>
        <w:t xml:space="preserve">Fundamento da responsabilidade patrimonial da Administração. Disponível em: https://www.boe.es/buscar/act.php?id=BOE-A-2015-10566</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29. </w:t>
      </w:r>
      <w:r>
        <w:rPr>
          <w:rFonts w:ascii="Times New Roman" w:cs="Times New Roman" w:eastAsia="Times New Roman" w:hAnsi="Times New Roman"/>
          <w:b/>
          <w:bCs/>
          <w:i w:val="false"/>
          <w:iCs w:val="false"/>
          <w:caps w:val="false"/>
          <w:color w:val="1A1A1A"/>
          <w:sz w:val="20"/>
          <w:szCs w:val="20"/>
        </w:rPr>
        <w:t xml:space="preserve">Confederação Hidrográfica do Júcar — 25 anos da nova Barragem de Tous. </w:t>
      </w:r>
      <w:r>
        <w:rPr>
          <w:rFonts w:ascii="Times New Roman" w:cs="Times New Roman" w:eastAsia="Times New Roman" w:hAnsi="Times New Roman"/>
          <w:b w:val="false"/>
          <w:bCs w:val="false"/>
          <w:i w:val="false"/>
          <w:iCs w:val="false"/>
          <w:caps w:val="false"/>
          <w:color w:val="4A4A4A"/>
          <w:sz w:val="20"/>
          <w:szCs w:val="20"/>
        </w:rPr>
        <w:t xml:space="preserve">Disponível em: https://www.chj.es/es-es/ciudadano/salaprensa/Paginas/25-aniversario-presa-Tous.aspx</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30. </w:t>
      </w:r>
      <w:r>
        <w:rPr>
          <w:rFonts w:ascii="Times New Roman" w:cs="Times New Roman" w:eastAsia="Times New Roman" w:hAnsi="Times New Roman"/>
          <w:b/>
          <w:bCs/>
          <w:i w:val="false"/>
          <w:iCs w:val="false"/>
          <w:caps w:val="false"/>
          <w:color w:val="1A1A1A"/>
          <w:sz w:val="20"/>
          <w:szCs w:val="20"/>
        </w:rPr>
        <w:t xml:space="preserve">ResearchGate — The Tous dam disaster of 1982. </w:t>
      </w:r>
      <w:r>
        <w:rPr>
          <w:rFonts w:ascii="Times New Roman" w:cs="Times New Roman" w:eastAsia="Times New Roman" w:hAnsi="Times New Roman"/>
          <w:b w:val="false"/>
          <w:bCs w:val="false"/>
          <w:i w:val="false"/>
          <w:iCs w:val="false"/>
          <w:caps w:val="false"/>
          <w:color w:val="4A4A4A"/>
          <w:sz w:val="20"/>
          <w:szCs w:val="20"/>
        </w:rPr>
        <w:t xml:space="preserve">The Tous dam disaster of 1982 and the origins of integrated flood risk management in Spain. Disponível em: https://www.researchgate.net/publication/257633215</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31. </w:t>
      </w:r>
      <w:r>
        <w:rPr>
          <w:rFonts w:ascii="Times New Roman" w:cs="Times New Roman" w:eastAsia="Times New Roman" w:hAnsi="Times New Roman"/>
          <w:b/>
          <w:bCs/>
          <w:i w:val="false"/>
          <w:iCs w:val="false"/>
          <w:caps w:val="false"/>
          <w:color w:val="1A1A1A"/>
          <w:sz w:val="20"/>
          <w:szCs w:val="20"/>
        </w:rPr>
        <w:t xml:space="preserve">Constituição Federal do Brasil — art. 21, XVIII e art. 37, §6º. </w:t>
      </w:r>
      <w:r>
        <w:rPr>
          <w:rFonts w:ascii="Times New Roman" w:cs="Times New Roman" w:eastAsia="Times New Roman" w:hAnsi="Times New Roman"/>
          <w:b w:val="false"/>
          <w:bCs w:val="false"/>
          <w:i w:val="false"/>
          <w:iCs w:val="false"/>
          <w:caps w:val="false"/>
          <w:color w:val="4A4A4A"/>
          <w:sz w:val="20"/>
          <w:szCs w:val="20"/>
        </w:rPr>
        <w:t xml:space="preserve">Disponível em: https://www.planalto.gov.br/ccivil_03/constituicao/constituicao.htm</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32. </w:t>
      </w:r>
      <w:r>
        <w:rPr>
          <w:rFonts w:ascii="Times New Roman" w:cs="Times New Roman" w:eastAsia="Times New Roman" w:hAnsi="Times New Roman"/>
          <w:b/>
          <w:bCs/>
          <w:i w:val="false"/>
          <w:iCs w:val="false"/>
          <w:caps w:val="false"/>
          <w:color w:val="1A1A1A"/>
          <w:sz w:val="20"/>
          <w:szCs w:val="20"/>
        </w:rPr>
        <w:t xml:space="preserve">Lei nº 12.334/2010 — Política Nacional de Segurança de Barragens. </w:t>
      </w:r>
      <w:r>
        <w:rPr>
          <w:rFonts w:ascii="Times New Roman" w:cs="Times New Roman" w:eastAsia="Times New Roman" w:hAnsi="Times New Roman"/>
          <w:b w:val="false"/>
          <w:bCs w:val="false"/>
          <w:i w:val="false"/>
          <w:iCs w:val="false"/>
          <w:caps w:val="false"/>
          <w:color w:val="4A4A4A"/>
          <w:sz w:val="20"/>
          <w:szCs w:val="20"/>
        </w:rPr>
        <w:t xml:space="preserve">Disponível em: https://www.planalto.gov.br/ccivil_03/_ato2007-2010/2010/lei/l12334.htm</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33. </w:t>
      </w:r>
      <w:r>
        <w:rPr>
          <w:rFonts w:ascii="Times New Roman" w:cs="Times New Roman" w:eastAsia="Times New Roman" w:hAnsi="Times New Roman"/>
          <w:b/>
          <w:bCs/>
          <w:i w:val="false"/>
          <w:iCs w:val="false"/>
          <w:caps w:val="false"/>
          <w:color w:val="1A1A1A"/>
          <w:sz w:val="20"/>
          <w:szCs w:val="20"/>
        </w:rPr>
        <w:t xml:space="preserve">Conecta SC — segunda suspensão da licitação de Mirim Doce (abr/2026). </w:t>
      </w:r>
      <w:r>
        <w:rPr>
          <w:rFonts w:ascii="Times New Roman" w:cs="Times New Roman" w:eastAsia="Times New Roman" w:hAnsi="Times New Roman"/>
          <w:b w:val="false"/>
          <w:bCs w:val="false"/>
          <w:i w:val="false"/>
          <w:iCs w:val="false"/>
          <w:caps w:val="false"/>
          <w:color w:val="4A4A4A"/>
          <w:sz w:val="20"/>
          <w:szCs w:val="20"/>
        </w:rPr>
        <w:t xml:space="preserve">Disponível em: https://conectasc.com.br/2026/04/23/tce-suspende-licitacao-do-governo-de-sc-por-indicio-de-sobrepreco-de-r-24-milhoes</w:t>
      </w:r>
    </w:p>
    <w:p>
      <w:pPr>
        <w:spacing w:after="40" w:before="40" w:line="300"/>
        <w:ind w:left="360" w:hanging="360"/>
        <w:jc w:val="both"/>
      </w:pPr>
      <w:r>
        <w:rPr>
          <w:rFonts w:ascii="Times New Roman" w:cs="Times New Roman" w:eastAsia="Times New Roman" w:hAnsi="Times New Roman"/>
          <w:b/>
          <w:bCs/>
          <w:i w:val="false"/>
          <w:iCs w:val="false"/>
          <w:caps w:val="false"/>
          <w:color w:val="1F3864"/>
          <w:sz w:val="20"/>
          <w:szCs w:val="20"/>
        </w:rPr>
        <w:t xml:space="preserve">34. </w:t>
      </w:r>
      <w:r>
        <w:rPr>
          <w:rFonts w:ascii="Times New Roman" w:cs="Times New Roman" w:eastAsia="Times New Roman" w:hAnsi="Times New Roman"/>
          <w:b/>
          <w:bCs/>
          <w:i w:val="false"/>
          <w:iCs w:val="false"/>
          <w:caps w:val="false"/>
          <w:color w:val="1A1A1A"/>
          <w:sz w:val="20"/>
          <w:szCs w:val="20"/>
        </w:rPr>
        <w:t xml:space="preserve">Defesa Civil SC — maior investimento em mitigação de enchentes da história de SC (nov/2024). </w:t>
      </w:r>
      <w:r>
        <w:rPr>
          <w:rFonts w:ascii="Times New Roman" w:cs="Times New Roman" w:eastAsia="Times New Roman" w:hAnsi="Times New Roman"/>
          <w:b w:val="false"/>
          <w:bCs w:val="false"/>
          <w:i w:val="false"/>
          <w:iCs w:val="false"/>
          <w:caps w:val="false"/>
          <w:color w:val="4A4A4A"/>
          <w:sz w:val="20"/>
          <w:szCs w:val="20"/>
        </w:rPr>
        <w:t xml:space="preserve">Disponível em: https://www.defesacivil.sc.gov.br/2024/11/03/governo-do-estado-realiza-o-maior-investimento-em-mitigacao-de-enchentes-da-historia-de-santa-catarina</w:t>
      </w:r>
    </w:p>
    <w:p>
      <w:pPr>
        <w:spacing w:after="60" w:before="0"/>
      </w:pPr>
      <w:r>
        <w:rPr>
          <w:sz w:val="8"/>
          <w:szCs w:val="8"/>
        </w:rPr>
        <w:t xml:space="preserve"/>
      </w:r>
    </w:p>
    <w:p>
      <w:pPr>
        <w:spacing w:after="60" w:before="0"/>
      </w:pPr>
      <w:r>
        <w:rPr>
          <w:sz w:val="8"/>
          <w:szCs w:val="8"/>
        </w:rPr>
        <w:t xml:space="preserve"/>
      </w:r>
    </w:p>
    <w:p>
      <w:pPr>
        <w:pBdr>
          <w:bottom w:val="single" w:color="1F3864" w:sz="12" w:space="1"/>
        </w:pBdr>
        <w:spacing w:after="160" w:before="120"/>
      </w:pPr>
      <w:r>
        <w:rPr>
          <w:rFonts w:ascii="Times New Roman" w:cs="Times New Roman" w:eastAsia="Times New Roman" w:hAnsi="Times New Roman"/>
          <w:b w:val="false"/>
          <w:bCs w:val="false"/>
          <w:i w:val="false"/>
          <w:iCs w:val="false"/>
          <w:caps w:val="false"/>
          <w:color w:val="1A1A1A"/>
          <w:sz w:val="4"/>
          <w:szCs w:val="4"/>
        </w:rPr>
        <w:t xml:space="preserve"/>
      </w:r>
    </w:p>
    <w:p>
      <w:pPr>
        <w:spacing w:after="0" w:before="80"/>
        <w:jc w:val="center"/>
      </w:pPr>
      <w:r>
        <w:rPr>
          <w:rFonts w:ascii="Times New Roman" w:cs="Times New Roman" w:eastAsia="Times New Roman" w:hAnsi="Times New Roman"/>
          <w:b w:val="false"/>
          <w:bCs w:val="false"/>
          <w:i/>
          <w:iCs/>
          <w:caps w:val="false"/>
          <w:color w:val="4A4A4A"/>
          <w:sz w:val="19"/>
          <w:szCs w:val="19"/>
        </w:rPr>
        <w:t xml:space="preserve">Documento elaborado para uso processual e institucional. Todas as afirmações são referenciadas em fontes identificadas. Vale do Itajaí, Santa Catarina, abril de 2026.</w:t>
      </w:r>
    </w:p>
    <w:sectPr>
      <w:footerReference w:type="default" r:id="rId7"/>
      <w:pgSz w:w="11906" w:h="16838" w:orient="portrait"/>
      <w:pgMar w:top="1701" w:right="1134" w:bottom="1134"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3" w:sz="4" w:space="4"/>
      </w:pBdr>
      <w:spacing w:after="0" w:before="80"/>
      <w:jc w:val="right"/>
    </w:pPr>
    <w:r>
      <w:rPr>
        <w:rFonts w:ascii="Times New Roman" w:cs="Times New Roman" w:eastAsia="Times New Roman" w:hAnsi="Times New Roman"/>
        <w:color w:val="4A4A4A"/>
        <w:sz w:val="18"/>
        <w:szCs w:val="18"/>
      </w:rPr>
      <w:t xml:space="preserve">Dossiê Técnico-Jurídico — Barragem Norte / Vale do Itajaí    |    Pág. </w:t>
    </w:r>
    <w:r>
      <w:rPr>
        <w:rFonts w:ascii="Times New Roman" w:cs="Times New Roman" w:eastAsia="Times New Roman" w:hAnsi="Times New Roman"/>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Times New Roman" w:cs="Times New Roman" w:eastAsia="Times New Roman" w:hAnsi="Times New Roman"/>
        <w:sz w:val="23"/>
        <w:szCs w:val="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2026-04-30T19:09:25.584Z</dcterms:created>
  <dcterms:modified xsi:type="dcterms:W3CDTF">2026-04-30T19:09:25.602Z</dcterms:modified>
</cp:coreProperties>
</file>

<file path=docProps/custom.xml><?xml version="1.0" encoding="utf-8"?>
<Properties xmlns="http://schemas.openxmlformats.org/officeDocument/2006/custom-properties" xmlns:vt="http://schemas.openxmlformats.org/officeDocument/2006/docPropsVTypes"/>
</file>