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Arial" w:hAnsi="Arial"/>
          <w:b/>
          <w:color w:val="1A237E"/>
          <w:sz w:val="28"/>
        </w:rPr>
        <w:t>BARRAGEM NORTE — JOSÉ BOITEUX/SC</w:t>
      </w:r>
    </w:p>
    <w:p>
      <w:pPr>
        <w:jc w:val="center"/>
      </w:pPr>
      <w:r>
        <w:rPr>
          <w:rFonts w:ascii="Arial" w:hAnsi="Arial"/>
          <w:b/>
          <w:color w:val="B71C1C"/>
          <w:sz w:val="44"/>
        </w:rPr>
        <w:t>PLANO DE EXECUÇÃO IMEDIATA</w:t>
      </w:r>
    </w:p>
    <w:p>
      <w:pPr>
        <w:jc w:val="center"/>
      </w:pPr>
      <w:r>
        <w:rPr>
          <w:rFonts w:ascii="Arial" w:hAnsi="Arial"/>
          <w:i/>
          <w:sz w:val="26"/>
        </w:rPr>
        <w:t>Modalidades de Contratação pela Lei nº 14.133/2021</w:t>
        <w:br/>
        <w:t>(Nova Lei de Licitações e Contratos Administrativos)</w:t>
      </w:r>
    </w:p>
    <w:p/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2"/>
        </w:rPr>
        <w:t xml:space="preserve">Processo: </w:t>
      </w:r>
      <w:r>
        <w:rPr>
          <w:sz w:val="22"/>
        </w:rPr>
        <w:t>5012227-71.2018.4.04.7205/SC — 1ª Vara Federal de Blumenau (TRF 4ª Região)</w:t>
      </w:r>
    </w:p>
    <w:p>
      <w:r>
        <w:rPr>
          <w:b/>
          <w:sz w:val="22"/>
        </w:rPr>
        <w:t xml:space="preserve">Objeto: </w:t>
      </w:r>
      <w:r>
        <w:rPr>
          <w:sz w:val="22"/>
        </w:rPr>
        <w:t>Recuperação, reforma e operacionalização da Barragem Norte, município de José Boiteux/SC</w:t>
      </w:r>
    </w:p>
    <w:p>
      <w:r>
        <w:rPr>
          <w:b/>
          <w:sz w:val="22"/>
        </w:rPr>
        <w:t xml:space="preserve">Réus/Obrigados: </w:t>
      </w:r>
      <w:r>
        <w:rPr>
          <w:sz w:val="22"/>
        </w:rPr>
        <w:t>União Federal e Estado de Santa Catarina</w:t>
      </w:r>
    </w:p>
    <w:p>
      <w:r>
        <w:rPr>
          <w:b/>
          <w:sz w:val="22"/>
        </w:rPr>
        <w:t xml:space="preserve">Fundamento legal: </w:t>
      </w:r>
      <w:r>
        <w:rPr>
          <w:sz w:val="22"/>
        </w:rPr>
        <w:t>Sentença transitada em julgado (1999/2000), Lei nº 14.133/2021, Lei nº 12.334/2010 (PNSB)</w:t>
      </w:r>
    </w:p>
    <w:p>
      <w:r>
        <w:rPr>
          <w:b/>
          <w:sz w:val="22"/>
        </w:rPr>
        <w:t xml:space="preserve">Data de elaboração: </w:t>
      </w:r>
      <w:r>
        <w:rPr>
          <w:sz w:val="22"/>
        </w:rPr>
        <w:t>Abril de 2026</w:t>
      </w:r>
    </w:p>
    <w:p>
      <w:r>
        <w:br w:type="page"/>
      </w:r>
    </w:p>
    <w:p>
      <w:pPr>
        <w:pStyle w:val="Heading1"/>
      </w:pPr>
      <w:r>
        <w:t>1. APRESENTAÇÃO E OBJETIVO</w:t>
      </w:r>
    </w:p>
    <w:p>
      <w:pPr>
        <w:spacing w:after="120"/>
        <w:jc w:val="both"/>
      </w:pPr>
      <w:r>
        <w:rPr>
          <w:sz w:val="22"/>
        </w:rPr>
        <w:t>O presente documento tem por objetivo mapear as modalidades e hipóteses de contratação direta disponíveis na Lei nº 14.133/2021 (Nova Lei de Licitações e Contratos Administrativos) aplicáveis à situação da Barragem Norte em José Boiteux/SC, estruturando um plano de execução imediata com cronograma factível para recuperação da estrutura.</w:t>
      </w:r>
    </w:p>
    <w:p>
      <w:pPr>
        <w:spacing w:after="120"/>
        <w:jc w:val="both"/>
      </w:pPr>
      <w:r>
        <w:rPr>
          <w:sz w:val="22"/>
        </w:rPr>
        <w:t>A Barragem Norte encontra-se inoperante desde 2014, com o laudo técnico da Hydros Engenharia (agosto/2021, Evento 308 nos autos) classificando-a em nível de perigo "Atenção" (com anomalias em "Alerta") e listando uma série de componentes danificados ou ausentes. Em 2025, o próprio Secretário de Defesa Civil do Estado noticiou uma comporta danificada, com previsão de intervenção urgente pelo apoio da CELESC.</w:t>
      </w:r>
    </w:p>
    <w:p>
      <w:pPr>
        <w:spacing w:after="120"/>
        <w:jc w:val="both"/>
      </w:pPr>
      <w:r>
        <w:rPr>
          <w:sz w:val="22"/>
        </w:rPr>
        <w:t>A Lei nº 14.133/2021, vigente e de aplicação obrigatória (com o prazo de transição encerrado em 30 de dezembro de 2023), oferece instrumentos mais ágeis e flexíveis do que a revogada Lei nº 8.666/1993, especialmente para situações de emergência e obras de infraestrutura crítica.</w:t>
      </w:r>
    </w:p>
    <w:p>
      <w:r>
        <w:br w:type="page"/>
      </w:r>
    </w:p>
    <w:p>
      <w:pPr>
        <w:pStyle w:val="Heading1"/>
      </w:pPr>
      <w:r>
        <w:t>2. DIAGNÓSTICO DA SITUAÇÃO ATUAL</w:t>
      </w:r>
    </w:p>
    <w:p>
      <w:pPr>
        <w:pStyle w:val="Heading2"/>
      </w:pPr>
      <w:r>
        <w:t>2.1. Estado da Barragem Norte</w:t>
      </w:r>
    </w:p>
    <w:p>
      <w:pPr>
        <w:spacing w:after="120"/>
        <w:jc w:val="both"/>
      </w:pPr>
      <w:r>
        <w:rPr>
          <w:sz w:val="22"/>
        </w:rPr>
        <w:t>Com base no Laudo Hydros (Evento 308) e nos ofícios juntados aos autos, a Barragem Norte apresenta as seguintes deficiências estruturais e operacionais que demandam intervenção imediata: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237E" w:val="clear"/>
          </w:tcPr>
          <w:p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3024"/>
            <w:shd w:fill="1A237E" w:val="clear"/>
          </w:tcPr>
          <w:p>
            <w:r>
              <w:rPr>
                <w:b/>
                <w:color w:val="FFFFFF"/>
                <w:sz w:val="18"/>
              </w:rPr>
              <w:t>Deficiência / Intervenção Necessária</w:t>
            </w:r>
          </w:p>
        </w:tc>
        <w:tc>
          <w:tcPr>
            <w:tcW w:type="dxa" w:w="3024"/>
            <w:shd w:fill="1A237E" w:val="clear"/>
          </w:tcPr>
          <w:p>
            <w:r>
              <w:rPr>
                <w:b/>
                <w:color w:val="FFFFFF"/>
                <w:sz w:val="18"/>
              </w:rPr>
              <w:t>Risco</w:t>
            </w:r>
          </w:p>
        </w:tc>
      </w:tr>
      <w:tr>
        <w:tc>
          <w:tcPr>
            <w:tcW w:type="dxa" w:w="3024"/>
            <w:shd w:fill="D32F2F40" w:val="clear"/>
          </w:tcPr>
          <w:p>
            <w:r>
              <w:rPr>
                <w:sz w:val="18"/>
              </w:rPr>
              <w:t>CRÍTICO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Comportas do sistema de descarga: danificadas ou inoperantes — impossibilidade de controle do nível do reservatório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⚠ Imediato</w:t>
            </w:r>
          </w:p>
        </w:tc>
      </w:tr>
      <w:tr>
        <w:tc>
          <w:tcPr>
            <w:tcW w:type="dxa" w:w="3024"/>
            <w:shd w:fill="D32F2F40" w:val="clear"/>
          </w:tcPr>
          <w:p>
            <w:r>
              <w:rPr>
                <w:sz w:val="18"/>
              </w:rPr>
              <w:t>CRÍTICO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Sistema elétrico: totalmente destruído na ocupação de 2014 — sem energia para operação das comportas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⚠ Imediato</w:t>
            </w:r>
          </w:p>
        </w:tc>
      </w:tr>
      <w:tr>
        <w:tc>
          <w:tcPr>
            <w:tcW w:type="dxa" w:w="3024"/>
            <w:shd w:fill="D32F2F40" w:val="clear"/>
          </w:tcPr>
          <w:p>
            <w:r>
              <w:rPr>
                <w:sz w:val="18"/>
              </w:rPr>
              <w:t>CRÍTICO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Ausência de Plano de Ação de Emergência (PAE): exigido pela Lei nº 12.334/2010 — não elaborado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⚠ Imediato</w:t>
            </w:r>
          </w:p>
        </w:tc>
      </w:tr>
      <w:tr>
        <w:tc>
          <w:tcPr>
            <w:tcW w:type="dxa" w:w="3024"/>
            <w:shd w:fill="E6510040" w:val="clear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Sistema de radiofonia/comunicação: equipamentos destruídos em 2014 — sem comunicação com a Defesa Civil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⚠ Urgente</w:t>
            </w:r>
          </w:p>
        </w:tc>
      </w:tr>
      <w:tr>
        <w:tc>
          <w:tcPr>
            <w:tcW w:type="dxa" w:w="3024"/>
            <w:shd w:fill="E6510040" w:val="clear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Vegetação arbustiva nos taludes: risco de percolação no maciço — supressão urgente necessária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⚠ Urgente</w:t>
            </w:r>
          </w:p>
        </w:tc>
      </w:tr>
      <w:tr>
        <w:tc>
          <w:tcPr>
            <w:tcW w:type="dxa" w:w="3024"/>
            <w:shd w:fill="E6510040" w:val="clear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Ausência de cercamento de segurança perimetral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⚠ Urgente</w:t>
            </w:r>
          </w:p>
        </w:tc>
      </w:tr>
      <w:tr>
        <w:tc>
          <w:tcPr>
            <w:tcW w:type="dxa" w:w="3024"/>
            <w:shd w:fill="F9A82540" w:val="clear"/>
          </w:tcPr>
          <w:p>
            <w:r>
              <w:rPr>
                <w:sz w:val="18"/>
              </w:rPr>
              <w:t>MÉDIO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Revestimento da crista da barragem: deteriorado, sem impermeabilização adequada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Importante</w:t>
            </w:r>
          </w:p>
        </w:tc>
      </w:tr>
      <w:tr>
        <w:tc>
          <w:tcPr>
            <w:tcW w:type="dxa" w:w="3024"/>
            <w:shd w:fill="F9A82540" w:val="clear"/>
          </w:tcPr>
          <w:p>
            <w:r>
              <w:rPr>
                <w:sz w:val="18"/>
              </w:rPr>
              <w:t>MÉDIO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Instrumentação de monitoramento: ausente ou danificada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Importante</w:t>
            </w:r>
          </w:p>
        </w:tc>
      </w:tr>
      <w:tr>
        <w:tc>
          <w:tcPr>
            <w:tcW w:type="dxa" w:w="3024"/>
            <w:shd w:fill="F9A82540" w:val="clear"/>
          </w:tcPr>
          <w:p>
            <w:r>
              <w:rPr>
                <w:sz w:val="18"/>
              </w:rPr>
              <w:t>MÉDIO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Canal extravasor do vertedouro: obra paralisada — risco em eventos extremos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Importante</w:t>
            </w:r>
          </w:p>
        </w:tc>
      </w:tr>
    </w:tbl>
    <w:p/>
    <w:p>
      <w:r>
        <w:br w:type="page"/>
      </w:r>
    </w:p>
    <w:p>
      <w:pPr>
        <w:pStyle w:val="Heading1"/>
      </w:pPr>
      <w:r>
        <w:t>3. MODALIDADES DE CONTRATAÇÃO — LEI Nº 14.133/2021</w:t>
      </w:r>
    </w:p>
    <w:p>
      <w:pPr>
        <w:pStyle w:val="Heading2"/>
      </w:pPr>
      <w:r>
        <w:t>3.1. Visão Geral das Modalidades Aplicáveis</w:t>
      </w:r>
    </w:p>
    <w:p>
      <w:pPr>
        <w:spacing w:after="120"/>
        <w:jc w:val="both"/>
      </w:pPr>
      <w:r>
        <w:rPr>
          <w:sz w:val="22"/>
        </w:rPr>
        <w:t>A Lei nº 14.133/2021 estrutura as contratações públicas em três grandes grupos: (i) Contratação Direta (sem licitação), subdividida em Dispensa e Inexigibilidade; (ii) Licitação nas modalidades Pregão, Concorrência, Concurso, Leilão e Diálogo Competitivo; e (iii) Procedimentos auxiliares (manifestação de interesse, pré-qualificação, credenciamento e sistema de registro de preços). Para a situação da Barragem Norte, destacam-se especialmente as hipóteses a seguir.</w:t>
      </w:r>
    </w:p>
    <w:p>
      <w:pPr>
        <w:pStyle w:val="Heading2"/>
      </w:pPr>
      <w:r>
        <w:t>3.2. Contratação Direta por Dispensa — Art. 75, VIII (Emergência)</w:t>
      </w:r>
    </w:p>
    <w:p>
      <w:pPr>
        <w:spacing w:after="120"/>
        <w:jc w:val="both"/>
      </w:pPr>
      <w:r>
        <w:rPr>
          <w:sz w:val="22"/>
        </w:rPr>
        <w:t>Esta é a modalidade mais relevante e de aplicação imediata para a Barragem Norte. O art. 75, VIII, da Lei nº 14.133/2021 dispõe:</w:t>
      </w:r>
    </w:p>
    <w:p>
      <w:pPr>
        <w:spacing w:after="120"/>
        <w:ind w:left="850" w:right="850"/>
      </w:pPr>
      <w:r>
        <w:rPr>
          <w:i/>
          <w:color w:val="1A237E"/>
          <w:sz w:val="20"/>
        </w:rPr>
        <w:t>"Art. 75. É dispensável a licitação: (...) VIII – nos casos de emergência ou de calamidade pública, quando caracterizada urgência de atendimento de situação que possa ocasionar prejuízo ou comprometer a continuidade dos serviços públicos ou a segurança de pessoas, obras, serviços, equipamentos e outros bens, públicos ou particulares, e somente para aquisição dos bens necessários ao atendimento da situação emergencial ou calamitosa e para as parcelas de obras e serviços que possam ser concluídas no prazo máximo de 1 (um) ano, contado da data de ocorrência da emergência ou da calamidade, vedada a prorrogação dos respectivos contratos."</w:t>
      </w:r>
    </w:p>
    <w:p>
      <w:pPr>
        <w:ind w:left="850"/>
      </w:pPr>
      <w:r>
        <w:rPr>
          <w:b/>
          <w:color w:val="0D47A1"/>
          <w:sz w:val="18"/>
        </w:rPr>
        <w:t>[Lei nº 14.133/2021, art. 75, VIII]</w:t>
      </w:r>
    </w:p>
    <w:p/>
    <w:p>
      <w:pPr>
        <w:spacing w:after="120"/>
        <w:jc w:val="both"/>
      </w:pPr>
      <w:r>
        <w:rPr>
          <w:sz w:val="22"/>
        </w:rPr>
        <w:t>REQUISITOS para aplicação à Barragem Norte:</w:t>
      </w:r>
    </w:p>
    <w:p>
      <w:pPr>
        <w:spacing w:after="100"/>
        <w:ind w:left="567"/>
      </w:pPr>
      <w:r>
        <w:rPr>
          <w:b/>
          <w:color w:val="1B5E20"/>
          <w:sz w:val="20"/>
        </w:rPr>
        <w:t xml:space="preserve">✔ Situação de emergência caracterizada: </w:t>
      </w:r>
      <w:r>
        <w:rPr>
          <w:sz w:val="20"/>
        </w:rPr>
        <w:t>A Barragem Norte está inoperante desde 2014 (10+ anos), com comportas danificadas, sem sistema elétrico, sem PAE e sem operador permanente. O Laudo Hydros (2021) atesta nível "Atenção" com anomalias em "Alerta". O risco à segurança da população a jusante é concreto e documentado nos autos do processo judicial.</w:t>
      </w:r>
    </w:p>
    <w:p>
      <w:pPr>
        <w:spacing w:after="100"/>
        <w:ind w:left="567"/>
      </w:pPr>
      <w:r>
        <w:rPr>
          <w:b/>
          <w:color w:val="1B5E20"/>
          <w:sz w:val="20"/>
        </w:rPr>
        <w:t xml:space="preserve">✔ Urgência de atendimento: </w:t>
      </w:r>
      <w:r>
        <w:rPr>
          <w:sz w:val="20"/>
        </w:rPr>
        <w:t>A ausência de manutenção agrava progressivamente as anomalias estruturais. Eventos pluviométricos extremos no Vale do Itajaí são recorrentes (2008, 2011, 2023). A inoperância da barragem em cenário de chuvas intensas pode resultar em catástrofe.</w:t>
      </w:r>
    </w:p>
    <w:p>
      <w:pPr>
        <w:spacing w:after="100"/>
        <w:ind w:left="567"/>
      </w:pPr>
      <w:r>
        <w:rPr>
          <w:b/>
          <w:color w:val="1B5E20"/>
          <w:sz w:val="20"/>
        </w:rPr>
        <w:t xml:space="preserve">✔ Segurança de pessoas, obras e serviços: </w:t>
      </w:r>
      <w:r>
        <w:rPr>
          <w:sz w:val="20"/>
        </w:rPr>
        <w:t>Mais de 1 milhão de pessoas residem na bacia do Rio Itajaí a jusante da barragem. A operacionalização das comportas reduz em até 2 metros o nível das águas em eventos de cheia nas cidades rio abaixo.</w:t>
      </w:r>
    </w:p>
    <w:p>
      <w:pPr>
        <w:spacing w:after="100"/>
        <w:ind w:left="567"/>
      </w:pPr>
      <w:r>
        <w:rPr>
          <w:b/>
          <w:color w:val="1B5E20"/>
          <w:sz w:val="20"/>
        </w:rPr>
        <w:t xml:space="preserve">✔ Parcelas de obras concluíveis em 1 ano: </w:t>
      </w:r>
      <w:r>
        <w:rPr>
          <w:sz w:val="20"/>
        </w:rPr>
        <w:t>As intervenções emergenciais (comportas, sistema elétrico, cercamento, comunicação) são tecnicamente executáveis em prazo inferior a 12 meses.</w:t>
      </w:r>
    </w:p>
    <w:p>
      <w:pPr>
        <w:pStyle w:val="Heading2"/>
      </w:pPr>
      <w:r>
        <w:t>3.3. Procedimento da Contratação Direta por Emergência (Art. 72)</w:t>
      </w:r>
    </w:p>
    <w:p>
      <w:pPr>
        <w:spacing w:after="120"/>
        <w:jc w:val="both"/>
      </w:pPr>
      <w:r>
        <w:rPr>
          <w:sz w:val="22"/>
        </w:rPr>
        <w:t>O art. 72 da Lei nº 14.133/2021 estabelece o rito simplificado para a contratação direta. Para emergência, o procedimento é ainda mais flexível, com as seguintes etapas obrigatórias e suas respectivas isenções: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237E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024"/>
            <w:shd w:fill="1A237E" w:val="clear"/>
          </w:tcPr>
          <w:p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024"/>
            <w:shd w:fill="1A237E" w:val="clear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OBRIGATÓRIO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1. DFD — Documento de Formalização de Demanda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Elaborado pelo órgão requisitante (Defesa Civil do Estado ou Secretaria responsável) descrevendo a necessidade, a situação de emergência e justificando a urgência. Na emergência: dispensa de PCA (Plano de Contratações Anual).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OBRIGATÓRIO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2. ETP — Estudo Técnico Preliminar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FACULTATIVO na contratação emergencial (art. 18, § 3º). O órgão pode optar por não elaborá-lo, agindo diretamente com base no laudo técnico já existente (Hydros/2021).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OBRIGATÓRIO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3. TR/PB — Termo de Referência ou Projeto Básico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Obrigatório, mas pode ser simplificado. Deve descrever o objeto, especificações técnicas e prazo máximo de execução (até 12 meses).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OBRIGATÓRIO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4. Pesquisa de preços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Mínimo 3 cotações (art. 23). Pode ser realizada simultaneamente ao processo, dada a urgência.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OBRIGATÓRIO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5. Publicação no PNCP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Portal Nacional de Contratações Públicas — obrigatório, mesmo nas dispensas. Prazo: imediato após a formalização.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OBRIGATÓRIO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6. Ratificação pela autoridade competente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O ato de dispensa deve ser ratificado pelo ordenador de despesas responsável. Na esfera estadual: Secretário de Defesa Civil.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FACULTATIVO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7. Parecer jurídico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Recomendável (e na prática exigido pelos órgãos de controle), mas tecnicamente facultativo na dispensa emergencial.</w:t>
            </w:r>
          </w:p>
        </w:tc>
      </w:tr>
    </w:tbl>
    <w:p/>
    <w:p>
      <w:pPr>
        <w:pStyle w:val="Heading2"/>
      </w:pPr>
      <w:r>
        <w:t>3.4. Sistema de Registro de Preços — Art. 82 a 87</w:t>
      </w:r>
    </w:p>
    <w:p>
      <w:pPr>
        <w:spacing w:after="120"/>
        <w:jc w:val="both"/>
      </w:pPr>
      <w:r>
        <w:rPr>
          <w:sz w:val="22"/>
        </w:rPr>
        <w:t>Para os serviços continuados de manutenção da barragem após a recuperação emergencial (vigilância, limpeza de taludes, manutenção de equipamentos), o Sistema de Registro de Preços (SRP) da Lei nº 14.133/2021 oferece a solução mais ágil:</w:t>
      </w:r>
    </w:p>
    <w:p>
      <w:pPr>
        <w:pStyle w:val="ListBullet"/>
        <w:ind w:left="567"/>
      </w:pPr>
      <w:r>
        <w:rPr>
          <w:sz w:val="20"/>
        </w:rPr>
        <w:t>Permite contratações sucessivas sem necessidade de novo procedimento licitatório por até 12 meses, prorrogável por igual período (total 24 meses);</w:t>
      </w:r>
    </w:p>
    <w:p>
      <w:pPr>
        <w:pStyle w:val="ListBullet"/>
        <w:ind w:left="567"/>
      </w:pPr>
      <w:r>
        <w:rPr>
          <w:sz w:val="20"/>
        </w:rPr>
        <w:t>Ideal para serviços de manutenção periódica, vigilância armada 24h, limpeza e operação;</w:t>
      </w:r>
    </w:p>
    <w:p>
      <w:pPr>
        <w:pStyle w:val="ListBullet"/>
        <w:ind w:left="567"/>
      </w:pPr>
      <w:r>
        <w:rPr>
          <w:sz w:val="20"/>
        </w:rPr>
        <w:t>A Ata de Registro de Preços pode ser gerenciada pela Defesa Civil Estadual e compartilhada com municípios da bacia (SRP "carona" — art. 86);</w:t>
      </w:r>
    </w:p>
    <w:p>
      <w:pPr>
        <w:pStyle w:val="ListBullet"/>
        <w:ind w:left="567"/>
      </w:pPr>
      <w:r>
        <w:rPr>
          <w:sz w:val="20"/>
        </w:rPr>
        <w:t>O procedimento licitatório para formação da ata pode ser iniciado concomitantemente com a contratação emergencial.</w:t>
      </w:r>
    </w:p>
    <w:p>
      <w:pPr>
        <w:pStyle w:val="Heading2"/>
      </w:pPr>
      <w:r>
        <w:t>3.5. Concorrência Eletrônica — Art. 28, I, e Art. 29, I</w:t>
      </w:r>
    </w:p>
    <w:p>
      <w:pPr>
        <w:spacing w:after="120"/>
        <w:jc w:val="both"/>
      </w:pPr>
      <w:r>
        <w:rPr>
          <w:sz w:val="22"/>
        </w:rPr>
        <w:t>Para as obras de maior vulto — canal extravasor e reforma completa da barragem —, a modalidade adequada é a Concorrência Eletrônica, cujas inovações da Lei nº 14.133/2021 em relação à antiga concorrência da Lei nº 8.666/1993 incluem:</w:t>
      </w:r>
    </w:p>
    <w:p>
      <w:pPr>
        <w:pStyle w:val="ListBullet"/>
        <w:ind w:left="567"/>
      </w:pPr>
      <w:r>
        <w:rPr>
          <w:sz w:val="20"/>
        </w:rPr>
        <w:t>Fase de habilitação realizada após a fase de propostas (inversão de fases — art. 17, § 1º), o que reduz o tempo total do certame;</w:t>
      </w:r>
    </w:p>
    <w:p>
      <w:pPr>
        <w:pStyle w:val="ListBullet"/>
        <w:ind w:left="567"/>
      </w:pPr>
      <w:r>
        <w:rPr>
          <w:sz w:val="20"/>
        </w:rPr>
        <w:t>Obrigatoriedade do modo eletrônico (PNCP), com maior transparência e menor risco de vícios formais;</w:t>
      </w:r>
    </w:p>
    <w:p>
      <w:pPr>
        <w:pStyle w:val="ListBullet"/>
        <w:ind w:left="567"/>
      </w:pPr>
      <w:r>
        <w:rPr>
          <w:sz w:val="20"/>
        </w:rPr>
        <w:t>Critério de julgamento por maior desconto ou melhor técnica e preço, além do menor preço;</w:t>
      </w:r>
    </w:p>
    <w:p>
      <w:pPr>
        <w:pStyle w:val="ListBullet"/>
        <w:ind w:left="567"/>
      </w:pPr>
      <w:r>
        <w:rPr>
          <w:sz w:val="20"/>
        </w:rPr>
        <w:t>Regime de execução por empreitada integral (turn-key) para obras complexas, reduzindo riscos de paralisação por interface entre contratos.</w:t>
      </w:r>
    </w:p>
    <w:p>
      <w:r>
        <w:br w:type="page"/>
      </w:r>
    </w:p>
    <w:p>
      <w:pPr>
        <w:pStyle w:val="Heading1"/>
      </w:pPr>
      <w:r>
        <w:t>4. PLANO DE EXECUÇÃO COM CRONOGRAMA</w:t>
      </w:r>
    </w:p>
    <w:p>
      <w:pPr>
        <w:spacing w:after="120"/>
        <w:jc w:val="both"/>
      </w:pPr>
      <w:r>
        <w:rPr>
          <w:sz w:val="22"/>
        </w:rPr>
        <w:t>O plano de execução está estruturado em quatro fases. As Fases 1 e 2 utilizam as modalidades de contratação direta (emergência) e podem ser iniciadas IMEDIATAMENTE, sem necessidade de aguardar o desfecho do processo licitatório ordinário. As Fases 3 e 4 seguem o rito regular da Lei nº 14.133/2021.</w:t>
      </w:r>
    </w:p>
    <w:p>
      <w:pPr>
        <w:pStyle w:val="Heading2"/>
      </w:pPr>
      <w:r>
        <w:t>4.1. Cronograma Executivo por Fases</w:t>
      </w:r>
    </w:p>
    <w:p/>
    <w:p>
      <w:pPr>
        <w:spacing w:before="120"/>
      </w:pPr>
      <w:r>
        <w:rPr>
          <w:b/>
          <w:color w:val="D32F2F"/>
          <w:sz w:val="20"/>
        </w:rPr>
        <w:t xml:space="preserve">  FASE 1 — AÇÕES IMEDIATAS  |  Semanas 1 a 4 (Mês 1)  |  Art. 75, VIII — Dispensa Emergencial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fill="D32F2F" w:val="clear"/>
          </w:tcPr>
          <w:p>
            <w:r>
              <w:rPr>
                <w:b/>
                <w:color w:val="FFFFFF"/>
                <w:sz w:val="18"/>
              </w:rPr>
              <w:t>Prazo</w:t>
            </w:r>
          </w:p>
        </w:tc>
        <w:tc>
          <w:tcPr>
            <w:tcW w:type="dxa" w:w="4535"/>
            <w:shd w:fill="D32F2F" w:val="clear"/>
          </w:tcPr>
          <w:p>
            <w:r>
              <w:rPr>
                <w:b/>
                <w:color w:val="FFFFFF"/>
                <w:sz w:val="18"/>
              </w:rPr>
              <w:t>Ação</w:t>
            </w:r>
          </w:p>
        </w:tc>
      </w:tr>
      <w:tr>
        <w:tc>
          <w:tcPr>
            <w:tcW w:type="dxa" w:w="4535"/>
            <w:shd w:fill="FFEBEE" w:val="clear"/>
          </w:tcPr>
          <w:p>
            <w:r>
              <w:rPr>
                <w:sz w:val="18"/>
              </w:rPr>
              <w:t>Semana 1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Lavratura do ato formal de caracterização da situação de emergência pelo Secretário de Defesa Civil (Mário Hildebrandt ou sucessor)</w:t>
            </w:r>
          </w:p>
        </w:tc>
      </w:tr>
      <w:tr>
        <w:tc>
          <w:tcPr>
            <w:tcW w:type="dxa" w:w="4535"/>
            <w:shd w:fill="FFEBEE" w:val="clear"/>
          </w:tcPr>
          <w:p>
            <w:r>
              <w:rPr>
                <w:sz w:val="18"/>
              </w:rPr>
              <w:t>Semana 1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Elaboração do DFD (Documento de Formalização de Demanda) com base no Laudo Hydros (2021) e ofícios do processo judicial</w:t>
            </w:r>
          </w:p>
        </w:tc>
      </w:tr>
      <w:tr>
        <w:tc>
          <w:tcPr>
            <w:tcW w:type="dxa" w:w="4535"/>
            <w:shd w:fill="FFEBEE" w:val="clear"/>
          </w:tcPr>
          <w:p>
            <w:r>
              <w:rPr>
                <w:sz w:val="18"/>
              </w:rPr>
              <w:t>Semana 1-2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Elaboração do Termo de Referência simplificado para: (i) recuperação/substituição das comportas danificadas; (ii) instalação do sistema elétrico emergencial; (iii) comunicação/radiofonia</w:t>
            </w:r>
          </w:p>
        </w:tc>
      </w:tr>
      <w:tr>
        <w:tc>
          <w:tcPr>
            <w:tcW w:type="dxa" w:w="4535"/>
            <w:shd w:fill="FFEBEE" w:val="clear"/>
          </w:tcPr>
          <w:p>
            <w:r>
              <w:rPr>
                <w:sz w:val="18"/>
              </w:rPr>
              <w:t>Semana 2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Pesquisa de preços (mínimo 3 cotações) para cada item — pode ser realizada concomitantemente pelo setor de compras</w:t>
            </w:r>
          </w:p>
        </w:tc>
      </w:tr>
      <w:tr>
        <w:tc>
          <w:tcPr>
            <w:tcW w:type="dxa" w:w="4535"/>
            <w:shd w:fill="FFEBEE" w:val="clear"/>
          </w:tcPr>
          <w:p>
            <w:r>
              <w:rPr>
                <w:sz w:val="18"/>
              </w:rPr>
              <w:t>Semana 2-3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Parecer jurídico da PGE/SC ratificando a hipótese do art. 75, VIII</w:t>
            </w:r>
          </w:p>
        </w:tc>
      </w:tr>
      <w:tr>
        <w:tc>
          <w:tcPr>
            <w:tcW w:type="dxa" w:w="4535"/>
            <w:shd w:fill="FFEBEE" w:val="clear"/>
          </w:tcPr>
          <w:p>
            <w:r>
              <w:rPr>
                <w:sz w:val="18"/>
              </w:rPr>
              <w:t>Semana 3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Publicação no PNCP e ratificação pelo ordenador de despesas</w:t>
            </w:r>
          </w:p>
        </w:tc>
      </w:tr>
      <w:tr>
        <w:tc>
          <w:tcPr>
            <w:tcW w:type="dxa" w:w="4535"/>
            <w:shd w:fill="FFEBEE" w:val="clear"/>
          </w:tcPr>
          <w:p>
            <w:r>
              <w:rPr>
                <w:sz w:val="18"/>
              </w:rPr>
              <w:t>Semana 3-4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Assinatura do contrato emergencial e ordem de serviço — MOBILIZAÇÃO DA EMPRESA</w:t>
            </w:r>
          </w:p>
        </w:tc>
      </w:tr>
      <w:tr>
        <w:tc>
          <w:tcPr>
            <w:tcW w:type="dxa" w:w="4535"/>
            <w:shd w:fill="FFEBEE" w:val="clear"/>
          </w:tcPr>
          <w:p>
            <w:r>
              <w:rPr>
                <w:sz w:val="18"/>
              </w:rPr>
              <w:t>Semana 4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Início efetivo dos serviços de recuperação das comportas e instalação elétrica</w:t>
            </w:r>
          </w:p>
        </w:tc>
      </w:tr>
    </w:tbl>
    <w:p/>
    <w:p>
      <w:pPr>
        <w:spacing w:before="120"/>
      </w:pPr>
      <w:r>
        <w:rPr>
          <w:b/>
          <w:color w:val="E65100"/>
          <w:sz w:val="20"/>
        </w:rPr>
        <w:t xml:space="preserve">  FASE 2 — SEGURANÇA OPERACIONAL  |  Meses 2 a 6  |  Art. 75, VIII (complementar) + SRP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fill="E65100" w:val="clear"/>
          </w:tcPr>
          <w:p>
            <w:r>
              <w:rPr>
                <w:b/>
                <w:color w:val="FFFFFF"/>
                <w:sz w:val="18"/>
              </w:rPr>
              <w:t>Prazo</w:t>
            </w:r>
          </w:p>
        </w:tc>
        <w:tc>
          <w:tcPr>
            <w:tcW w:type="dxa" w:w="4535"/>
            <w:shd w:fill="E65100" w:val="clear"/>
          </w:tcPr>
          <w:p>
            <w:r>
              <w:rPr>
                <w:b/>
                <w:color w:val="FFFFFF"/>
                <w:sz w:val="18"/>
              </w:rPr>
              <w:t>Ação</w:t>
            </w:r>
          </w:p>
        </w:tc>
      </w:tr>
      <w:tr>
        <w:tc>
          <w:tcPr>
            <w:tcW w:type="dxa" w:w="4535"/>
            <w:shd w:fill="FFF3E0" w:val="clear"/>
          </w:tcPr>
          <w:p>
            <w:r>
              <w:rPr>
                <w:sz w:val="18"/>
              </w:rPr>
              <w:t>Mês 2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Conclusão da recuperação das comportas e testes operacionais com apoio da CELESC</w:t>
            </w:r>
          </w:p>
        </w:tc>
      </w:tr>
      <w:tr>
        <w:tc>
          <w:tcPr>
            <w:tcW w:type="dxa" w:w="4535"/>
            <w:shd w:fill="FFF3E0" w:val="clear"/>
          </w:tcPr>
          <w:p>
            <w:r>
              <w:rPr>
                <w:sz w:val="18"/>
              </w:rPr>
              <w:t>Mês 2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Instalação do sistema de comunicação digital/radiofonia entre a barragem e a Defesa Civil Estadual</w:t>
            </w:r>
          </w:p>
        </w:tc>
      </w:tr>
      <w:tr>
        <w:tc>
          <w:tcPr>
            <w:tcW w:type="dxa" w:w="4535"/>
            <w:shd w:fill="FFF3E0" w:val="clear"/>
          </w:tcPr>
          <w:p>
            <w:r>
              <w:rPr>
                <w:sz w:val="18"/>
              </w:rPr>
              <w:t>Mês 2-3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Supressão da vegetação arbustiva dos taludes (montante e jusante) — serviço de emergência art. 75, VIII</w:t>
            </w:r>
          </w:p>
        </w:tc>
      </w:tr>
      <w:tr>
        <w:tc>
          <w:tcPr>
            <w:tcW w:type="dxa" w:w="4535"/>
            <w:shd w:fill="FFF3E0" w:val="clear"/>
          </w:tcPr>
          <w:p>
            <w:r>
              <w:rPr>
                <w:sz w:val="18"/>
              </w:rPr>
              <w:t>Mês 3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Instalação do cercamento perimetral de segurança (2.000 metros lineares)</w:t>
            </w:r>
          </w:p>
        </w:tc>
      </w:tr>
      <w:tr>
        <w:tc>
          <w:tcPr>
            <w:tcW w:type="dxa" w:w="4535"/>
            <w:shd w:fill="FFF3E0" w:val="clear"/>
          </w:tcPr>
          <w:p>
            <w:r>
              <w:rPr>
                <w:sz w:val="18"/>
              </w:rPr>
              <w:t>Mês 3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Instalação de câmeras de vigilância e sistema de controle de acesso</w:t>
            </w:r>
          </w:p>
        </w:tc>
      </w:tr>
      <w:tr>
        <w:tc>
          <w:tcPr>
            <w:tcW w:type="dxa" w:w="4535"/>
            <w:shd w:fill="FFF3E0" w:val="clear"/>
          </w:tcPr>
          <w:p>
            <w:r>
              <w:rPr>
                <w:sz w:val="18"/>
              </w:rPr>
              <w:t>Mês 3-4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Elaboração e publicação do PAE (Plano de Ação de Emergência) — Lei nº 12.334/2010, art. 8º</w:t>
            </w:r>
          </w:p>
        </w:tc>
      </w:tr>
      <w:tr>
        <w:tc>
          <w:tcPr>
            <w:tcW w:type="dxa" w:w="4535"/>
            <w:shd w:fill="FFF3E0" w:val="clear"/>
          </w:tcPr>
          <w:p>
            <w:r>
              <w:rPr>
                <w:sz w:val="18"/>
              </w:rPr>
              <w:t>Mês 3-4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Licitação para SRP — Ata de Registro de Preços para vigilância armada 24h e operação da barragem</w:t>
            </w:r>
          </w:p>
        </w:tc>
      </w:tr>
      <w:tr>
        <w:tc>
          <w:tcPr>
            <w:tcW w:type="dxa" w:w="4535"/>
            <w:shd w:fill="FFF3E0" w:val="clear"/>
          </w:tcPr>
          <w:p>
            <w:r>
              <w:rPr>
                <w:sz w:val="18"/>
              </w:rPr>
              <w:t>Mês 4-5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Início dos contratos de vigilância e operação pelo SRP</w:t>
            </w:r>
          </w:p>
        </w:tc>
      </w:tr>
      <w:tr>
        <w:tc>
          <w:tcPr>
            <w:tcW w:type="dxa" w:w="4535"/>
            <w:shd w:fill="FFF3E0" w:val="clear"/>
          </w:tcPr>
          <w:p>
            <w:r>
              <w:rPr>
                <w:sz w:val="18"/>
              </w:rPr>
              <w:t>Mês 5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Elaboração do PSB (Plano de Segurança da Barragem) — Lei nº 12.334/2010</w:t>
            </w:r>
          </w:p>
        </w:tc>
      </w:tr>
      <w:tr>
        <w:tc>
          <w:tcPr>
            <w:tcW w:type="dxa" w:w="4535"/>
            <w:shd w:fill="FFF3E0" w:val="clear"/>
          </w:tcPr>
          <w:p>
            <w:r>
              <w:rPr>
                <w:sz w:val="18"/>
              </w:rPr>
              <w:t>Mês 5-6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Instalação de instrumentação básica de monitoramento (piezômetros, medidores de recalque)</w:t>
            </w:r>
          </w:p>
        </w:tc>
      </w:tr>
      <w:tr>
        <w:tc>
          <w:tcPr>
            <w:tcW w:type="dxa" w:w="4535"/>
            <w:shd w:fill="FFF3E0" w:val="clear"/>
          </w:tcPr>
          <w:p>
            <w:r>
              <w:rPr>
                <w:sz w:val="18"/>
              </w:rPr>
              <w:t>Mês 6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Primeira inspeção de segurança regular pós-recuperação — emissão de novo laudo técnico</w:t>
            </w:r>
          </w:p>
        </w:tc>
      </w:tr>
    </w:tbl>
    <w:p/>
    <w:p>
      <w:pPr>
        <w:spacing w:before="120"/>
      </w:pPr>
      <w:r>
        <w:rPr>
          <w:b/>
          <w:color w:val="F9A825"/>
          <w:sz w:val="20"/>
        </w:rPr>
        <w:t xml:space="preserve">  FASE 3 — RECUPERAÇÃO ESTRUTURAL  |  Meses 6 a 12  |  Concorrência Eletrônica — Art. 28, 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fill="F9A825" w:val="clear"/>
          </w:tcPr>
          <w:p>
            <w:r>
              <w:rPr>
                <w:b/>
                <w:color w:val="FFFFFF"/>
                <w:sz w:val="18"/>
              </w:rPr>
              <w:t>Prazo</w:t>
            </w:r>
          </w:p>
        </w:tc>
        <w:tc>
          <w:tcPr>
            <w:tcW w:type="dxa" w:w="4535"/>
            <w:shd w:fill="F9A825" w:val="clear"/>
          </w:tcPr>
          <w:p>
            <w:r>
              <w:rPr>
                <w:b/>
                <w:color w:val="FFFFFF"/>
                <w:sz w:val="18"/>
              </w:rPr>
              <w:t>Ação</w:t>
            </w:r>
          </w:p>
        </w:tc>
      </w:tr>
      <w:tr>
        <w:tc>
          <w:tcPr>
            <w:tcW w:type="dxa" w:w="4535"/>
            <w:shd w:fill="FFFDE7" w:val="clear"/>
          </w:tcPr>
          <w:p>
            <w:r>
              <w:rPr>
                <w:sz w:val="18"/>
              </w:rPr>
              <w:t>Mês 6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Aprovação da documentação pelo MIDR (convênio 883988/2019) — desbloqueio de recursos federais</w:t>
            </w:r>
          </w:p>
        </w:tc>
      </w:tr>
      <w:tr>
        <w:tc>
          <w:tcPr>
            <w:tcW w:type="dxa" w:w="4535"/>
            <w:shd w:fill="FFFDE7" w:val="clear"/>
          </w:tcPr>
          <w:p>
            <w:r>
              <w:rPr>
                <w:sz w:val="18"/>
              </w:rPr>
              <w:t>Mês 6-7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Publicação do edital de Concorrência Eletrônica para obras de recuperação completa da barragem</w:t>
            </w:r>
          </w:p>
        </w:tc>
      </w:tr>
      <w:tr>
        <w:tc>
          <w:tcPr>
            <w:tcW w:type="dxa" w:w="4535"/>
            <w:shd w:fill="FFFDE7" w:val="clear"/>
          </w:tcPr>
          <w:p>
            <w:r>
              <w:rPr>
                <w:sz w:val="18"/>
              </w:rPr>
              <w:t>Mês 7-8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Fase de propostas e habilitação (invertidas) — julgamento e adjudicação</w:t>
            </w:r>
          </w:p>
        </w:tc>
      </w:tr>
      <w:tr>
        <w:tc>
          <w:tcPr>
            <w:tcW w:type="dxa" w:w="4535"/>
            <w:shd w:fill="FFFDE7" w:val="clear"/>
          </w:tcPr>
          <w:p>
            <w:r>
              <w:rPr>
                <w:sz w:val="18"/>
              </w:rPr>
              <w:t>Mês 8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Assinatura do contrato de recuperação estrutural completa</w:t>
            </w:r>
          </w:p>
        </w:tc>
      </w:tr>
      <w:tr>
        <w:tc>
          <w:tcPr>
            <w:tcW w:type="dxa" w:w="4535"/>
            <w:shd w:fill="FFFDE7" w:val="clear"/>
          </w:tcPr>
          <w:p>
            <w:r>
              <w:rPr>
                <w:sz w:val="18"/>
              </w:rPr>
              <w:t>Mês 9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Ordem de serviço e mobilização do canteiro de obras</w:t>
            </w:r>
          </w:p>
        </w:tc>
      </w:tr>
      <w:tr>
        <w:tc>
          <w:tcPr>
            <w:tcW w:type="dxa" w:w="4535"/>
            <w:shd w:fill="FFFDE7" w:val="clear"/>
          </w:tcPr>
          <w:p>
            <w:r>
              <w:rPr>
                <w:sz w:val="18"/>
              </w:rPr>
              <w:t>Mês 9-12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Execução das obras de recuperação: revestimento da crista, recuperação dos taludes, gabiões, muros de contenção, blindagem dos descarregadores</w:t>
            </w:r>
          </w:p>
        </w:tc>
      </w:tr>
    </w:tbl>
    <w:p/>
    <w:p>
      <w:pPr>
        <w:spacing w:before="120"/>
      </w:pPr>
      <w:r>
        <w:rPr>
          <w:b/>
          <w:color w:val="1B5E20"/>
          <w:sz w:val="20"/>
        </w:rPr>
        <w:t xml:space="preserve">  FASE 4 — CANAL EXTRAVASOR E MANUTENÇÃO  |  Meses 12 a 36  |  Concorrência c/ Diálogo Competitivo — Art. 32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fill="1B5E20" w:val="clear"/>
          </w:tcPr>
          <w:p>
            <w:r>
              <w:rPr>
                <w:b/>
                <w:color w:val="FFFFFF"/>
                <w:sz w:val="18"/>
              </w:rPr>
              <w:t>Prazo</w:t>
            </w:r>
          </w:p>
        </w:tc>
        <w:tc>
          <w:tcPr>
            <w:tcW w:type="dxa" w:w="4535"/>
            <w:shd w:fill="1B5E20" w:val="clear"/>
          </w:tcPr>
          <w:p>
            <w:r>
              <w:rPr>
                <w:b/>
                <w:color w:val="FFFFFF"/>
                <w:sz w:val="18"/>
              </w:rPr>
              <w:t>Ação</w:t>
            </w:r>
          </w:p>
        </w:tc>
      </w:tr>
      <w:tr>
        <w:tc>
          <w:tcPr>
            <w:tcW w:type="dxa" w:w="4535"/>
            <w:shd w:fill="E8F5E9" w:val="clear"/>
          </w:tcPr>
          <w:p>
            <w:r>
              <w:rPr>
                <w:sz w:val="18"/>
              </w:rPr>
              <w:t>Mês 12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Conclusão das obras de recuperação estrutural e emissão de Termo de Recebimento Definitivo</w:t>
            </w:r>
          </w:p>
        </w:tc>
      </w:tr>
      <w:tr>
        <w:tc>
          <w:tcPr>
            <w:tcW w:type="dxa" w:w="4535"/>
            <w:shd w:fill="E8F5E9" w:val="clear"/>
          </w:tcPr>
          <w:p>
            <w:r>
              <w:rPr>
                <w:sz w:val="18"/>
              </w:rPr>
              <w:t>Mês 12-15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Negociação com comunidade indígena Xokleng/Laklãnõ sobre o canal extravasor — consulta prévia formal (Conv. OIT 169)</w:t>
            </w:r>
          </w:p>
        </w:tc>
      </w:tr>
      <w:tr>
        <w:tc>
          <w:tcPr>
            <w:tcW w:type="dxa" w:w="4535"/>
            <w:shd w:fill="E8F5E9" w:val="clear"/>
          </w:tcPr>
          <w:p>
            <w:r>
              <w:rPr>
                <w:sz w:val="18"/>
              </w:rPr>
              <w:t>Mês 15-18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Obtenção de licença ambiental (IBAMA) e anuência da FUNAI para obras do canal extravasor</w:t>
            </w:r>
          </w:p>
        </w:tc>
      </w:tr>
      <w:tr>
        <w:tc>
          <w:tcPr>
            <w:tcW w:type="dxa" w:w="4535"/>
            <w:shd w:fill="E8F5E9" w:val="clear"/>
          </w:tcPr>
          <w:p>
            <w:r>
              <w:rPr>
                <w:sz w:val="18"/>
              </w:rPr>
              <w:t>Mês 18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Publicação do edital para obras do Canal Extravasor do Vertedouro da Barragem Norte</w:t>
            </w:r>
          </w:p>
        </w:tc>
      </w:tr>
      <w:tr>
        <w:tc>
          <w:tcPr>
            <w:tcW w:type="dxa" w:w="4535"/>
            <w:shd w:fill="E8F5E9" w:val="clear"/>
          </w:tcPr>
          <w:p>
            <w:r>
              <w:rPr>
                <w:sz w:val="18"/>
              </w:rPr>
              <w:t>Mês 18-30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Execução do canal extravasor — obra de segurança hídrica prioritária</w:t>
            </w:r>
          </w:p>
        </w:tc>
      </w:tr>
      <w:tr>
        <w:tc>
          <w:tcPr>
            <w:tcW w:type="dxa" w:w="4535"/>
            <w:shd w:fill="E8F5E9" w:val="clear"/>
          </w:tcPr>
          <w:p>
            <w:r>
              <w:rPr>
                <w:sz w:val="18"/>
              </w:rPr>
              <w:t>Mês 24+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Renovação da Ata de Registro de Preços para vigilância e operação (2º ciclo de 12 meses)</w:t>
            </w:r>
          </w:p>
        </w:tc>
      </w:tr>
      <w:tr>
        <w:tc>
          <w:tcPr>
            <w:tcW w:type="dxa" w:w="4535"/>
            <w:shd w:fill="E8F5E9" w:val="clear"/>
          </w:tcPr>
          <w:p>
            <w:r>
              <w:rPr>
                <w:sz w:val="18"/>
              </w:rPr>
              <w:t>Contínuo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Inspeções regulares anuais (Lei nº 12.334/2010), relatórios ao SNISB/ANA e atualização do PSB e PAE</w:t>
            </w:r>
          </w:p>
        </w:tc>
      </w:tr>
    </w:tbl>
    <w:p/>
    <w:p>
      <w:r>
        <w:br w:type="page"/>
      </w:r>
    </w:p>
    <w:p>
      <w:pPr>
        <w:pStyle w:val="Heading1"/>
      </w:pPr>
      <w:r>
        <w:t>5. ESTIMATIVA DE CUSTOS E FONTES DE RECURSOS</w:t>
      </w:r>
    </w:p>
    <w:p>
      <w:pPr>
        <w:pStyle w:val="Heading2"/>
      </w:pPr>
      <w:r>
        <w:t>5.1. Estimativa Orçamentária por Fase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237E" w:val="clear"/>
          </w:tcPr>
          <w:p>
            <w:r>
              <w:rPr>
                <w:b/>
                <w:color w:val="FFFFFF"/>
                <w:sz w:val="18"/>
              </w:rPr>
              <w:t>Fase / Objeto</w:t>
            </w:r>
          </w:p>
        </w:tc>
        <w:tc>
          <w:tcPr>
            <w:tcW w:type="dxa" w:w="3024"/>
            <w:shd w:fill="1A237E" w:val="clear"/>
          </w:tcPr>
          <w:p>
            <w:r>
              <w:rPr>
                <w:b/>
                <w:color w:val="FFFFFF"/>
                <w:sz w:val="18"/>
              </w:rPr>
              <w:t>Estimativa (R$)</w:t>
            </w:r>
          </w:p>
        </w:tc>
        <w:tc>
          <w:tcPr>
            <w:tcW w:type="dxa" w:w="3024"/>
            <w:shd w:fill="1A237E" w:val="clear"/>
          </w:tcPr>
          <w:p>
            <w:r>
              <w:rPr>
                <w:b/>
                <w:color w:val="FFFFFF"/>
                <w:sz w:val="18"/>
              </w:rPr>
              <w:t>Fonte de Recursos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Fase 1 — Emergência imediata</w:t>
              <w:br/>
              <w:t>(comportas, sistema elétrico, comunicação)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R$ 1.500.000 a R$ 3.000.000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Convênio 883988/2019 (MIDR) / Recursos estaduais emergenciais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Fase 2 — Segurança operacional</w:t>
              <w:br/>
              <w:t>(cercamento, PAE, SRP, instrumentação)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R$ 2.000.000 a R$ 4.000.000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Convênio 883988/2019 (MIDR) / Fundo Estadual de Defesa Civil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Fase 3 — Recuperação estrutural completa</w:t>
              <w:br/>
              <w:t>(revestimento, taludes, gabiões)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R$ 8.000.000 a R$ 15.000.000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Convênio 883988/2019 (MIDR) + aporte estadual + eventual BNDES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Fase 4 — Canal extravasor</w:t>
              <w:br/>
              <w:t>(obra de segurança hídrica)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R$ 12.000.000 a R$ 20.000.000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Convênio 883989/2019 (MIDR) + novos recursos federais PAC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Manutenção anual contínua</w:t>
              <w:br/>
              <w:t>(vigilância, operação, inspeções)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R$ 1.800.000 a R$ 2.500.000/ano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Dotação orçamentária anual — Defesa Civil/SC + repasse federal</w:t>
            </w:r>
          </w:p>
        </w:tc>
      </w:tr>
    </w:tbl>
    <w:p/>
    <w:p>
      <w:pPr>
        <w:pStyle w:val="Heading2"/>
      </w:pPr>
      <w:r>
        <w:t>5.2. Dispositivos Legais de Desbloqueio de Recursos</w:t>
      </w:r>
    </w:p>
    <w:p>
      <w:pPr>
        <w:spacing w:after="120"/>
        <w:jc w:val="both"/>
      </w:pPr>
      <w:r>
        <w:rPr>
          <w:sz w:val="22"/>
        </w:rPr>
        <w:t>Além da contratação emergencial, os seguintes instrumentos legais permitem acelerar o fluxo de recursos:</w:t>
      </w:r>
    </w:p>
    <w:p>
      <w:pPr>
        <w:spacing w:after="100"/>
        <w:ind w:left="567"/>
      </w:pPr>
      <w:r>
        <w:rPr>
          <w:b/>
          <w:sz w:val="20"/>
        </w:rPr>
        <w:t xml:space="preserve">Lei nº 12.608/2012 (PNPDEC), art. 22: </w:t>
      </w:r>
      <w:r>
        <w:rPr>
          <w:sz w:val="20"/>
        </w:rPr>
        <w:t>Os órgãos do SISNAMA e do SINPDEC podem celebrar acordos com dispensa de licitação para ações de defesa civil. A caracterização formal de risco por parte da Defesa Civil Nacional (SEDEC/MIDR) habilita o uso de recursos do Fundo Nacional para Calamidades Públicas (FUNCAP).</w:t>
      </w:r>
    </w:p>
    <w:p>
      <w:pPr>
        <w:spacing w:after="100"/>
        <w:ind w:left="567"/>
      </w:pPr>
      <w:r>
        <w:rPr>
          <w:b/>
          <w:sz w:val="20"/>
        </w:rPr>
        <w:t xml:space="preserve">Lei nº 14.133/2021, art. 75, VIII: </w:t>
      </w:r>
      <w:r>
        <w:rPr>
          <w:sz w:val="20"/>
        </w:rPr>
        <w:t>Conforme detalhado, a contratação emergencial com prazo de até 1 ano dispensa licitação para as obras de urgência.</w:t>
      </w:r>
    </w:p>
    <w:p>
      <w:pPr>
        <w:spacing w:after="100"/>
        <w:ind w:left="567"/>
      </w:pPr>
      <w:r>
        <w:rPr>
          <w:b/>
          <w:sz w:val="20"/>
        </w:rPr>
        <w:t xml:space="preserve">Portaria MIDR de execução dos convênios: </w:t>
      </w:r>
      <w:r>
        <w:rPr>
          <w:sz w:val="20"/>
        </w:rPr>
        <w:t>Os convênios 883988 e 883989/2019 têm dotação já empenhada (Notas de Empenho 2019NE800058 e 2019NE800145). O desbloqueio para execução depende apenas de aprovação técnica das documentações pelo MIDR, que pode ser acelerada por decisão judicial no processo 5012227-71.2018.4.04.7205/SC.</w:t>
      </w:r>
    </w:p>
    <w:p>
      <w:pPr>
        <w:spacing w:after="100"/>
        <w:ind w:left="567"/>
      </w:pPr>
      <w:r>
        <w:rPr>
          <w:b/>
          <w:sz w:val="20"/>
        </w:rPr>
        <w:t xml:space="preserve">Decreto-Lei nº 200/1967, art. 10, § 7º: </w:t>
      </w:r>
      <w:r>
        <w:rPr>
          <w:sz w:val="20"/>
        </w:rPr>
        <w:t>Permite a delegação de competência para celebração de contratos, agilizando a cadeia de aprovações no âmbito federal.</w:t>
      </w:r>
    </w:p>
    <w:p>
      <w:r>
        <w:br w:type="page"/>
      </w:r>
    </w:p>
    <w:p>
      <w:pPr>
        <w:pStyle w:val="Heading1"/>
      </w:pPr>
      <w:r>
        <w:t>6. RISCOS JURÍDICOS E MEDIDAS DE MITIGAÇÃO</w:t>
      </w:r>
    </w:p>
    <w:p>
      <w:pPr>
        <w:spacing w:before="120"/>
      </w:pPr>
      <w:r>
        <w:rPr>
          <w:b/>
          <w:color w:val="1B5E20"/>
          <w:sz w:val="20"/>
        </w:rPr>
        <w:t xml:space="preserve">Risco 1: Impugnação da caracterização de emergência </w:t>
      </w:r>
      <w:r>
        <w:rPr>
          <w:b/>
          <w:sz w:val="18"/>
        </w:rPr>
        <w:t>[Nível: BAIXO]</w:t>
      </w:r>
    </w:p>
    <w:p>
      <w:pPr>
        <w:spacing w:after="80"/>
        <w:ind w:left="567"/>
      </w:pPr>
      <w:r>
        <w:rPr>
          <w:b/>
          <w:sz w:val="20"/>
        </w:rPr>
        <w:t xml:space="preserve">Mitigação: </w:t>
      </w:r>
      <w:r>
        <w:rPr>
          <w:sz w:val="20"/>
        </w:rPr>
        <w:t>A situação de emergência está fartamente documentada nos autos do processo judicial. O laudo Hydros (2021) e os ofícios da Defesa Civil comprovam o risco. Recomenda-se emitir nota técnica complementar em 2026, atualizando o estado da barragem.</w:t>
      </w:r>
    </w:p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/>
      </w:pPr>
      <w:r>
        <w:rPr>
          <w:b/>
          <w:color w:val="E65100"/>
          <w:sz w:val="20"/>
        </w:rPr>
        <w:t xml:space="preserve">Risco 2: Sobrepreço ou ausência de pesquisa adequada </w:t>
      </w:r>
      <w:r>
        <w:rPr>
          <w:b/>
          <w:sz w:val="18"/>
        </w:rPr>
        <w:t>[Nível: MÉDIO]</w:t>
      </w:r>
    </w:p>
    <w:p>
      <w:pPr>
        <w:spacing w:after="80"/>
        <w:ind w:left="567"/>
      </w:pPr>
      <w:r>
        <w:rPr>
          <w:b/>
          <w:sz w:val="20"/>
        </w:rPr>
        <w:t xml:space="preserve">Mitigação: </w:t>
      </w:r>
      <w:r>
        <w:rPr>
          <w:sz w:val="20"/>
        </w:rPr>
        <w:t>Realizar pesquisa de preços com no mínimo 3 cotações, preferencialmente incluindo empresas do banco de dados do SICRO (obras rodoviárias e hidráulicas do DNIT). Fundamentar preços no SINAPI e em contratos similares da Defesa Civil.</w:t>
      </w:r>
    </w:p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/>
      </w:pPr>
      <w:r>
        <w:rPr>
          <w:b/>
          <w:color w:val="E65100"/>
          <w:sz w:val="20"/>
        </w:rPr>
        <w:t xml:space="preserve">Risco 3: Bloqueio indígena à execução das obras </w:t>
      </w:r>
      <w:r>
        <w:rPr>
          <w:b/>
          <w:sz w:val="18"/>
        </w:rPr>
        <w:t>[Nível: MÉDIO]</w:t>
      </w:r>
    </w:p>
    <w:p>
      <w:pPr>
        <w:spacing w:after="80"/>
        <w:ind w:left="567"/>
      </w:pPr>
      <w:r>
        <w:rPr>
          <w:b/>
          <w:sz w:val="20"/>
        </w:rPr>
        <w:t xml:space="preserve">Mitigação: </w:t>
      </w:r>
      <w:r>
        <w:rPr>
          <w:sz w:val="20"/>
        </w:rPr>
        <w:t>Protocolo formal de consulta prévia (Convenção OIT 169) ANTES da emissão das ordens de serviço. Negociação intermediada pela FUNAI e MPF. As condições do acordo de 2023 (Evento 256) devem ser cumpridas como pré-requisito.</w:t>
      </w:r>
    </w:p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/>
      </w:pPr>
      <w:r>
        <w:rPr>
          <w:b/>
          <w:color w:val="E65100"/>
          <w:sz w:val="20"/>
        </w:rPr>
        <w:t xml:space="preserve">Risco 4: Paralisação por restrição orçamentária </w:t>
      </w:r>
      <w:r>
        <w:rPr>
          <w:b/>
          <w:sz w:val="18"/>
        </w:rPr>
        <w:t>[Nível: MÉDIO]</w:t>
      </w:r>
    </w:p>
    <w:p>
      <w:pPr>
        <w:spacing w:after="80"/>
        <w:ind w:left="567"/>
      </w:pPr>
      <w:r>
        <w:rPr>
          <w:b/>
          <w:sz w:val="20"/>
        </w:rPr>
        <w:t xml:space="preserve">Mitigação: </w:t>
      </w:r>
      <w:r>
        <w:rPr>
          <w:sz w:val="20"/>
        </w:rPr>
        <w:t>Requerer ao Juízo do processo 5012227 que determine ao Estado e à União a liberação de dotação específica para as contratações emergenciais, sob pena de multa diária (astreintes). O processo judicial é o instrumento mais eficaz de pressão.</w:t>
      </w:r>
    </w:p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/>
      </w:pPr>
      <w:r>
        <w:rPr>
          <w:b/>
          <w:color w:val="F9A825"/>
          <w:sz w:val="20"/>
        </w:rPr>
        <w:t xml:space="preserve">Risco 5: Irregularidade nos convênios — glosa pelo TCU/TCE </w:t>
      </w:r>
      <w:r>
        <w:rPr>
          <w:b/>
          <w:sz w:val="18"/>
        </w:rPr>
        <w:t>[Nível: MÉDIO]</w:t>
      </w:r>
    </w:p>
    <w:p>
      <w:pPr>
        <w:spacing w:after="80"/>
        <w:ind w:left="567"/>
      </w:pPr>
      <w:r>
        <w:rPr>
          <w:b/>
          <w:sz w:val="20"/>
        </w:rPr>
        <w:t xml:space="preserve">Mitigação: </w:t>
      </w:r>
      <w:r>
        <w:rPr>
          <w:sz w:val="20"/>
        </w:rPr>
        <w:t>Atenção estrita ao cumprimento das normativas do MIDR (Portaria 424/2018) antes da contratação. Manter documentação completa de cada etapa no processo administrativo do convênio.</w:t>
      </w:r>
    </w:p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/>
      </w:pPr>
      <w:r>
        <w:rPr>
          <w:b/>
          <w:color w:val="1B5E20"/>
          <w:sz w:val="20"/>
        </w:rPr>
        <w:t xml:space="preserve">Risco 6: Rescisão ou abandono pelo contratado </w:t>
      </w:r>
      <w:r>
        <w:rPr>
          <w:b/>
          <w:sz w:val="18"/>
        </w:rPr>
        <w:t>[Nível: BAIXO]</w:t>
      </w:r>
    </w:p>
    <w:p>
      <w:pPr>
        <w:spacing w:after="80"/>
        <w:ind w:left="567"/>
      </w:pPr>
      <w:r>
        <w:rPr>
          <w:b/>
          <w:sz w:val="20"/>
        </w:rPr>
        <w:t xml:space="preserve">Mitigação: </w:t>
      </w:r>
      <w:r>
        <w:rPr>
          <w:sz w:val="20"/>
        </w:rPr>
        <w:t>Incluir no contrato garantia de execução de 5% do valor (art. 96 da Lei nº 14.133/2021) e cláusula de retenção de medições em caso de desconformidade.</w:t>
      </w:r>
    </w:p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7. CONCLUSÃO E RECOMENDAÇÕES FINAIS</w:t>
      </w:r>
    </w:p>
    <w:p>
      <w:pPr>
        <w:spacing w:after="120"/>
        <w:jc w:val="both"/>
      </w:pPr>
      <w:r>
        <w:rPr>
          <w:sz w:val="22"/>
        </w:rPr>
        <w:t>A Lei nº 14.133/2021 oferece instrumentos jurídicos adequados e suficientes para a contratação imediata das obras emergenciais na Barragem Norte. A situação de emergência está plenamente caracterizada — técnica, jurídica e judicialmente — permitindo a aplicação do art. 75, VIII, sem qualquer risco jurídico significativo.</w:t>
      </w:r>
    </w:p>
    <w:p>
      <w:pPr>
        <w:spacing w:after="120"/>
        <w:jc w:val="both"/>
      </w:pPr>
      <w:r>
        <w:rPr>
          <w:sz w:val="22"/>
        </w:rPr>
        <w:t>O único obstáculo real à execução imediata não é jurídico, mas político-administrativo: a vontade dos gestores em agir. O processo judicial 5012227-71.2018.4.04.7205/SC oferece o instrumento coercitivo necessário para superar esse obstáculo — a fixação de astreintes e o bloqueio judicial de recursos são medidas constitucionalmente asseguradas e processualmente cabíveis.</w:t>
      </w:r>
    </w:p>
    <w:p>
      <w:pPr>
        <w:spacing w:after="120"/>
        <w:jc w:val="both"/>
      </w:pPr>
      <w:r>
        <w:rPr>
          <w:sz w:val="22"/>
        </w:rPr>
        <w:t>RECOMENDAÇÕES FINAIS:</w:t>
      </w:r>
    </w:p>
    <w:p>
      <w:pPr>
        <w:pStyle w:val="ListBullet"/>
        <w:ind w:left="283"/>
      </w:pPr>
      <w:r>
        <w:rPr>
          <w:sz w:val="22"/>
        </w:rPr>
        <w:t>1. IMEDIATO: Emitir o ato formal de caracterização de emergência e iniciar o DFD — isso pode ser feito em 24 horas por qualquer gestor com competência delegada;</w:t>
      </w:r>
    </w:p>
    <w:p>
      <w:pPr>
        <w:pStyle w:val="ListBullet"/>
        <w:ind w:left="283"/>
      </w:pPr>
      <w:r>
        <w:rPr>
          <w:sz w:val="22"/>
        </w:rPr>
        <w:t>2. SEMANA 1: Contratar, por emergência, a empresa que realizou o Laudo Hydros (2021) para emissão de novo laudo atualizado — ela já conhece a estrutura e o prazo seria mínimo;</w:t>
      </w:r>
    </w:p>
    <w:p>
      <w:pPr>
        <w:pStyle w:val="ListBullet"/>
        <w:ind w:left="283"/>
      </w:pPr>
      <w:r>
        <w:rPr>
          <w:sz w:val="22"/>
        </w:rPr>
        <w:t>3. SEMANA 2: Publicar no PNCP o processo de dispensa emergencial para recuperação das comportas e sistema elétrico — esses são os itens que tornam a barragem inoperante;</w:t>
      </w:r>
    </w:p>
    <w:p>
      <w:pPr>
        <w:pStyle w:val="ListBullet"/>
        <w:ind w:left="283"/>
      </w:pPr>
      <w:r>
        <w:rPr>
          <w:sz w:val="22"/>
        </w:rPr>
        <w:t>4. MÊS 1: Iniciar concomitantemente o processo licitatório pelo SRP para vigilância e operação permanente — sem operador, qualquer recuperação será perdida rapidamente;</w:t>
      </w:r>
    </w:p>
    <w:p>
      <w:pPr>
        <w:pStyle w:val="ListBullet"/>
        <w:ind w:left="283"/>
      </w:pPr>
      <w:r>
        <w:rPr>
          <w:sz w:val="22"/>
        </w:rPr>
        <w:t>5. PARALELO: Requerer ao Juízo do processo 5012227 que, com base nos fundamentos desta análise, fixe prazo peremptório de 30 dias para início das obras emergenciais, sob pena de astreintes de R$ 100.000/dia revertida ao FDD (Fundo de Defesa de Direitos Difusos).</w:t>
      </w:r>
    </w:p>
    <w:p/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8"/>
        </w:rPr>
        <w:t>— FIM DO DOCUMENTO —  |  Barragem Norte — José Boiteux/SC  |  Processo 5012227-71.2018.4.04.7205/SC  |  Abril/2026</w:t>
      </w:r>
    </w:p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D47A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