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E3080" w14:textId="77777777" w:rsidR="007F3D8E" w:rsidRDefault="00000000">
      <w:pPr>
        <w:spacing w:before="400" w:after="80"/>
        <w:jc w:val="center"/>
      </w:pPr>
      <w:r>
        <w:rPr>
          <w:b/>
          <w:bCs/>
          <w:color w:val="1F4E79"/>
          <w:sz w:val="36"/>
          <w:szCs w:val="36"/>
        </w:rPr>
        <w:t>DOSSIÊ JORNALÍSTICO</w:t>
      </w:r>
    </w:p>
    <w:p w14:paraId="3E5E3081" w14:textId="77777777" w:rsidR="007F3D8E" w:rsidRDefault="00000000">
      <w:pPr>
        <w:spacing w:before="80" w:after="80"/>
        <w:jc w:val="center"/>
      </w:pPr>
      <w:r>
        <w:rPr>
          <w:b/>
          <w:bCs/>
          <w:color w:val="2E75B6"/>
          <w:sz w:val="28"/>
          <w:szCs w:val="28"/>
        </w:rPr>
        <w:t>BARRAGEM NORTE E O VALE DO ITAJAÍ:</w:t>
      </w:r>
    </w:p>
    <w:p w14:paraId="3E5E3082" w14:textId="77777777" w:rsidR="007F3D8E" w:rsidRDefault="00000000">
      <w:pPr>
        <w:spacing w:after="240"/>
        <w:jc w:val="center"/>
      </w:pPr>
      <w:r>
        <w:rPr>
          <w:color w:val="2E75B6"/>
          <w:sz w:val="22"/>
          <w:szCs w:val="22"/>
        </w:rPr>
        <w:t>RISCO DOCUMENTADO, OMISSÃO SISTÊMICA E CONSEQUÊNCIAS CONCRETAS</w:t>
      </w:r>
    </w:p>
    <w:p w14:paraId="3E5E3083" w14:textId="77777777" w:rsidR="007F3D8E" w:rsidRDefault="00000000">
      <w:pPr>
        <w:spacing w:after="80"/>
        <w:jc w:val="center"/>
      </w:pPr>
      <w:r>
        <w:rPr>
          <w:i/>
          <w:iCs/>
          <w:color w:val="595959"/>
          <w:sz w:val="18"/>
          <w:szCs w:val="18"/>
        </w:rPr>
        <w:t>Material de base para veiculação editorial | Santa Catarina, 2026</w:t>
      </w:r>
    </w:p>
    <w:p w14:paraId="3E5E3084" w14:textId="77777777" w:rsidR="007F3D8E" w:rsidRDefault="00000000">
      <w:pPr>
        <w:spacing w:after="360"/>
        <w:jc w:val="center"/>
      </w:pPr>
      <w:r>
        <w:rPr>
          <w:i/>
          <w:iCs/>
          <w:color w:val="595959"/>
          <w:sz w:val="17"/>
          <w:szCs w:val="17"/>
        </w:rPr>
        <w:t xml:space="preserve">Fontes: processos judiciais, laudos técnicos, TCE-SC, DNIT, ALESC, Defesa Civil, </w:t>
      </w:r>
      <w:proofErr w:type="spellStart"/>
      <w:r>
        <w:rPr>
          <w:i/>
          <w:iCs/>
          <w:color w:val="595959"/>
          <w:sz w:val="17"/>
          <w:szCs w:val="17"/>
        </w:rPr>
        <w:t>ABRHidro</w:t>
      </w:r>
      <w:proofErr w:type="spellEnd"/>
    </w:p>
    <w:p w14:paraId="3E5E3085" w14:textId="77777777" w:rsidR="007F3D8E" w:rsidRDefault="00000000">
      <w:pPr>
        <w:pStyle w:val="Ttulo1"/>
        <w:pBdr>
          <w:bottom w:val="single" w:sz="8" w:space="4" w:color="1F4E79"/>
        </w:pBdr>
        <w:spacing w:before="280" w:after="100"/>
      </w:pPr>
      <w:r>
        <w:rPr>
          <w:b/>
          <w:bCs/>
          <w:color w:val="1F4E79"/>
          <w:sz w:val="26"/>
          <w:szCs w:val="26"/>
        </w:rPr>
        <w:t>1. A ESTRUTURA E O QUE ELA REPRESENTA</w:t>
      </w:r>
    </w:p>
    <w:p w14:paraId="3E5E3086" w14:textId="77777777" w:rsidR="007F3D8E" w:rsidRDefault="00000000">
      <w:pPr>
        <w:spacing w:before="80" w:after="80" w:line="276" w:lineRule="auto"/>
        <w:jc w:val="both"/>
      </w:pPr>
      <w:r>
        <w:t>A Barragem Norte está localizada em José Boiteux, no Alto Vale do Itajaí, no curso do Rio Hercílio/Itajaí-Norte. Foi construída com finalidade exclusivamente hidrodinâmica: reter o volume de água que, sem contenção, avançaria em velocidade e força devastadoras sobre os municípios a jusante. Sua capacidade de reservação é de aproximadamente 358 milhões de metros cúbicos. Quando em funcionamento pleno, estudos técnicos indicam que é capaz de reduzir em até 2 metros o nível das cheias nos municípios rio abaixo.</w:t>
      </w:r>
    </w:p>
    <w:p w14:paraId="3E5E3087" w14:textId="77777777" w:rsidR="007F3D8E" w:rsidRDefault="00000000">
      <w:pPr>
        <w:spacing w:before="80" w:after="80" w:line="276" w:lineRule="auto"/>
        <w:jc w:val="both"/>
      </w:pPr>
      <w:r>
        <w:t xml:space="preserve">Essa diferença de 2 metros tem consequência real: pode separar uma empresa que segue funcionando de uma linha de produção destruída. Pode separar uma ponte que resiste de uma estrutura colapsada. Pode separar uma família que permanece em casa de uma família desabrigada. Rio abaixo estão municípios que carregam parte decisiva da economia catarinense: Presidente Getúlio, Ibirama, Lontras, </w:t>
      </w:r>
      <w:proofErr w:type="spellStart"/>
      <w:r>
        <w:t>Apiúna</w:t>
      </w:r>
      <w:proofErr w:type="spellEnd"/>
      <w:r>
        <w:t>, Ascurra, Rodeio, Indaial, Blumenau, Gaspar, Brusque, Ilhota, Navegantes e Itajaí — cidades que concentram indústria, logística, comércio exterior e mais de um milhão de habitantes.</w:t>
      </w:r>
    </w:p>
    <w:p w14:paraId="3E5E3088" w14:textId="77777777" w:rsidR="007F3D8E" w:rsidRDefault="007F3D8E">
      <w:pPr>
        <w:spacing w:before="120" w:after="120"/>
      </w:pPr>
    </w:p>
    <w:p w14:paraId="3E5E3089" w14:textId="77777777" w:rsidR="007F3D8E" w:rsidRDefault="00000000">
      <w:pPr>
        <w:pStyle w:val="Ttulo1"/>
        <w:pBdr>
          <w:bottom w:val="single" w:sz="8" w:space="4" w:color="1F4E79"/>
        </w:pBdr>
        <w:spacing w:before="280" w:after="100"/>
      </w:pPr>
      <w:r>
        <w:rPr>
          <w:b/>
          <w:bCs/>
          <w:color w:val="1F4E79"/>
          <w:sz w:val="26"/>
          <w:szCs w:val="26"/>
        </w:rPr>
        <w:t>2. A INOPERABILIDADE E OS DOCUMENTOS QUE A COMPROVAM</w:t>
      </w:r>
    </w:p>
    <w:p w14:paraId="3E5E308A" w14:textId="77777777" w:rsidR="007F3D8E" w:rsidRDefault="00000000">
      <w:pPr>
        <w:spacing w:before="80" w:after="80" w:line="276" w:lineRule="auto"/>
        <w:jc w:val="both"/>
      </w:pPr>
      <w:r>
        <w:t>Apesar de sua importância estratégica, a Barragem Norte permanece sem plena operação desde 2014. Essa situação não é alegação política: está documentada em processos judiciais, laudos técnicos, relatórios de controle externo e pedidos de informação da Assembleia Legislativa de Santa Catarina.</w:t>
      </w:r>
    </w:p>
    <w:p w14:paraId="3E5E308B" w14:textId="77777777" w:rsidR="007F3D8E" w:rsidRDefault="00000000">
      <w:pPr>
        <w:spacing w:before="200" w:after="80"/>
      </w:pPr>
      <w:r>
        <w:rPr>
          <w:b/>
          <w:bCs/>
          <w:color w:val="2E75B6"/>
          <w:sz w:val="22"/>
          <w:szCs w:val="22"/>
        </w:rPr>
        <w:t>TCE-SC — Monitoramento PMO 23/00134653</w:t>
      </w:r>
    </w:p>
    <w:p w14:paraId="3E5E308C" w14:textId="77777777" w:rsidR="007F3D8E" w:rsidRDefault="00000000">
      <w:pPr>
        <w:spacing w:before="80" w:after="80" w:line="276" w:lineRule="auto"/>
        <w:jc w:val="both"/>
      </w:pPr>
      <w:r>
        <w:t>Em inspeção realizada em agosto de 2023, o Tribunal de Contas de Santa Catarina registrou que as comportas da Barragem Norte não podiam ser alteadas ou operadas para prevenir consequências de fortes chuvas a jusante, o que potencializava o risco de inundações em municípios de alta densidade populacional. O relatório afirma que a operação da barragem estava comprometida e que a atuação da Defesa Civil ainda tinha caráter mais corretivo do que preventivo. O documento também aponta que havia longo caminho entre os avanços documentais registrados e a efetiva contratação de obras.</w:t>
      </w:r>
    </w:p>
    <w:p w14:paraId="3E5E308D" w14:textId="77777777" w:rsidR="007F3D8E" w:rsidRDefault="00000000">
      <w:pPr>
        <w:spacing w:before="200" w:after="80"/>
      </w:pPr>
      <w:proofErr w:type="spellStart"/>
      <w:r>
        <w:rPr>
          <w:b/>
          <w:bCs/>
          <w:color w:val="2E75B6"/>
          <w:sz w:val="22"/>
          <w:szCs w:val="22"/>
        </w:rPr>
        <w:t>Hydros</w:t>
      </w:r>
      <w:proofErr w:type="spellEnd"/>
      <w:r>
        <w:rPr>
          <w:b/>
          <w:bCs/>
          <w:color w:val="2E75B6"/>
          <w:sz w:val="22"/>
          <w:szCs w:val="22"/>
        </w:rPr>
        <w:t xml:space="preserve"> Engenharia — Contrato nº 016/DC/2020</w:t>
      </w:r>
    </w:p>
    <w:p w14:paraId="3E5E308E" w14:textId="77777777" w:rsidR="007F3D8E" w:rsidRDefault="00000000">
      <w:pPr>
        <w:spacing w:before="80" w:after="80" w:line="276" w:lineRule="auto"/>
        <w:jc w:val="both"/>
      </w:pPr>
      <w:r>
        <w:t xml:space="preserve">O Relatório de Inspeção de Segurança Regular elaborado pela </w:t>
      </w:r>
      <w:proofErr w:type="spellStart"/>
      <w:r>
        <w:t>Hydros</w:t>
      </w:r>
      <w:proofErr w:type="spellEnd"/>
      <w:r>
        <w:t xml:space="preserve"> Engenharia Ltda. classificou a anomalia como Nível 2 – Alerta, em razão da ausência de manutenção, da inoperabilidade das comportas dos túneis de descarga, da falta de condições operacionais e da ausência de domínio patrimonial e operacional adequado. O Nível de Perigo Global da barragem foi classificado como Nível 1 – Atenção, gerando questionamento formal da ALESC sobre a coerência entre os dois níveis — uma anomalia em Alerta que resulta em perigo global em Atenção.</w:t>
      </w:r>
    </w:p>
    <w:p w14:paraId="3E5E308F" w14:textId="77777777" w:rsidR="007F3D8E" w:rsidRDefault="00000000">
      <w:pPr>
        <w:spacing w:before="200" w:after="80"/>
      </w:pPr>
      <w:r>
        <w:rPr>
          <w:b/>
          <w:bCs/>
          <w:color w:val="2E75B6"/>
          <w:sz w:val="22"/>
          <w:szCs w:val="22"/>
        </w:rPr>
        <w:t>O processo judicial: 26 obrigações, décadas de espera</w:t>
      </w:r>
    </w:p>
    <w:p w14:paraId="3E5E3090" w14:textId="77777777" w:rsidR="007F3D8E" w:rsidRDefault="00000000">
      <w:pPr>
        <w:spacing w:before="80" w:after="80" w:line="276" w:lineRule="auto"/>
        <w:jc w:val="both"/>
      </w:pPr>
      <w:r>
        <w:t>Há processo judicial sobre a Barragem Norte desde 1997. A sentença transitou em julgado em 2010. O material técnico e judicial analisado aponta que 26 obrigações governamentais relacionadas à estrutura ainda não foram integralmente cumpridas. A multa diária pela inadimplência continua correndo. O controle externo e o Ministério Público acompanham o caso, mas a solução concreta permanece incompleta.</w:t>
      </w:r>
    </w:p>
    <w:p w14:paraId="3E5E3091" w14:textId="77777777" w:rsidR="007F3D8E" w:rsidRDefault="007F3D8E">
      <w:pPr>
        <w:spacing w:before="120" w:after="120"/>
      </w:pPr>
    </w:p>
    <w:p w14:paraId="3E5E3092" w14:textId="77777777" w:rsidR="007F3D8E" w:rsidRDefault="00000000">
      <w:pPr>
        <w:pStyle w:val="Ttulo1"/>
        <w:pBdr>
          <w:bottom w:val="single" w:sz="8" w:space="4" w:color="1F4E79"/>
        </w:pBdr>
        <w:spacing w:before="280" w:after="100"/>
      </w:pPr>
      <w:r>
        <w:rPr>
          <w:b/>
          <w:bCs/>
          <w:color w:val="1F4E79"/>
          <w:sz w:val="26"/>
          <w:szCs w:val="26"/>
        </w:rPr>
        <w:lastRenderedPageBreak/>
        <w:t>3. OUTUBRO DE 2023: O EVENTO QUE TORNOU O RISCO VISÍVEL</w:t>
      </w:r>
    </w:p>
    <w:p w14:paraId="3E5E3093" w14:textId="77777777" w:rsidR="007F3D8E" w:rsidRDefault="00000000">
      <w:pPr>
        <w:spacing w:before="80" w:after="80" w:line="276" w:lineRule="auto"/>
        <w:jc w:val="both"/>
      </w:pPr>
      <w:r>
        <w:t>Em outubro de 2023, o Vale do Itajaí enfrentou cheias de intensidade excepcional. A Defesa Civil de Blumenau registrou que o Rio Itajaí-Açu atingiu a cota de 10,76 metros em 12 de outubro, com outras marcas relevantes no mesmo mês: 8,78 m, 10,19 m e 8,38 m. Foi também a primeira vez na história da estrutura que o vertedouro da Barragem Norte transbordou — um fato inédito que ilustra a magnitude das chuvas.</w:t>
      </w:r>
    </w:p>
    <w:p w14:paraId="3E5E3094" w14:textId="77777777" w:rsidR="007F3D8E" w:rsidRDefault="00000000">
      <w:pPr>
        <w:spacing w:before="80" w:after="80" w:line="276" w:lineRule="auto"/>
        <w:jc w:val="both"/>
      </w:pPr>
      <w:r>
        <w:t>O hidrólogo Ademar Cordero estimou publicamente que a operação da Barragem Norte reduziu o nível da cheia em Blumenau em até 2 metros. Se essa estimativa estiver correta, sem a operação da barragem a cota poderia ter chegado próxima a 12,76 metros — um cenário de colapso para cidades, empresas e infraestrutura a jusante. Essa não é uma afirmação pericial fechada, mas é uma estimativa técnica plausível e compatível com a função documentada da estrutura.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F3D8E" w14:paraId="3E5E3096"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DEEAF1"/>
            <w:tcMar>
              <w:top w:w="120" w:type="dxa"/>
              <w:left w:w="200" w:type="dxa"/>
              <w:bottom w:w="120" w:type="dxa"/>
              <w:right w:w="200" w:type="dxa"/>
            </w:tcMar>
          </w:tcPr>
          <w:p w14:paraId="3E5E3095" w14:textId="77777777" w:rsidR="007F3D8E" w:rsidRDefault="00000000">
            <w:pPr>
              <w:jc w:val="both"/>
            </w:pPr>
            <w:r>
              <w:rPr>
                <w:i/>
                <w:iCs/>
                <w:color w:val="1F4E79"/>
              </w:rPr>
              <w:t>Em outubro de 2023, mesmo com os problemas operacionais registrados, a Barragem Norte atuou como fator concreto de redução do risco a jusante. O que os documentos revelam é o quanto o Vale esteve próximo de um cenário ainda mais grave — e o quanto a ausência de plena operação eleva continuamente esse risco.</w:t>
            </w:r>
          </w:p>
        </w:tc>
      </w:tr>
    </w:tbl>
    <w:p w14:paraId="3E5E3097" w14:textId="77777777" w:rsidR="007F3D8E" w:rsidRDefault="007F3D8E">
      <w:pPr>
        <w:spacing w:before="120" w:after="120"/>
      </w:pPr>
    </w:p>
    <w:p w14:paraId="3E5E3098" w14:textId="77777777" w:rsidR="007F3D8E" w:rsidRDefault="00000000">
      <w:pPr>
        <w:pStyle w:val="Ttulo1"/>
        <w:pBdr>
          <w:bottom w:val="single" w:sz="8" w:space="4" w:color="1F4E79"/>
        </w:pBdr>
        <w:spacing w:before="280" w:after="100"/>
      </w:pPr>
      <w:r>
        <w:rPr>
          <w:b/>
          <w:bCs/>
          <w:color w:val="1F4E79"/>
          <w:sz w:val="26"/>
          <w:szCs w:val="26"/>
        </w:rPr>
        <w:t>4. A PONTE MAIS VULNERÁVEL DO SISTEMA: IBIRAMA/APIÚNA</w:t>
      </w:r>
    </w:p>
    <w:p w14:paraId="3E5E3099" w14:textId="77777777" w:rsidR="007F3D8E" w:rsidRDefault="00000000">
      <w:pPr>
        <w:spacing w:before="80" w:after="80" w:line="276" w:lineRule="auto"/>
        <w:jc w:val="both"/>
      </w:pPr>
      <w:r>
        <w:t xml:space="preserve">Na BR-470/SC, entre os municípios de Ibirama e </w:t>
      </w:r>
      <w:proofErr w:type="spellStart"/>
      <w:r>
        <w:t>Apiúna</w:t>
      </w:r>
      <w:proofErr w:type="spellEnd"/>
      <w:r>
        <w:t>, está a Ponte sobre o Rio Itajaí-Açu II — identificada no km 111 ou km 113 da rodovia, com aproximadamente 200 metros de extensão. A estrutura é responsabilidade do DNIT e integra um dos principais eixos logísticos do Vale do Itajaí.</w:t>
      </w:r>
    </w:p>
    <w:p w14:paraId="3E5E309A" w14:textId="77777777" w:rsidR="007F3D8E" w:rsidRDefault="00000000">
      <w:pPr>
        <w:spacing w:before="80" w:after="80" w:line="276" w:lineRule="auto"/>
        <w:jc w:val="both"/>
      </w:pPr>
      <w:r>
        <w:t>O ponto crítico é que essa ponte já não era uma estrutura em condições normais antes da cheia de outubro de 2023. Em novembro de 2022, o Estudo Técnico Preliminar do DNIT indicava manifestações patológicas típicas de ausência de drenagem, falhas de concretagem, cobrimento insuficiente de armadura, degradação ao longo dos anos e desalinhamento do tabuleiro em razão de recalque de fundação. Em maio de 2023, o DNIT emitiu ordem de serviço para reabilitação estrutural da ponte, com investimento de aproximadamente R$ 15 milhões, incluindo recuperação de pilares, vigas e lajes, e ampliação da largura de 9,4 para 15,2 metros. Não era obra estética. Era reabilitação estrutural de uma obra de arte especial já comprometida.</w:t>
      </w:r>
    </w:p>
    <w:p w14:paraId="3E5E309B" w14:textId="77777777" w:rsidR="007F3D8E" w:rsidRDefault="00000000">
      <w:pPr>
        <w:spacing w:before="80" w:after="80" w:line="276" w:lineRule="auto"/>
        <w:jc w:val="both"/>
      </w:pPr>
      <w:r>
        <w:t>Em 12 de outubro de 2023, o DNIT interditou preventivamente o tráfego sobre a ponte. A justificativa oficial foi direta: o nível do Rio Itajaí-Açu II estava próximo às vigas da estrutura e continuava subindo, configurando risco imediato para os usuários. A autoridade federal responsável reconheceu, naquele momento, que o rio criou condição de risco suficiente para paralisar um eixo rodoviário estratégico.</w:t>
      </w:r>
    </w:p>
    <w:p w14:paraId="3E5E309C" w14:textId="77777777" w:rsidR="007F3D8E" w:rsidRDefault="00000000">
      <w:pPr>
        <w:spacing w:before="80" w:after="80" w:line="276" w:lineRule="auto"/>
        <w:jc w:val="both"/>
      </w:pPr>
      <w:r>
        <w:t>A tese tecnicamente defensável, com base nos documentos disponíveis: se a Barragem Norte não tivesse operado em outubro de 2023, o nível do rio seria substancialmente mais alto. Uma elevação adicional — estimada em até 2 metros pelas referências técnicas consultadas — poderia ter agravado de forma expressiva a carga hidráulica sobre uma estrutura que já apresentava patologias estruturais graves, com potencial de comprometimento severo ou colapso. A afirmação de rompimento inevitável dependeria de laudo estrutural e modelagem hidrológica específica, mas o risco concreto e agravado é sustentável pelos dados existentes.</w:t>
      </w:r>
    </w:p>
    <w:p w14:paraId="3E5E309D" w14:textId="77777777" w:rsidR="007F3D8E" w:rsidRDefault="007F3D8E">
      <w:pPr>
        <w:spacing w:before="120" w:after="120"/>
      </w:pPr>
    </w:p>
    <w:p w14:paraId="3E5E309E" w14:textId="77777777" w:rsidR="007F3D8E" w:rsidRDefault="00000000">
      <w:pPr>
        <w:pStyle w:val="Ttulo1"/>
        <w:pBdr>
          <w:bottom w:val="single" w:sz="8" w:space="4" w:color="1F4E79"/>
        </w:pBdr>
        <w:spacing w:before="280" w:after="100"/>
      </w:pPr>
      <w:r>
        <w:rPr>
          <w:b/>
          <w:bCs/>
          <w:color w:val="1F4E79"/>
          <w:sz w:val="26"/>
          <w:szCs w:val="26"/>
        </w:rPr>
        <w:t>5. O CENÁRIO EXTREMO: SIMULAÇÃO DE ROMPIMENTO DA BARRAGEM</w:t>
      </w:r>
    </w:p>
    <w:p w14:paraId="3E5E309F" w14:textId="7200B7D0" w:rsidR="007F3D8E" w:rsidRDefault="00000000">
      <w:pPr>
        <w:spacing w:before="80" w:after="80" w:line="276" w:lineRule="auto"/>
        <w:jc w:val="both"/>
      </w:pPr>
      <w:r>
        <w:t xml:space="preserve">O estudo técnico "Simulação Hidrodinâmica do Rompimento da Barragem Norte em José Boiteux/SC", elaborado por </w:t>
      </w:r>
      <w:proofErr w:type="spellStart"/>
      <w:r>
        <w:t>Adangelo</w:t>
      </w:r>
      <w:proofErr w:type="spellEnd"/>
      <w:r>
        <w:t xml:space="preserve"> </w:t>
      </w:r>
      <w:proofErr w:type="spellStart"/>
      <w:r>
        <w:t>Eldebrando</w:t>
      </w:r>
      <w:proofErr w:type="spellEnd"/>
      <w:r>
        <w:t xml:space="preserve"> Krambeck e Gabriele </w:t>
      </w:r>
      <w:proofErr w:type="spellStart"/>
      <w:r>
        <w:t>Tschöke</w:t>
      </w:r>
      <w:proofErr w:type="spellEnd"/>
      <w:r>
        <w:t xml:space="preserve"> (</w:t>
      </w:r>
      <w:proofErr w:type="spellStart"/>
      <w:r>
        <w:t>ABRHidro</w:t>
      </w:r>
      <w:proofErr w:type="spellEnd"/>
      <w:r>
        <w:t>)</w:t>
      </w:r>
      <w:r w:rsidR="00D40007">
        <w:t xml:space="preserve"> (não é oficial, </w:t>
      </w:r>
      <w:r w:rsidR="000A696C">
        <w:t xml:space="preserve">o estudo foi realizado por </w:t>
      </w:r>
      <w:r w:rsidR="006E362E">
        <w:t>profissional,</w:t>
      </w:r>
      <w:r w:rsidR="000A696C">
        <w:t xml:space="preserve"> mas não tem protocolo </w:t>
      </w:r>
      <w:r w:rsidR="006E362E">
        <w:t>técnico junto a defesa civil)</w:t>
      </w:r>
      <w:r>
        <w:t xml:space="preserve">, simulou a ruptura hipotética da barragem para gerar hidrogramas e mapas de inundação no vale a jusante, com foco na elaboração de plano de contingência para Ibirama. O documento classifica a Barragem Norte como de alto risco, </w:t>
      </w:r>
      <w:r>
        <w:lastRenderedPageBreak/>
        <w:t>considerando suas características técnicas, estado de conservação e inconformidades com a legislação vigente.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026"/>
      </w:tblGrid>
      <w:tr w:rsidR="007F3D8E" w14:paraId="3E5E30A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E5E30A0" w14:textId="77777777" w:rsidR="007F3D8E" w:rsidRDefault="00000000">
            <w:r>
              <w:rPr>
                <w:b/>
                <w:bCs/>
                <w:color w:val="FFFFFF"/>
                <w:sz w:val="19"/>
                <w:szCs w:val="19"/>
              </w:rPr>
              <w:t>Município / Ponto</w:t>
            </w:r>
          </w:p>
        </w:tc>
        <w:tc>
          <w:tcPr>
            <w:tcW w:w="50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E5E30A1" w14:textId="77777777" w:rsidR="007F3D8E" w:rsidRDefault="00000000">
            <w:r>
              <w:rPr>
                <w:b/>
                <w:bCs/>
                <w:color w:val="FFFFFF"/>
                <w:sz w:val="19"/>
                <w:szCs w:val="19"/>
              </w:rPr>
              <w:t>Resultado da Simulação</w:t>
            </w:r>
          </w:p>
        </w:tc>
      </w:tr>
      <w:tr w:rsidR="007F3D8E" w14:paraId="3E5E30A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5E30A3" w14:textId="77777777" w:rsidR="007F3D8E" w:rsidRDefault="00000000">
            <w:r>
              <w:rPr>
                <w:color w:val="000000"/>
                <w:sz w:val="19"/>
                <w:szCs w:val="19"/>
              </w:rPr>
              <w:t>José Boiteux</w:t>
            </w:r>
          </w:p>
        </w:tc>
        <w:tc>
          <w:tcPr>
            <w:tcW w:w="5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5E30A4" w14:textId="77777777" w:rsidR="007F3D8E" w:rsidRDefault="00000000">
            <w:r>
              <w:rPr>
                <w:color w:val="000000"/>
                <w:sz w:val="19"/>
                <w:szCs w:val="19"/>
              </w:rPr>
              <w:t>Pico de inundação em aprox. 4 horas após início da ruptura; aumento de cota de até 25 metros</w:t>
            </w:r>
          </w:p>
        </w:tc>
      </w:tr>
      <w:tr w:rsidR="007F3D8E" w14:paraId="3E5E30A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5E30A6" w14:textId="77777777" w:rsidR="007F3D8E" w:rsidRDefault="00000000">
            <w:r>
              <w:rPr>
                <w:color w:val="000000"/>
                <w:sz w:val="19"/>
                <w:szCs w:val="19"/>
              </w:rPr>
              <w:t>Ibirama</w:t>
            </w:r>
          </w:p>
        </w:tc>
        <w:tc>
          <w:tcPr>
            <w:tcW w:w="5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5E30A7" w14:textId="77777777" w:rsidR="007F3D8E" w:rsidRDefault="00000000">
            <w:r>
              <w:rPr>
                <w:color w:val="000000"/>
                <w:sz w:val="19"/>
                <w:szCs w:val="19"/>
              </w:rPr>
              <w:t>Pico de inundação em aprox. 5 horas após início da ruptura; aumento de aprox. 13 metros na elevação do rio</w:t>
            </w:r>
          </w:p>
        </w:tc>
      </w:tr>
    </w:tbl>
    <w:p w14:paraId="3E5E30A9" w14:textId="77777777" w:rsidR="007F3D8E" w:rsidRDefault="007F3D8E">
      <w:pPr>
        <w:spacing w:before="80" w:after="80"/>
      </w:pPr>
    </w:p>
    <w:p w14:paraId="3E5E30AA" w14:textId="77777777" w:rsidR="007F3D8E" w:rsidRDefault="00000000">
      <w:pPr>
        <w:spacing w:before="80" w:after="80" w:line="276" w:lineRule="auto"/>
        <w:jc w:val="both"/>
      </w:pPr>
      <w:r>
        <w:t>Esses dados dizem respeito ao cenário de rompimento da barragem — não ao rompimento da ponte. Mas demonstram, com clareza técnica, a magnitude hidráulica do sistema e a gravidade das consequências para Ibirama e municípios a jusante em situações extremas envolvendo a Barragem Norte.</w:t>
      </w:r>
    </w:p>
    <w:p w14:paraId="3E5E30AB" w14:textId="77777777" w:rsidR="007F3D8E" w:rsidRDefault="007F3D8E">
      <w:pPr>
        <w:spacing w:before="120" w:after="120"/>
      </w:pPr>
    </w:p>
    <w:p w14:paraId="3E5E30AC" w14:textId="77777777" w:rsidR="007F3D8E" w:rsidRDefault="00000000">
      <w:pPr>
        <w:pStyle w:val="Ttulo1"/>
        <w:pBdr>
          <w:bottom w:val="single" w:sz="8" w:space="4" w:color="1F4E79"/>
        </w:pBdr>
        <w:spacing w:before="280" w:after="100"/>
      </w:pPr>
      <w:r>
        <w:rPr>
          <w:b/>
          <w:bCs/>
          <w:color w:val="1F4E79"/>
          <w:sz w:val="26"/>
          <w:szCs w:val="26"/>
        </w:rPr>
        <w:t>6. A DÍVIDA SOCIAL: 19 ANOS DE UMA SENTENÇA DESCUMPRIDA</w:t>
      </w:r>
    </w:p>
    <w:p w14:paraId="3E5E30AD" w14:textId="77777777" w:rsidR="007F3D8E" w:rsidRDefault="00000000">
      <w:pPr>
        <w:spacing w:before="80" w:after="80" w:line="276" w:lineRule="auto"/>
        <w:jc w:val="both"/>
      </w:pPr>
      <w:r>
        <w:t>Paralelamente ao debate sobre a segurança estrutural da barragem, há uma dimensão social que permanece invisível para boa parte da população catarinense: a Comunidade Indígena da Terra Indígena Ibirama La-</w:t>
      </w:r>
      <w:proofErr w:type="spellStart"/>
      <w:r>
        <w:t>Klãnõ</w:t>
      </w:r>
      <w:proofErr w:type="spellEnd"/>
      <w:r>
        <w:t xml:space="preserve"> — povo Xokleng diretamente afetado pela operação da Barragem Norte desde sua construção — carrega até hoje a maior parte dos danos causados pela estrutura sem reparação plena.</w:t>
      </w:r>
    </w:p>
    <w:p w14:paraId="3E5E30AE" w14:textId="77777777" w:rsidR="007F3D8E" w:rsidRDefault="00000000">
      <w:pPr>
        <w:spacing w:before="80" w:after="80" w:line="276" w:lineRule="auto"/>
        <w:jc w:val="both"/>
      </w:pPr>
      <w:r>
        <w:t>Em 15 de junho de 2007, a Justiça Federal proferiu sentença na Ação Civil Pública n. 5013528-53.2018.4.04.7205/SC, condenando a União Federal, o Estado de Santa Catarina e a FUNAI a uma série de obras e medidas de reparação: construção de casas, escola, igrejas, casas de pároco, unidade sanitária, campo de futebol, melhoria da estrada que liga a Sede à Aldeia Toldo e recuperação de pontes. A sentença transitou em julgado para a União em 05/08/2017 e para a FUNAI em 18/08/2017.</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026"/>
      </w:tblGrid>
      <w:tr w:rsidR="007F3D8E" w14:paraId="3E5E30B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E5E30AF" w14:textId="77777777" w:rsidR="007F3D8E" w:rsidRDefault="00000000">
            <w:r>
              <w:rPr>
                <w:b/>
                <w:bCs/>
                <w:color w:val="FFFFFF"/>
                <w:sz w:val="19"/>
                <w:szCs w:val="19"/>
              </w:rPr>
              <w:t>Marco</w:t>
            </w:r>
          </w:p>
        </w:tc>
        <w:tc>
          <w:tcPr>
            <w:tcW w:w="50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E5E30B0" w14:textId="77777777" w:rsidR="007F3D8E" w:rsidRDefault="00000000">
            <w:r>
              <w:rPr>
                <w:b/>
                <w:bCs/>
                <w:color w:val="FFFFFF"/>
                <w:sz w:val="19"/>
                <w:szCs w:val="19"/>
              </w:rPr>
              <w:t>Data / Situação</w:t>
            </w:r>
          </w:p>
        </w:tc>
      </w:tr>
      <w:tr w:rsidR="007F3D8E" w14:paraId="3E5E30B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5E30B2" w14:textId="77777777" w:rsidR="007F3D8E" w:rsidRDefault="00000000">
            <w:r>
              <w:rPr>
                <w:color w:val="000000"/>
                <w:sz w:val="19"/>
                <w:szCs w:val="19"/>
              </w:rPr>
              <w:t>Sentença condenatória</w:t>
            </w:r>
          </w:p>
        </w:tc>
        <w:tc>
          <w:tcPr>
            <w:tcW w:w="5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5E30B3" w14:textId="77777777" w:rsidR="007F3D8E" w:rsidRDefault="00000000">
            <w:r>
              <w:rPr>
                <w:color w:val="000000"/>
                <w:sz w:val="19"/>
                <w:szCs w:val="19"/>
              </w:rPr>
              <w:t xml:space="preserve">15/06/2007 — Juíza Rosimar Terezinha </w:t>
            </w:r>
            <w:proofErr w:type="spellStart"/>
            <w:r>
              <w:rPr>
                <w:color w:val="000000"/>
                <w:sz w:val="19"/>
                <w:szCs w:val="19"/>
              </w:rPr>
              <w:t>Kolm</w:t>
            </w:r>
            <w:proofErr w:type="spellEnd"/>
            <w:r>
              <w:rPr>
                <w:color w:val="000000"/>
                <w:sz w:val="19"/>
                <w:szCs w:val="19"/>
              </w:rPr>
              <w:t>, 1ª Vara Federal de Blumenau</w:t>
            </w:r>
          </w:p>
        </w:tc>
      </w:tr>
      <w:tr w:rsidR="007F3D8E" w14:paraId="3E5E30B7"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5E30B5" w14:textId="77777777" w:rsidR="007F3D8E" w:rsidRDefault="00000000">
            <w:r>
              <w:rPr>
                <w:color w:val="000000"/>
                <w:sz w:val="19"/>
                <w:szCs w:val="19"/>
              </w:rPr>
              <w:t>Trânsito em julgado (União)</w:t>
            </w:r>
          </w:p>
        </w:tc>
        <w:tc>
          <w:tcPr>
            <w:tcW w:w="5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5E30B6" w14:textId="77777777" w:rsidR="007F3D8E" w:rsidRDefault="00000000">
            <w:r>
              <w:rPr>
                <w:color w:val="000000"/>
                <w:sz w:val="19"/>
                <w:szCs w:val="19"/>
              </w:rPr>
              <w:t>05/08/2017</w:t>
            </w:r>
          </w:p>
        </w:tc>
      </w:tr>
      <w:tr w:rsidR="007F3D8E" w14:paraId="3E5E30BA"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5E30B8" w14:textId="77777777" w:rsidR="007F3D8E" w:rsidRDefault="00000000">
            <w:r>
              <w:rPr>
                <w:color w:val="000000"/>
                <w:sz w:val="19"/>
                <w:szCs w:val="19"/>
              </w:rPr>
              <w:t>Trânsito em julgado (FUNAI)</w:t>
            </w:r>
          </w:p>
        </w:tc>
        <w:tc>
          <w:tcPr>
            <w:tcW w:w="5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5E30B9" w14:textId="77777777" w:rsidR="007F3D8E" w:rsidRDefault="00000000">
            <w:r>
              <w:rPr>
                <w:color w:val="000000"/>
                <w:sz w:val="19"/>
                <w:szCs w:val="19"/>
              </w:rPr>
              <w:t>18/08/2017</w:t>
            </w:r>
          </w:p>
        </w:tc>
      </w:tr>
      <w:tr w:rsidR="007F3D8E" w14:paraId="3E5E30B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5E30BB" w14:textId="77777777" w:rsidR="007F3D8E" w:rsidRDefault="00000000">
            <w:r>
              <w:rPr>
                <w:color w:val="000000"/>
                <w:sz w:val="19"/>
                <w:szCs w:val="19"/>
              </w:rPr>
              <w:t>Multa diária (astreinte)</w:t>
            </w:r>
          </w:p>
        </w:tc>
        <w:tc>
          <w:tcPr>
            <w:tcW w:w="5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5E30BC" w14:textId="77777777" w:rsidR="007F3D8E" w:rsidRDefault="00000000">
            <w:r>
              <w:rPr>
                <w:color w:val="000000"/>
                <w:sz w:val="19"/>
                <w:szCs w:val="19"/>
              </w:rPr>
              <w:t>R$ 500/réu/dia desde agosto de 2020</w:t>
            </w:r>
          </w:p>
        </w:tc>
      </w:tr>
      <w:tr w:rsidR="007F3D8E" w14:paraId="3E5E30C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5E30BE" w14:textId="77777777" w:rsidR="007F3D8E" w:rsidRDefault="00000000">
            <w:r>
              <w:rPr>
                <w:color w:val="000000"/>
                <w:sz w:val="19"/>
                <w:szCs w:val="19"/>
              </w:rPr>
              <w:t xml:space="preserve">Acúmulo estimado de multas até </w:t>
            </w:r>
            <w:proofErr w:type="spellStart"/>
            <w:r>
              <w:rPr>
                <w:color w:val="000000"/>
                <w:sz w:val="19"/>
                <w:szCs w:val="19"/>
              </w:rPr>
              <w:t>jun</w:t>
            </w:r>
            <w:proofErr w:type="spellEnd"/>
            <w:r>
              <w:rPr>
                <w:color w:val="000000"/>
                <w:sz w:val="19"/>
                <w:szCs w:val="19"/>
              </w:rPr>
              <w:t>/2026</w:t>
            </w:r>
          </w:p>
        </w:tc>
        <w:tc>
          <w:tcPr>
            <w:tcW w:w="5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5E30BF" w14:textId="77777777" w:rsidR="007F3D8E" w:rsidRDefault="00000000">
            <w:r>
              <w:rPr>
                <w:color w:val="000000"/>
                <w:sz w:val="19"/>
                <w:szCs w:val="19"/>
              </w:rPr>
              <w:t>Aprox. R$ 6,48 milhões (dois réus × 2.160 dias)</w:t>
            </w:r>
          </w:p>
        </w:tc>
      </w:tr>
      <w:tr w:rsidR="007F3D8E" w14:paraId="3E5E30C3"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5E30C1" w14:textId="77777777" w:rsidR="007F3D8E" w:rsidRDefault="00000000">
            <w:r>
              <w:rPr>
                <w:color w:val="000000"/>
                <w:sz w:val="19"/>
                <w:szCs w:val="19"/>
              </w:rPr>
              <w:t>Previsão de entrega das obras (casas, igrejas)</w:t>
            </w:r>
          </w:p>
        </w:tc>
        <w:tc>
          <w:tcPr>
            <w:tcW w:w="5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5E30C2" w14:textId="77777777" w:rsidR="007F3D8E" w:rsidRDefault="00000000">
            <w:r>
              <w:rPr>
                <w:color w:val="000000"/>
                <w:sz w:val="19"/>
                <w:szCs w:val="19"/>
              </w:rPr>
              <w:t>30/06/2026 — convênios SDC 766/2025 e correlatos</w:t>
            </w:r>
          </w:p>
        </w:tc>
      </w:tr>
      <w:tr w:rsidR="007F3D8E" w14:paraId="3E5E30C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5E30C4" w14:textId="77777777" w:rsidR="007F3D8E" w:rsidRDefault="00000000">
            <w:r>
              <w:rPr>
                <w:color w:val="000000"/>
                <w:sz w:val="19"/>
                <w:szCs w:val="19"/>
              </w:rPr>
              <w:t>Obras ainda sem prazo definido</w:t>
            </w:r>
          </w:p>
        </w:tc>
        <w:tc>
          <w:tcPr>
            <w:tcW w:w="5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5E30C5" w14:textId="77777777" w:rsidR="007F3D8E" w:rsidRDefault="00000000">
            <w:r>
              <w:rPr>
                <w:color w:val="000000"/>
                <w:sz w:val="19"/>
                <w:szCs w:val="19"/>
              </w:rPr>
              <w:t>Estrada Sede-Aldeia Toldo, escola, unidade sanitária, campo de futebol</w:t>
            </w:r>
          </w:p>
        </w:tc>
      </w:tr>
    </w:tbl>
    <w:p w14:paraId="3E5E30C7" w14:textId="77777777" w:rsidR="007F3D8E" w:rsidRDefault="007F3D8E">
      <w:pPr>
        <w:spacing w:before="80" w:after="80"/>
      </w:pPr>
    </w:p>
    <w:p w14:paraId="3E5E30C8" w14:textId="77777777" w:rsidR="007F3D8E" w:rsidRDefault="00000000">
      <w:pPr>
        <w:spacing w:before="80" w:after="80" w:line="276" w:lineRule="auto"/>
        <w:jc w:val="both"/>
      </w:pPr>
      <w:r>
        <w:t>Os convênios firmados em 2025 pela Secretaria de Estado da Proteção e Defesa Civil (SDC 766/2025, SDC 1186/2025, SDC 1156/2025 e SDC 1159/2025) totalizam cerca de R$ 6,16 milhões em edificações e projetam entrega para 30 de junho de 2026 — ou seja, 19 anos e 15 dias após a condenação, e apenas para parte das obrigações. As demais obras da sentença, incluindo estrada, escola e infraestrutura sanitária, seguem sem cronograma formalizado nos autos até o último evento analisado (Evento 376, julho de 2025).</w:t>
      </w:r>
    </w:p>
    <w:p w14:paraId="3E5E30C9" w14:textId="77777777" w:rsidR="007F3D8E" w:rsidRDefault="007F3D8E">
      <w:pPr>
        <w:spacing w:before="120" w:after="120"/>
      </w:pPr>
    </w:p>
    <w:p w14:paraId="3E5E30CA" w14:textId="77777777" w:rsidR="007F3D8E" w:rsidRDefault="00000000">
      <w:pPr>
        <w:pStyle w:val="Ttulo1"/>
        <w:pBdr>
          <w:bottom w:val="single" w:sz="8" w:space="4" w:color="1F4E79"/>
        </w:pBdr>
        <w:spacing w:before="280" w:after="100"/>
      </w:pPr>
      <w:r>
        <w:rPr>
          <w:b/>
          <w:bCs/>
          <w:color w:val="1F4E79"/>
          <w:sz w:val="26"/>
          <w:szCs w:val="26"/>
        </w:rPr>
        <w:t>7. CONCLUSÃO: O QUE O VALE PRECISA SABER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F3D8E" w14:paraId="3E5E30CC"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DEEAF1"/>
            <w:tcMar>
              <w:top w:w="120" w:type="dxa"/>
              <w:left w:w="200" w:type="dxa"/>
              <w:bottom w:w="120" w:type="dxa"/>
              <w:right w:w="200" w:type="dxa"/>
            </w:tcMar>
          </w:tcPr>
          <w:p w14:paraId="3E5E30CB" w14:textId="77777777" w:rsidR="007F3D8E" w:rsidRDefault="00000000">
            <w:pPr>
              <w:jc w:val="both"/>
            </w:pPr>
            <w:r>
              <w:rPr>
                <w:i/>
                <w:iCs/>
                <w:color w:val="1F4E79"/>
              </w:rPr>
              <w:lastRenderedPageBreak/>
              <w:t>A Barragem Norte é, ao mesmo tempo, um instrumento de proteção e um símbolo de omissão. É eficaz quando opera — e há evidências técnicas de que operou em outubro de 2023, evitando agravamento expressivo das cheias. Mas permanece com operação comprometida, documentada por laudos, órgãos de controle e o próprio Poder Judiciário.</w:t>
            </w:r>
          </w:p>
        </w:tc>
      </w:tr>
    </w:tbl>
    <w:p w14:paraId="3E5E30CD" w14:textId="77777777" w:rsidR="007F3D8E" w:rsidRDefault="007F3D8E">
      <w:pPr>
        <w:spacing w:before="80" w:after="80"/>
      </w:pPr>
    </w:p>
    <w:p w14:paraId="3E5E30CE" w14:textId="77777777" w:rsidR="007F3D8E" w:rsidRDefault="00000000">
      <w:pPr>
        <w:spacing w:before="80" w:after="80" w:line="276" w:lineRule="auto"/>
        <w:jc w:val="both"/>
      </w:pPr>
      <w:r>
        <w:t>O Vale do Itajaí tem o direito de saber quem opera a barragem, em que condição ela está e qual o plano de emergência em vigor. A Lei de Segurança de Barragens exige Plano de Ação de Emergência, mapa de inundação e protocolo de comunicação com municípios a jusante — instrumentos mínimos de proteção da vida, não luxo administrativo.</w:t>
      </w:r>
    </w:p>
    <w:p w14:paraId="3E5E30CF" w14:textId="77777777" w:rsidR="007F3D8E" w:rsidRDefault="00000000">
      <w:pPr>
        <w:spacing w:before="80" w:after="80" w:line="276" w:lineRule="auto"/>
        <w:jc w:val="both"/>
      </w:pPr>
      <w:r>
        <w:t>A combinação de fatores documentados neste dossiê — inoperabilidade comprovada, comportas sem funcionamento, laudos de Alerta, ponte estruturalmente comprometida interditada durante a cheia, simulação de rompimento com impacto de 13 metros em Ibirama, e uma sentença judicial de reparação social cumprida apenas parcialmente após 19 anos — forma um conjunto técnico e jurídico que não pode ser tratado como preocupação abstrata.</w:t>
      </w:r>
    </w:p>
    <w:p w14:paraId="3E5E30D0" w14:textId="77777777" w:rsidR="007F3D8E" w:rsidRDefault="00000000">
      <w:pPr>
        <w:spacing w:before="80" w:after="80" w:line="276" w:lineRule="auto"/>
        <w:jc w:val="both"/>
      </w:pPr>
      <w:r>
        <w:t>Prevenir custa. Reconstruir custa muito mais. E o Vale do Itajaí não pode seguir dependendo de improviso — seja da natureza, seja das instituições — para que a proteção que deveria existir finalmente chegue.</w:t>
      </w:r>
    </w:p>
    <w:p w14:paraId="3E5E30D1" w14:textId="77777777" w:rsidR="007F3D8E" w:rsidRDefault="007F3D8E">
      <w:pPr>
        <w:spacing w:before="160" w:after="160"/>
      </w:pPr>
    </w:p>
    <w:p w14:paraId="3E5E30D2" w14:textId="77777777" w:rsidR="007F3D8E" w:rsidRDefault="00000000">
      <w:pPr>
        <w:pBdr>
          <w:top w:val="single" w:sz="4" w:space="4" w:color="1F4E79"/>
        </w:pBdr>
        <w:spacing w:before="160"/>
        <w:jc w:val="center"/>
      </w:pPr>
      <w:r>
        <w:rPr>
          <w:i/>
          <w:iCs/>
          <w:color w:val="595959"/>
          <w:sz w:val="16"/>
          <w:szCs w:val="16"/>
        </w:rPr>
        <w:t xml:space="preserve">Fontes documentais: Autos 5013528-53.2018.4.04.7205/SC • TCE-SC PMO 23/00134653 • </w:t>
      </w:r>
      <w:proofErr w:type="spellStart"/>
      <w:r>
        <w:rPr>
          <w:i/>
          <w:iCs/>
          <w:color w:val="595959"/>
          <w:sz w:val="16"/>
          <w:szCs w:val="16"/>
        </w:rPr>
        <w:t>Hydros</w:t>
      </w:r>
      <w:proofErr w:type="spellEnd"/>
      <w:r>
        <w:rPr>
          <w:i/>
          <w:iCs/>
          <w:color w:val="595959"/>
          <w:sz w:val="16"/>
          <w:szCs w:val="16"/>
        </w:rPr>
        <w:t xml:space="preserve">/Contrato 016/DC/2020 • DNIT (FIESC) • </w:t>
      </w:r>
      <w:proofErr w:type="spellStart"/>
      <w:r>
        <w:rPr>
          <w:i/>
          <w:iCs/>
          <w:color w:val="595959"/>
          <w:sz w:val="16"/>
          <w:szCs w:val="16"/>
        </w:rPr>
        <w:t>ABRHidro</w:t>
      </w:r>
      <w:proofErr w:type="spellEnd"/>
      <w:r>
        <w:rPr>
          <w:i/>
          <w:iCs/>
          <w:color w:val="595959"/>
          <w:sz w:val="16"/>
          <w:szCs w:val="16"/>
        </w:rPr>
        <w:t xml:space="preserve"> (Krambeck &amp; </w:t>
      </w:r>
      <w:proofErr w:type="spellStart"/>
      <w:r>
        <w:rPr>
          <w:i/>
          <w:iCs/>
          <w:color w:val="595959"/>
          <w:sz w:val="16"/>
          <w:szCs w:val="16"/>
        </w:rPr>
        <w:t>Tschöke</w:t>
      </w:r>
      <w:proofErr w:type="spellEnd"/>
      <w:r>
        <w:rPr>
          <w:i/>
          <w:iCs/>
          <w:color w:val="595959"/>
          <w:sz w:val="16"/>
          <w:szCs w:val="16"/>
        </w:rPr>
        <w:t>) • ALESC (pedido de informação) • Defesa Civil de Blumenau • Evento 370 (SDC 930/2025)</w:t>
      </w:r>
    </w:p>
    <w:sectPr w:rsidR="007F3D8E">
      <w:headerReference w:type="default" r:id="rId7"/>
      <w:footerReference w:type="default" r:id="rId8"/>
      <w:pgSz w:w="11906" w:h="16838"/>
      <w:pgMar w:top="1134" w:right="1134" w:bottom="1134"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3A32A6" w14:textId="77777777" w:rsidR="004026DF" w:rsidRDefault="004026DF">
      <w:r>
        <w:separator/>
      </w:r>
    </w:p>
  </w:endnote>
  <w:endnote w:type="continuationSeparator" w:id="0">
    <w:p w14:paraId="2F56F616" w14:textId="77777777" w:rsidR="004026DF" w:rsidRDefault="004026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altName w:val="Calibri"/>
    <w:panose1 w:val="00000000000000000000"/>
    <w:charset w:val="00"/>
    <w:family w:val="roman"/>
    <w:notTrueType/>
    <w:pitch w:val="default"/>
  </w:font>
  <w:font w:name="Aptos">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E30D4" w14:textId="2A03467E" w:rsidR="007F3D8E" w:rsidRDefault="00000000">
    <w:pPr>
      <w:jc w:val="right"/>
    </w:pPr>
    <w:r>
      <w:rPr>
        <w:color w:val="888888"/>
        <w:sz w:val="16"/>
        <w:szCs w:val="16"/>
      </w:rPr>
      <w:t xml:space="preserve">Página </w:t>
    </w:r>
    <w:r>
      <w:rPr>
        <w:color w:val="888888"/>
        <w:sz w:val="16"/>
        <w:szCs w:val="16"/>
      </w:rPr>
      <w:fldChar w:fldCharType="begin"/>
    </w:r>
    <w:r>
      <w:rPr>
        <w:color w:val="888888"/>
        <w:sz w:val="16"/>
        <w:szCs w:val="16"/>
      </w:rPr>
      <w:instrText>PAGE</w:instrText>
    </w:r>
    <w:r>
      <w:rPr>
        <w:color w:val="888888"/>
        <w:sz w:val="16"/>
        <w:szCs w:val="16"/>
      </w:rPr>
      <w:fldChar w:fldCharType="separate"/>
    </w:r>
    <w:r w:rsidR="00D40007">
      <w:rPr>
        <w:noProof/>
        <w:color w:val="888888"/>
        <w:sz w:val="16"/>
        <w:szCs w:val="16"/>
      </w:rPr>
      <w:t>1</w:t>
    </w:r>
    <w:r>
      <w:rPr>
        <w:color w:val="888888"/>
        <w:sz w:val="16"/>
        <w:szCs w:val="16"/>
      </w:rPr>
      <w:fldChar w:fldCharType="end"/>
    </w:r>
    <w:r>
      <w:rPr>
        <w:color w:val="888888"/>
        <w:sz w:val="16"/>
        <w:szCs w:val="16"/>
      </w:rPr>
      <w:t xml:space="preserve"> de </w:t>
    </w:r>
    <w:r>
      <w:rPr>
        <w:color w:val="888888"/>
        <w:sz w:val="16"/>
        <w:szCs w:val="16"/>
      </w:rPr>
      <w:fldChar w:fldCharType="begin"/>
    </w:r>
    <w:r>
      <w:rPr>
        <w:color w:val="888888"/>
        <w:sz w:val="16"/>
        <w:szCs w:val="16"/>
      </w:rPr>
      <w:instrText>NUMPAGES</w:instrText>
    </w:r>
    <w:r>
      <w:rPr>
        <w:color w:val="888888"/>
        <w:sz w:val="16"/>
        <w:szCs w:val="16"/>
      </w:rPr>
      <w:fldChar w:fldCharType="separate"/>
    </w:r>
    <w:r w:rsidR="00D40007">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6D301F" w14:textId="77777777" w:rsidR="004026DF" w:rsidRDefault="004026DF">
      <w:r>
        <w:separator/>
      </w:r>
    </w:p>
  </w:footnote>
  <w:footnote w:type="continuationSeparator" w:id="0">
    <w:p w14:paraId="058706B5" w14:textId="77777777" w:rsidR="004026DF" w:rsidRDefault="004026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E30D3" w14:textId="77777777" w:rsidR="007F3D8E" w:rsidRDefault="00000000">
    <w:pPr>
      <w:pBdr>
        <w:bottom w:val="single" w:sz="6" w:space="4" w:color="1F4E79"/>
      </w:pBdr>
    </w:pPr>
    <w:r>
      <w:rPr>
        <w:b/>
        <w:bCs/>
        <w:color w:val="1F4E79"/>
        <w:sz w:val="16"/>
        <w:szCs w:val="16"/>
      </w:rPr>
      <w:t>DOSSIÊ JORNALÍSTICO — BARRAGEM NORTE E O VALE DO ITAJAÍ</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7709E2"/>
    <w:multiLevelType w:val="hybridMultilevel"/>
    <w:tmpl w:val="BFC8EBEC"/>
    <w:lvl w:ilvl="0" w:tplc="5F3AD0C8">
      <w:start w:val="1"/>
      <w:numFmt w:val="bullet"/>
      <w:lvlText w:val="●"/>
      <w:lvlJc w:val="left"/>
      <w:pPr>
        <w:ind w:left="720" w:hanging="360"/>
      </w:pPr>
    </w:lvl>
    <w:lvl w:ilvl="1" w:tplc="FFA4DA70">
      <w:start w:val="1"/>
      <w:numFmt w:val="bullet"/>
      <w:lvlText w:val="○"/>
      <w:lvlJc w:val="left"/>
      <w:pPr>
        <w:ind w:left="1440" w:hanging="360"/>
      </w:pPr>
    </w:lvl>
    <w:lvl w:ilvl="2" w:tplc="741E1978">
      <w:start w:val="1"/>
      <w:numFmt w:val="bullet"/>
      <w:lvlText w:val="■"/>
      <w:lvlJc w:val="left"/>
      <w:pPr>
        <w:ind w:left="2160" w:hanging="360"/>
      </w:pPr>
    </w:lvl>
    <w:lvl w:ilvl="3" w:tplc="5C94F2F0">
      <w:start w:val="1"/>
      <w:numFmt w:val="bullet"/>
      <w:lvlText w:val="●"/>
      <w:lvlJc w:val="left"/>
      <w:pPr>
        <w:ind w:left="2880" w:hanging="360"/>
      </w:pPr>
    </w:lvl>
    <w:lvl w:ilvl="4" w:tplc="72464980">
      <w:start w:val="1"/>
      <w:numFmt w:val="bullet"/>
      <w:lvlText w:val="○"/>
      <w:lvlJc w:val="left"/>
      <w:pPr>
        <w:ind w:left="3600" w:hanging="360"/>
      </w:pPr>
    </w:lvl>
    <w:lvl w:ilvl="5" w:tplc="01382B9A">
      <w:start w:val="1"/>
      <w:numFmt w:val="bullet"/>
      <w:lvlText w:val="■"/>
      <w:lvlJc w:val="left"/>
      <w:pPr>
        <w:ind w:left="4320" w:hanging="360"/>
      </w:pPr>
    </w:lvl>
    <w:lvl w:ilvl="6" w:tplc="2C9CC0AA">
      <w:start w:val="1"/>
      <w:numFmt w:val="bullet"/>
      <w:lvlText w:val="●"/>
      <w:lvlJc w:val="left"/>
      <w:pPr>
        <w:ind w:left="5040" w:hanging="360"/>
      </w:pPr>
    </w:lvl>
    <w:lvl w:ilvl="7" w:tplc="C3B23020">
      <w:start w:val="1"/>
      <w:numFmt w:val="bullet"/>
      <w:lvlText w:val="●"/>
      <w:lvlJc w:val="left"/>
      <w:pPr>
        <w:ind w:left="5760" w:hanging="360"/>
      </w:pPr>
    </w:lvl>
    <w:lvl w:ilvl="8" w:tplc="BD0C08A0">
      <w:start w:val="1"/>
      <w:numFmt w:val="bullet"/>
      <w:lvlText w:val="●"/>
      <w:lvlJc w:val="left"/>
      <w:pPr>
        <w:ind w:left="6480" w:hanging="360"/>
      </w:pPr>
    </w:lvl>
  </w:abstractNum>
  <w:num w:numId="1" w16cid:durableId="19062127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3D8E"/>
    <w:rsid w:val="000A696C"/>
    <w:rsid w:val="004026DF"/>
    <w:rsid w:val="006E362E"/>
    <w:rsid w:val="007F3D8E"/>
    <w:rsid w:val="00A84204"/>
    <w:rsid w:val="00D4000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E3080"/>
  <w15:docId w15:val="{40EE5E37-C83B-437F-8C99-EA03965133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1803</Words>
  <Characters>9741</Characters>
  <Application>Microsoft Office Word</Application>
  <DocSecurity>0</DocSecurity>
  <Lines>81</Lines>
  <Paragraphs>23</Paragraphs>
  <ScaleCrop>false</ScaleCrop>
  <Company/>
  <LinksUpToDate>false</LinksUpToDate>
  <CharactersWithSpaces>11521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Claudio Camargo</cp:lastModifiedBy>
  <cp:revision>4</cp:revision>
  <dcterms:created xsi:type="dcterms:W3CDTF">2026-05-05T12:53:00Z</dcterms:created>
  <dcterms:modified xsi:type="dcterms:W3CDTF">2026-05-05T12:59:00Z</dcterms:modified>
</cp:coreProperties>
</file>