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48"/>
          <w:szCs w:val="48"/>
        </w:rPr>
        <w:t xml:space="preserve">Technical Specification Document</w:t>
      </w:r>
    </w:p>
    <w:p>
      <w:pPr>
        <w:spacing w:after="100"/>
        <w:jc w:val="center"/>
      </w:pPr>
      <w:r>
        <w:rPr>
          <w:rFonts w:ascii="Arial" w:cs="Arial" w:eastAsia="Arial" w:hAnsi="Arial"/>
          <w:color w:val="333333"/>
          <w:sz w:val="32"/>
          <w:szCs w:val="32"/>
        </w:rPr>
        <w:t xml:space="preserve">AIR Bulk Vaccination Records Upload System</w:t>
      </w:r>
    </w:p>
    <w:p>
      <w:pPr>
        <w:spacing w:after="100"/>
        <w:jc w:val="center"/>
      </w:pPr>
      <w:r>
        <w:rPr>
          <w:rFonts w:ascii="Arial" w:cs="Arial" w:eastAsia="Arial" w:hAnsi="Arial"/>
          <w:color w:val="555555"/>
          <w:sz w:val="24"/>
          <w:szCs w:val="24"/>
        </w:rPr>
        <w:t xml:space="preserve">Integration with Australian Immunisation Register (AIR)</w:t>
      </w:r>
    </w:p>
    <w:p>
      <w:pPr>
        <w:spacing w:after="100"/>
        <w:jc w:val="center"/>
      </w:pPr>
      <w:r>
        <w:rPr>
          <w:rFonts w:ascii="Arial" w:cs="Arial" w:eastAsia="Arial" w:hAnsi="Arial"/>
          <w:color w:val="555555"/>
          <w:sz w:val="24"/>
          <w:szCs w:val="24"/>
        </w:rPr>
        <w:t xml:space="preserve">Services Australia Web Services</w:t>
      </w:r>
    </w:p>
    <w:p>
      <w:pPr>
        <w:spacing w:before="600"/>
        <w:jc w:val="center"/>
      </w:pPr>
      <w:r>
        <w:rPr>
          <w:rFonts w:ascii="Arial" w:cs="Arial" w:eastAsia="Arial" w:hAnsi="Arial"/>
          <w:b/>
          <w:bCs/>
          <w:color w:val="2B5797"/>
          <w:sz w:val="28"/>
          <w:szCs w:val="28"/>
        </w:rPr>
        <w:t xml:space="preserve">Version 1.2</w:t>
      </w:r>
    </w:p>
    <w:p>
      <w:pPr>
        <w:spacing w:after="200"/>
        <w:jc w:val="center"/>
      </w:pPr>
      <w:r>
        <w:rPr>
          <w:rFonts w:ascii="Arial" w:cs="Arial" w:eastAsia="Arial" w:hAnsi="Arial"/>
          <w:color w:val="555555"/>
          <w:sz w:val="22"/>
          <w:szCs w:val="22"/>
        </w:rPr>
        <w:t xml:space="preserve">Date: 06/02/2026</w:t>
      </w:r>
    </w:p>
    <w:p>
      <w:pPr>
        <w:spacing w:before="400"/>
        <w:jc w:val="center"/>
      </w:pPr>
      <w:r>
        <w:rPr>
          <w:rFonts w:ascii="Arial" w:cs="Arial" w:eastAsia="Arial" w:hAnsi="Arial"/>
          <w:i/>
          <w:iCs/>
          <w:sz w:val="20"/>
          <w:szCs w:val="20"/>
        </w:rPr>
        <w:t xml:space="preserve">Based on AIR TECH.SIS Documentation:</w:t>
      </w:r>
    </w:p>
    <w:p>
      <w:pPr>
        <w:jc w:val="center"/>
      </w:pPr>
      <w:r>
        <w:rPr>
          <w:rFonts w:ascii="Arial" w:cs="Arial" w:eastAsia="Arial" w:hAnsi="Arial"/>
          <w:sz w:val="20"/>
          <w:szCs w:val="20"/>
        </w:rPr>
        <w:t xml:space="preserve">AIR Record Encounter V6.0.7 (TECH.SIS.AIR.02)</w:t>
      </w:r>
    </w:p>
    <w:p>
      <w:pPr>
        <w:jc w:val="center"/>
      </w:pPr>
      <w:r>
        <w:rPr>
          <w:rFonts w:ascii="Arial" w:cs="Arial" w:eastAsia="Arial" w:hAnsi="Arial"/>
          <w:sz w:val="20"/>
          <w:szCs w:val="20"/>
        </w:rPr>
        <w:t xml:space="preserve">AIR Common Rules V3.0.9 (TECH.SIS.AIR.01)</w:t>
      </w:r>
    </w:p>
    <w:p>
      <w:pPr>
        <w:jc w:val="center"/>
      </w:pPr>
      <w:r>
        <w:rPr>
          <w:rFonts w:ascii="Arial" w:cs="Arial" w:eastAsia="Arial" w:hAnsi="Arial"/>
          <w:sz w:val="20"/>
          <w:szCs w:val="20"/>
        </w:rPr>
        <w:t xml:space="preserve">AIR Reference Data V1.0.6 (TECH.SIS.AIR.07)</w:t>
      </w:r>
    </w:p>
    <w:p>
      <w:r>
        <w:br w:type="page"/>
      </w:r>
    </w:p>
    <w:p>
      <w:pPr>
        <w:pStyle w:val="Heading1"/>
        <w:spacing w:before="360" w:after="200"/>
      </w:pPr>
      <w:r>
        <w:rPr>
          <w:rFonts w:ascii="Arial" w:cs="Arial" w:eastAsia="Arial" w:hAnsi="Arial"/>
          <w:b/>
          <w:bCs/>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6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65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1.0</w:t>
            </w:r>
          </w:p>
        </w:tc>
        <w:tc>
          <w:tcPr>
            <w:tcW w:type="dxa" w:w="16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01/02/2026</w:t>
            </w:r>
          </w:p>
        </w:tc>
        <w:tc>
          <w:tcPr>
            <w:tcW w:type="dxa" w:w="65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Initial technical specification document covering sections 1-10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06/02/2026</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Added detailed data dictionary, validation rules, response codes, and testing requirements</w:t>
            </w:r>
          </w:p>
        </w:tc>
      </w:tr>
      <w:tr>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1.2</w:t>
            </w:r>
          </w:p>
        </w:tc>
        <w:tc>
          <w:tcPr>
            <w:tcW w:type="dxa" w:w="16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06/02/2026</w:t>
            </w:r>
          </w:p>
        </w:tc>
        <w:tc>
          <w:tcPr>
            <w:tcW w:type="dxa" w:w="65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Added Section 11: Infrastructure &amp; Data Storage covering Azure architecture, data residency, encryption, and compliance</w:t>
            </w:r>
          </w:p>
        </w:tc>
      </w:tr>
    </w:tbl>
    <w:p>
      <w:r>
        <w:br w:type="page"/>
      </w:r>
    </w:p>
    <w:p>
      <w:pPr>
        <w:pStyle w:val="Heading1"/>
        <w:spacing w:before="36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1. Executive Summary</w:t>
      </w:r>
    </w:p>
    <w:p>
      <w:pPr>
        <w:spacing w:after="120"/>
      </w:pPr>
      <w:r>
        <w:rPr>
          <w:rFonts w:ascii="Arial" w:cs="Arial" w:eastAsia="Arial" w:hAnsi="Arial"/>
          <w:sz w:val="20"/>
          <w:szCs w:val="20"/>
        </w:rPr>
        <w:t xml:space="preserve">This document provides the complete technical specification for developing a bulk vaccination records upload system that integrates with the Australian Immunisation Register (AIR) via Services Australia Web Services.</w:t>
      </w:r>
    </w:p>
    <w:p>
      <w:pPr>
        <w:spacing w:after="120"/>
      </w:pPr>
      <w:r>
        <w:rPr>
          <w:rFonts w:ascii="Arial" w:cs="Arial" w:eastAsia="Arial" w:hAnsi="Arial"/>
          <w:sz w:val="20"/>
          <w:szCs w:val="20"/>
        </w:rPr>
        <w:t xml:space="preserve">The system will allow authorized users to upload vaccination records via Excel spreadsheet, validate the data against AIR business rules, and submit records to AIR through the Record Encounter API.</w:t>
      </w:r>
    </w:p>
    <w:p>
      <w:pPr>
        <w:pStyle w:val="Heading2"/>
        <w:spacing w:before="280" w:after="160"/>
      </w:pPr>
      <w:r>
        <w:rPr>
          <w:rFonts w:ascii="Arial" w:cs="Arial" w:eastAsia="Arial" w:hAnsi="Arial"/>
          <w:b/>
          <w:bCs/>
          <w:sz w:val="26"/>
          <w:szCs w:val="26"/>
        </w:rPr>
        <w:t xml:space="preserve">1.1 Key Requirements</w:t>
      </w:r>
    </w:p>
    <w:p>
      <w:pPr>
        <w:pStyle w:val="ListParagraph"/>
        <w:numPr>
          <w:ilvl w:val="0"/>
          <w:numId w:val="2"/>
        </w:numPr>
        <w:spacing w:after="60"/>
      </w:pPr>
      <w:r>
        <w:rPr>
          <w:rFonts w:ascii="Arial" w:cs="Arial" w:eastAsia="Arial" w:hAnsi="Arial"/>
          <w:sz w:val="20"/>
          <w:szCs w:val="20"/>
        </w:rPr>
        <w:t xml:space="preserve">Secure user authentication with role-based access control</w:t>
      </w:r>
    </w:p>
    <w:p>
      <w:pPr>
        <w:pStyle w:val="ListParagraph"/>
        <w:numPr>
          <w:ilvl w:val="0"/>
          <w:numId w:val="2"/>
        </w:numPr>
        <w:spacing w:after="60"/>
      </w:pPr>
      <w:r>
        <w:rPr>
          <w:rFonts w:ascii="Arial" w:cs="Arial" w:eastAsia="Arial" w:hAnsi="Arial"/>
          <w:sz w:val="20"/>
          <w:szCs w:val="20"/>
        </w:rPr>
        <w:t xml:space="preserve">User-friendly web interface for Excel file upload</w:t>
      </w:r>
    </w:p>
    <w:p>
      <w:pPr>
        <w:pStyle w:val="ListParagraph"/>
        <w:numPr>
          <w:ilvl w:val="0"/>
          <w:numId w:val="2"/>
        </w:numPr>
        <w:spacing w:after="60"/>
      </w:pPr>
      <w:r>
        <w:rPr>
          <w:rFonts w:ascii="Arial" w:cs="Arial" w:eastAsia="Arial" w:hAnsi="Arial"/>
          <w:sz w:val="20"/>
          <w:szCs w:val="20"/>
        </w:rPr>
        <w:t xml:space="preserve">Pre-submission validation against all AIR business rules</w:t>
      </w:r>
    </w:p>
    <w:p>
      <w:pPr>
        <w:pStyle w:val="ListParagraph"/>
        <w:numPr>
          <w:ilvl w:val="0"/>
          <w:numId w:val="2"/>
        </w:numPr>
        <w:spacing w:after="60"/>
      </w:pPr>
      <w:r>
        <w:rPr>
          <w:rFonts w:ascii="Arial" w:cs="Arial" w:eastAsia="Arial" w:hAnsi="Arial"/>
          <w:sz w:val="20"/>
          <w:szCs w:val="20"/>
        </w:rPr>
        <w:t xml:space="preserve">PRODA B2B OAuth 2.0 JWT authentication for API calls</w:t>
      </w:r>
    </w:p>
    <w:p>
      <w:pPr>
        <w:pStyle w:val="ListParagraph"/>
        <w:numPr>
          <w:ilvl w:val="0"/>
          <w:numId w:val="2"/>
        </w:numPr>
        <w:spacing w:after="60"/>
      </w:pPr>
      <w:r>
        <w:rPr>
          <w:rFonts w:ascii="Arial" w:cs="Arial" w:eastAsia="Arial" w:hAnsi="Arial"/>
          <w:sz w:val="20"/>
          <w:szCs w:val="20"/>
        </w:rPr>
        <w:t xml:space="preserve">Support for both Vendor (test) and Production environments</w:t>
      </w:r>
    </w:p>
    <w:p>
      <w:pPr>
        <w:pStyle w:val="ListParagraph"/>
        <w:numPr>
          <w:ilvl w:val="0"/>
          <w:numId w:val="2"/>
        </w:numPr>
        <w:spacing w:after="60"/>
      </w:pPr>
      <w:r>
        <w:rPr>
          <w:rFonts w:ascii="Arial" w:cs="Arial" w:eastAsia="Arial" w:hAnsi="Arial"/>
          <w:sz w:val="20"/>
          <w:szCs w:val="20"/>
        </w:rPr>
        <w:t xml:space="preserve">Comprehensive error handling and reporting</w:t>
      </w:r>
    </w:p>
    <w:p>
      <w:pPr>
        <w:pStyle w:val="ListParagraph"/>
        <w:numPr>
          <w:ilvl w:val="0"/>
          <w:numId w:val="2"/>
        </w:numPr>
        <w:spacing w:after="60"/>
      </w:pPr>
      <w:r>
        <w:rPr>
          <w:rFonts w:ascii="Arial" w:cs="Arial" w:eastAsia="Arial" w:hAnsi="Arial"/>
          <w:sz w:val="20"/>
          <w:szCs w:val="20"/>
        </w:rPr>
        <w:t xml:space="preserve">Audit trail and submission history</w:t>
      </w:r>
    </w:p>
    <w:p>
      <w:pPr>
        <w:pStyle w:val="ListParagraph"/>
        <w:numPr>
          <w:ilvl w:val="0"/>
          <w:numId w:val="2"/>
        </w:numPr>
        <w:spacing w:after="60"/>
      </w:pPr>
      <w:r>
        <w:rPr>
          <w:rFonts w:ascii="Arial" w:cs="Arial" w:eastAsia="Arial" w:hAnsi="Arial"/>
          <w:sz w:val="20"/>
          <w:szCs w:val="20"/>
        </w:rPr>
        <w:t xml:space="preserve">User and organisation management</w:t>
      </w:r>
    </w:p>
    <w:p>
      <w:pPr>
        <w:pStyle w:val="ListParagraph"/>
        <w:numPr>
          <w:ilvl w:val="0"/>
          <w:numId w:val="2"/>
        </w:numPr>
        <w:spacing w:after="60"/>
      </w:pPr>
      <w:r>
        <w:rPr>
          <w:rFonts w:ascii="Arial" w:cs="Arial" w:eastAsia="Arial" w:hAnsi="Arial"/>
          <w:sz w:val="20"/>
          <w:szCs w:val="20"/>
        </w:rPr>
        <w:t xml:space="preserve">Azure-hosted infrastructure with Australian data residency</w:t>
      </w:r>
    </w:p>
    <w:p>
      <w:pPr>
        <w:pStyle w:val="ListParagraph"/>
        <w:numPr>
          <w:ilvl w:val="0"/>
          <w:numId w:val="2"/>
        </w:numPr>
        <w:spacing w:after="60"/>
      </w:pPr>
      <w:r>
        <w:rPr>
          <w:rFonts w:ascii="Arial" w:cs="Arial" w:eastAsia="Arial" w:hAnsi="Arial"/>
          <w:sz w:val="20"/>
          <w:szCs w:val="20"/>
        </w:rPr>
        <w:t xml:space="preserve">Compliance with Privacy Act 1988, Australian Privacy Principles, and My Health Records Act 2012</w:t>
      </w:r>
    </w:p>
    <w:p>
      <w:r>
        <w:br w:type="page"/>
      </w:r>
    </w:p>
    <w:p>
      <w:pPr>
        <w:pStyle w:val="Heading1"/>
        <w:spacing w:before="360" w:after="200"/>
      </w:pPr>
      <w:r>
        <w:rPr>
          <w:rFonts w:ascii="Arial" w:cs="Arial" w:eastAsia="Arial" w:hAnsi="Arial"/>
          <w:b/>
          <w:bCs/>
          <w:sz w:val="32"/>
          <w:szCs w:val="32"/>
        </w:rPr>
        <w:t xml:space="preserve">2. User Authentication &amp; Role Management</w:t>
      </w:r>
    </w:p>
    <w:p>
      <w:pPr>
        <w:pStyle w:val="Heading2"/>
        <w:spacing w:before="280" w:after="160"/>
      </w:pPr>
      <w:r>
        <w:rPr>
          <w:rFonts w:ascii="Arial" w:cs="Arial" w:eastAsia="Arial" w:hAnsi="Arial"/>
          <w:b/>
          <w:bCs/>
          <w:sz w:val="26"/>
          <w:szCs w:val="26"/>
        </w:rPr>
        <w:t xml:space="preserve">2.1 Authentication System Overview</w:t>
      </w:r>
    </w:p>
    <w:p>
      <w:pPr>
        <w:spacing w:after="120"/>
      </w:pPr>
      <w:r>
        <w:rPr>
          <w:rFonts w:ascii="Arial" w:cs="Arial" w:eastAsia="Arial" w:hAnsi="Arial"/>
          <w:sz w:val="20"/>
          <w:szCs w:val="20"/>
        </w:rPr>
        <w:t xml:space="preserve">The application implements a multi-layer security model with user authentication separate from PRODA API authentication. Users authenticate to the application, while the application authenticates to AIR via PRODA.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User Auth</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Users login to application via email/password or SSO (OAuth 2.0/SAML)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Session Mgmt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tokens with 8-hour expiry, secure HttpOnly cookies, refresh tokens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API Auth</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PRODA B2B OAuth 2.0 JWT for AIR API calls (managed by application)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MFA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TOTP-based multi-factor authentication for sensitive operations</w:t>
            </w:r>
          </w:p>
        </w:tc>
      </w:tr>
    </w:tbl>
    <w:p>
      <w:pPr>
        <w:pStyle w:val="Heading2"/>
        <w:spacing w:before="280" w:after="160"/>
      </w:pPr>
      <w:r>
        <w:rPr>
          <w:rFonts w:ascii="Arial" w:cs="Arial" w:eastAsia="Arial" w:hAnsi="Arial"/>
          <w:b/>
          <w:bCs/>
          <w:sz w:val="26"/>
          <w:szCs w:val="26"/>
        </w:rPr>
        <w:t xml:space="preserve">2.2 User Roles and Permissions</w:t>
      </w:r>
    </w:p>
    <w:p>
      <w:pPr>
        <w:spacing w:after="120"/>
      </w:pPr>
      <w:r>
        <w:rPr>
          <w:rFonts w:ascii="Arial" w:cs="Arial" w:eastAsia="Arial" w:hAnsi="Arial"/>
          <w:sz w:val="20"/>
          <w:szCs w:val="20"/>
        </w:rPr>
        <w:t xml:space="preserve">The system implements Role-Based Access Control (RBAC) with the following predefined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45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Permissions</w:t>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Super Admin</w:t>
            </w:r>
          </w:p>
        </w:tc>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System administrator with full access</w:t>
            </w:r>
          </w:p>
        </w:tc>
        <w:tc>
          <w:tcPr>
            <w:tcW w:type="dxa" w:w="45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All permissions, manage organisations, system config, audit logs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Org Admin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Organisation administrator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Manage org users, view org submissions, configure org settings</w:t>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Provider</w:t>
            </w:r>
          </w:p>
        </w:tc>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Healthcare provider / data entry</w:t>
            </w:r>
          </w:p>
        </w:tc>
        <w:tc>
          <w:tcPr>
            <w:tcW w:type="dxa" w:w="45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Upload files, submit records, view own submissions, edit drafts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Reviewer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Quality assurance / review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Review submissions, approve/reject, view reports (no submit)</w:t>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Read Only</w:t>
            </w:r>
          </w:p>
        </w:tc>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Reporting and audit access</w:t>
            </w:r>
          </w:p>
        </w:tc>
        <w:tc>
          <w:tcPr>
            <w:tcW w:type="dxa" w:w="45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View submissions and reports only (no data entry or submit)</w:t>
            </w:r>
          </w:p>
        </w:tc>
      </w:tr>
    </w:tbl>
    <w:p>
      <w:pPr>
        <w:pStyle w:val="Heading2"/>
        <w:spacing w:before="280" w:after="160"/>
      </w:pPr>
      <w:r>
        <w:rPr>
          <w:rFonts w:ascii="Arial" w:cs="Arial" w:eastAsia="Arial" w:hAnsi="Arial"/>
          <w:b/>
          <w:bCs/>
          <w:sz w:val="26"/>
          <w:szCs w:val="26"/>
        </w:rPr>
        <w:t xml:space="preserve">2.3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260"/>
      </w:tblGrid>
      <w:tr>
        <w:tc>
          <w:tcPr>
            <w:tcW w:type="dxa" w:w="26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Super Admin</w:t>
            </w:r>
          </w:p>
        </w:tc>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Org Admin</w:t>
            </w:r>
          </w:p>
        </w:tc>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Provider</w:t>
            </w:r>
          </w:p>
        </w:tc>
        <w:tc>
          <w:tcPr>
            <w:tcW w:type="dxa" w:w="22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Reviewer</w:t>
            </w:r>
          </w:p>
        </w:tc>
      </w:tr>
      <w:tr>
        <w:tc>
          <w:tcPr>
            <w:tcW w:type="dxa" w:w="26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Upload Excel files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22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Submit to AIR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6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View own submissions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22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View all org submissions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Review/approve submissions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2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Manage org users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6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Manage organisations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2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Configure PRODA creds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6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View audit logs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2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System configuration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bl>
    <w:p>
      <w:pPr>
        <w:pStyle w:val="Heading2"/>
        <w:spacing w:before="280" w:after="160"/>
      </w:pPr>
      <w:r>
        <w:rPr>
          <w:rFonts w:ascii="Arial" w:cs="Arial" w:eastAsia="Arial" w:hAnsi="Arial"/>
          <w:b/>
          <w:bCs/>
          <w:sz w:val="26"/>
          <w:szCs w:val="26"/>
        </w:rPr>
        <w:t xml:space="preserve">2.4 User Management Features</w:t>
      </w:r>
    </w:p>
    <w:p>
      <w:pPr>
        <w:pStyle w:val="Heading3"/>
        <w:spacing w:before="240" w:after="120"/>
      </w:pPr>
      <w:r>
        <w:rPr>
          <w:rFonts w:ascii="Arial" w:cs="Arial" w:eastAsia="Arial" w:hAnsi="Arial"/>
          <w:b/>
          <w:bCs/>
          <w:sz w:val="22"/>
          <w:szCs w:val="22"/>
        </w:rPr>
        <w:t xml:space="preserve">User Registration &amp; Onboarding</w:t>
      </w:r>
    </w:p>
    <w:p>
      <w:pPr>
        <w:pStyle w:val="ListParagraph"/>
        <w:numPr>
          <w:ilvl w:val="0"/>
          <w:numId w:val="2"/>
        </w:numPr>
        <w:spacing w:after="60"/>
      </w:pPr>
      <w:r>
        <w:rPr>
          <w:rFonts w:ascii="Arial" w:cs="Arial" w:eastAsia="Arial" w:hAnsi="Arial"/>
          <w:sz w:val="20"/>
          <w:szCs w:val="20"/>
        </w:rPr>
        <w:t xml:space="preserve">Admin-initiated invitation via email</w:t>
      </w:r>
    </w:p>
    <w:p>
      <w:pPr>
        <w:pStyle w:val="ListParagraph"/>
        <w:numPr>
          <w:ilvl w:val="0"/>
          <w:numId w:val="2"/>
        </w:numPr>
        <w:spacing w:after="60"/>
      </w:pPr>
      <w:r>
        <w:rPr>
          <w:rFonts w:ascii="Arial" w:cs="Arial" w:eastAsia="Arial" w:hAnsi="Arial"/>
          <w:sz w:val="20"/>
          <w:szCs w:val="20"/>
        </w:rPr>
        <w:t xml:space="preserve">Email verification required before first login</w:t>
      </w:r>
    </w:p>
    <w:p>
      <w:pPr>
        <w:pStyle w:val="ListParagraph"/>
        <w:numPr>
          <w:ilvl w:val="0"/>
          <w:numId w:val="2"/>
        </w:numPr>
        <w:spacing w:after="60"/>
      </w:pPr>
      <w:r>
        <w:rPr>
          <w:rFonts w:ascii="Arial" w:cs="Arial" w:eastAsia="Arial" w:hAnsi="Arial"/>
          <w:sz w:val="20"/>
          <w:szCs w:val="20"/>
        </w:rPr>
        <w:t xml:space="preserve">Password requirements: min 12 chars, uppercase, lowercase, number, special char</w:t>
      </w:r>
    </w:p>
    <w:p>
      <w:pPr>
        <w:pStyle w:val="ListParagraph"/>
        <w:numPr>
          <w:ilvl w:val="0"/>
          <w:numId w:val="2"/>
        </w:numPr>
        <w:spacing w:after="60"/>
      </w:pPr>
      <w:r>
        <w:rPr>
          <w:rFonts w:ascii="Arial" w:cs="Arial" w:eastAsia="Arial" w:hAnsi="Arial"/>
          <w:sz w:val="20"/>
          <w:szCs w:val="20"/>
        </w:rPr>
        <w:t xml:space="preserve">Mandatory password change on first login</w:t>
      </w:r>
    </w:p>
    <w:p>
      <w:pPr>
        <w:pStyle w:val="ListParagraph"/>
        <w:numPr>
          <w:ilvl w:val="0"/>
          <w:numId w:val="2"/>
        </w:numPr>
        <w:spacing w:after="60"/>
      </w:pPr>
      <w:r>
        <w:rPr>
          <w:rFonts w:ascii="Arial" w:cs="Arial" w:eastAsia="Arial" w:hAnsi="Arial"/>
          <w:sz w:val="20"/>
          <w:szCs w:val="20"/>
        </w:rPr>
        <w:t xml:space="preserve">Optional MFA setup during onboarding</w:t>
      </w:r>
    </w:p>
    <w:p>
      <w:pPr>
        <w:pStyle w:val="Heading3"/>
        <w:spacing w:before="240" w:after="120"/>
      </w:pPr>
      <w:r>
        <w:rPr>
          <w:rFonts w:ascii="Arial" w:cs="Arial" w:eastAsia="Arial" w:hAnsi="Arial"/>
          <w:b/>
          <w:bCs/>
          <w:sz w:val="22"/>
          <w:szCs w:val="22"/>
        </w:rPr>
        <w:t xml:space="preserve">Session Management</w:t>
      </w:r>
    </w:p>
    <w:p>
      <w:pPr>
        <w:pStyle w:val="ListParagraph"/>
        <w:numPr>
          <w:ilvl w:val="0"/>
          <w:numId w:val="2"/>
        </w:numPr>
        <w:spacing w:after="60"/>
      </w:pPr>
      <w:r>
        <w:rPr>
          <w:rFonts w:ascii="Arial" w:cs="Arial" w:eastAsia="Arial" w:hAnsi="Arial"/>
          <w:sz w:val="20"/>
          <w:szCs w:val="20"/>
        </w:rPr>
        <w:t xml:space="preserve">Session timeout: 30 minutes inactivity</w:t>
      </w:r>
    </w:p>
    <w:p>
      <w:pPr>
        <w:pStyle w:val="ListParagraph"/>
        <w:numPr>
          <w:ilvl w:val="0"/>
          <w:numId w:val="2"/>
        </w:numPr>
        <w:spacing w:after="60"/>
      </w:pPr>
      <w:r>
        <w:rPr>
          <w:rFonts w:ascii="Arial" w:cs="Arial" w:eastAsia="Arial" w:hAnsi="Arial"/>
          <w:sz w:val="20"/>
          <w:szCs w:val="20"/>
        </w:rPr>
        <w:t xml:space="preserve">Maximum session duration: 8 hours</w:t>
      </w:r>
    </w:p>
    <w:p>
      <w:pPr>
        <w:pStyle w:val="ListParagraph"/>
        <w:numPr>
          <w:ilvl w:val="0"/>
          <w:numId w:val="2"/>
        </w:numPr>
        <w:spacing w:after="60"/>
      </w:pPr>
      <w:r>
        <w:rPr>
          <w:rFonts w:ascii="Arial" w:cs="Arial" w:eastAsia="Arial" w:hAnsi="Arial"/>
          <w:sz w:val="20"/>
          <w:szCs w:val="20"/>
        </w:rPr>
        <w:t xml:space="preserve">Concurrent session limit: configurable per organisation</w:t>
      </w:r>
    </w:p>
    <w:p>
      <w:pPr>
        <w:pStyle w:val="ListParagraph"/>
        <w:numPr>
          <w:ilvl w:val="0"/>
          <w:numId w:val="2"/>
        </w:numPr>
        <w:spacing w:after="60"/>
      </w:pPr>
      <w:r>
        <w:rPr>
          <w:rFonts w:ascii="Arial" w:cs="Arial" w:eastAsia="Arial" w:hAnsi="Arial"/>
          <w:sz w:val="20"/>
          <w:szCs w:val="20"/>
        </w:rPr>
        <w:t xml:space="preserve">Session termination on password change</w:t>
      </w:r>
    </w:p>
    <w:p>
      <w:pPr>
        <w:pStyle w:val="ListParagraph"/>
        <w:numPr>
          <w:ilvl w:val="0"/>
          <w:numId w:val="2"/>
        </w:numPr>
        <w:spacing w:after="60"/>
      </w:pPr>
      <w:r>
        <w:rPr>
          <w:rFonts w:ascii="Arial" w:cs="Arial" w:eastAsia="Arial" w:hAnsi="Arial"/>
          <w:sz w:val="20"/>
          <w:szCs w:val="20"/>
        </w:rPr>
        <w:t xml:space="preserve">Force logout capability for admins</w:t>
      </w:r>
    </w:p>
    <w:p>
      <w:pPr>
        <w:pStyle w:val="Heading3"/>
        <w:spacing w:before="240" w:after="120"/>
      </w:pPr>
      <w:r>
        <w:rPr>
          <w:rFonts w:ascii="Arial" w:cs="Arial" w:eastAsia="Arial" w:hAnsi="Arial"/>
          <w:b/>
          <w:bCs/>
          <w:sz w:val="22"/>
          <w:szCs w:val="22"/>
        </w:rPr>
        <w:t xml:space="preserve">Account Security</w:t>
      </w:r>
    </w:p>
    <w:p>
      <w:pPr>
        <w:pStyle w:val="ListParagraph"/>
        <w:numPr>
          <w:ilvl w:val="0"/>
          <w:numId w:val="2"/>
        </w:numPr>
        <w:spacing w:after="60"/>
      </w:pPr>
      <w:r>
        <w:rPr>
          <w:rFonts w:ascii="Arial" w:cs="Arial" w:eastAsia="Arial" w:hAnsi="Arial"/>
          <w:sz w:val="20"/>
          <w:szCs w:val="20"/>
        </w:rPr>
        <w:t xml:space="preserve">Account lockout after 5 failed login attempts (30-minute lockout)</w:t>
      </w:r>
    </w:p>
    <w:p>
      <w:pPr>
        <w:pStyle w:val="ListParagraph"/>
        <w:numPr>
          <w:ilvl w:val="0"/>
          <w:numId w:val="2"/>
        </w:numPr>
        <w:spacing w:after="60"/>
      </w:pPr>
      <w:r>
        <w:rPr>
          <w:rFonts w:ascii="Arial" w:cs="Arial" w:eastAsia="Arial" w:hAnsi="Arial"/>
          <w:sz w:val="20"/>
          <w:szCs w:val="20"/>
        </w:rPr>
        <w:t xml:space="preserve">Password history: prevent reuse of last 12 passwords</w:t>
      </w:r>
    </w:p>
    <w:p>
      <w:pPr>
        <w:pStyle w:val="ListParagraph"/>
        <w:numPr>
          <w:ilvl w:val="0"/>
          <w:numId w:val="2"/>
        </w:numPr>
        <w:spacing w:after="60"/>
      </w:pPr>
      <w:r>
        <w:rPr>
          <w:rFonts w:ascii="Arial" w:cs="Arial" w:eastAsia="Arial" w:hAnsi="Arial"/>
          <w:sz w:val="20"/>
          <w:szCs w:val="20"/>
        </w:rPr>
        <w:t xml:space="preserve">Password expiry: configurable (default 90 days)</w:t>
      </w:r>
    </w:p>
    <w:p>
      <w:pPr>
        <w:pStyle w:val="ListParagraph"/>
        <w:numPr>
          <w:ilvl w:val="0"/>
          <w:numId w:val="2"/>
        </w:numPr>
        <w:spacing w:after="60"/>
      </w:pPr>
      <w:r>
        <w:rPr>
          <w:rFonts w:ascii="Arial" w:cs="Arial" w:eastAsia="Arial" w:hAnsi="Arial"/>
          <w:sz w:val="20"/>
          <w:szCs w:val="20"/>
        </w:rPr>
        <w:t xml:space="preserve">Self-service password reset via email verification</w:t>
      </w:r>
    </w:p>
    <w:p>
      <w:pPr>
        <w:pStyle w:val="ListParagraph"/>
        <w:numPr>
          <w:ilvl w:val="0"/>
          <w:numId w:val="2"/>
        </w:numPr>
        <w:spacing w:after="60"/>
      </w:pPr>
      <w:r>
        <w:rPr>
          <w:rFonts w:ascii="Arial" w:cs="Arial" w:eastAsia="Arial" w:hAnsi="Arial"/>
          <w:sz w:val="20"/>
          <w:szCs w:val="20"/>
        </w:rPr>
        <w:t xml:space="preserve">Admin-initiated password reset</w:t>
      </w:r>
    </w:p>
    <w:p>
      <w:pPr>
        <w:pStyle w:val="ListParagraph"/>
        <w:numPr>
          <w:ilvl w:val="0"/>
          <w:numId w:val="2"/>
        </w:numPr>
        <w:spacing w:after="60"/>
      </w:pPr>
      <w:r>
        <w:rPr>
          <w:rFonts w:ascii="Arial" w:cs="Arial" w:eastAsia="Arial" w:hAnsi="Arial"/>
          <w:sz w:val="20"/>
          <w:szCs w:val="20"/>
        </w:rPr>
        <w:t xml:space="preserve">Account deactivation (soft delete with audit trail)</w:t>
      </w:r>
    </w:p>
    <w:p>
      <w:pPr>
        <w:pStyle w:val="Heading3"/>
        <w:spacing w:before="240" w:after="120"/>
      </w:pPr>
      <w:r>
        <w:rPr>
          <w:rFonts w:ascii="Arial" w:cs="Arial" w:eastAsia="Arial" w:hAnsi="Arial"/>
          <w:b/>
          <w:bCs/>
          <w:sz w:val="22"/>
          <w:szCs w:val="22"/>
        </w:rPr>
        <w:t xml:space="preserve">Organisation Management</w:t>
      </w:r>
    </w:p>
    <w:p>
      <w:pPr>
        <w:pStyle w:val="ListParagraph"/>
        <w:numPr>
          <w:ilvl w:val="0"/>
          <w:numId w:val="2"/>
        </w:numPr>
        <w:spacing w:after="60"/>
      </w:pPr>
      <w:r>
        <w:rPr>
          <w:rFonts w:ascii="Arial" w:cs="Arial" w:eastAsia="Arial" w:hAnsi="Arial"/>
          <w:sz w:val="20"/>
          <w:szCs w:val="20"/>
        </w:rPr>
        <w:t xml:space="preserve">Multi-tenant architecture: users belong to organisations</w:t>
      </w:r>
    </w:p>
    <w:p>
      <w:pPr>
        <w:pStyle w:val="ListParagraph"/>
        <w:numPr>
          <w:ilvl w:val="0"/>
          <w:numId w:val="2"/>
        </w:numPr>
        <w:spacing w:after="60"/>
      </w:pPr>
      <w:r>
        <w:rPr>
          <w:rFonts w:ascii="Arial" w:cs="Arial" w:eastAsia="Arial" w:hAnsi="Arial"/>
          <w:sz w:val="20"/>
          <w:szCs w:val="20"/>
        </w:rPr>
        <w:t xml:space="preserve">Organisation-level PRODA credential storage (encrypted)</w:t>
      </w:r>
    </w:p>
    <w:p>
      <w:pPr>
        <w:pStyle w:val="ListParagraph"/>
        <w:numPr>
          <w:ilvl w:val="0"/>
          <w:numId w:val="2"/>
        </w:numPr>
        <w:spacing w:after="60"/>
      </w:pPr>
      <w:r>
        <w:rPr>
          <w:rFonts w:ascii="Arial" w:cs="Arial" w:eastAsia="Arial" w:hAnsi="Arial"/>
          <w:sz w:val="20"/>
          <w:szCs w:val="20"/>
        </w:rPr>
        <w:t xml:space="preserve">Organisation-level settings and preferences</w:t>
      </w:r>
    </w:p>
    <w:p>
      <w:pPr>
        <w:pStyle w:val="ListParagraph"/>
        <w:numPr>
          <w:ilvl w:val="0"/>
          <w:numId w:val="2"/>
        </w:numPr>
        <w:spacing w:after="60"/>
      </w:pPr>
      <w:r>
        <w:rPr>
          <w:rFonts w:ascii="Arial" w:cs="Arial" w:eastAsia="Arial" w:hAnsi="Arial"/>
          <w:sz w:val="20"/>
          <w:szCs w:val="20"/>
        </w:rPr>
        <w:t xml:space="preserve">Data isolation between organisations</w:t>
      </w:r>
    </w:p>
    <w:p>
      <w:pPr>
        <w:pStyle w:val="ListParagraph"/>
        <w:numPr>
          <w:ilvl w:val="0"/>
          <w:numId w:val="2"/>
        </w:numPr>
        <w:spacing w:after="60"/>
      </w:pPr>
      <w:r>
        <w:rPr>
          <w:rFonts w:ascii="Arial" w:cs="Arial" w:eastAsia="Arial" w:hAnsi="Arial"/>
          <w:sz w:val="20"/>
          <w:szCs w:val="20"/>
        </w:rPr>
        <w:t xml:space="preserve">Organisation suspension capability</w:t>
      </w:r>
    </w:p>
    <w:p>
      <w:pPr>
        <w:pStyle w:val="Heading2"/>
        <w:spacing w:before="280" w:after="160"/>
      </w:pPr>
      <w:r>
        <w:rPr>
          <w:rFonts w:ascii="Arial" w:cs="Arial" w:eastAsia="Arial" w:hAnsi="Arial"/>
          <w:b/>
          <w:bCs/>
          <w:sz w:val="26"/>
          <w:szCs w:val="26"/>
        </w:rPr>
        <w:t xml:space="preserve">2.5 User Database Schema</w:t>
      </w:r>
    </w:p>
    <w:p>
      <w:pPr>
        <w:spacing w:after="120"/>
      </w:pPr>
      <w:r>
        <w:rPr>
          <w:rFonts w:ascii="Courier New" w:cs="Courier New" w:eastAsia="Courier New" w:hAnsi="Courier New"/>
          <w:sz w:val="18"/>
          <w:szCs w:val="18"/>
        </w:rPr>
        <w:t xml:space="preserve">-- Core User Tables</w:t>
      </w:r>
    </w:p>
    <w:p>
      <w:pPr>
        <w:spacing w:after="120"/>
      </w:pPr>
      <w:r>
        <w:rPr>
          <w:rFonts w:ascii="Courier New" w:cs="Courier New" w:eastAsia="Courier New" w:hAnsi="Courier New"/>
          <w:sz w:val="18"/>
          <w:szCs w:val="18"/>
        </w:rPr>
        <w:t xml:space="preserve">CREATE TABLE organisations (id UUID PRIMARY KEY, name VARCHAR(100) NOT NULL, abn VARCHAR(11), proda_org_id VARCHAR(50), minor_id VARCHAR(20), status ENUM('active','suspended','inactive'), created_at TIMESTAMP, updated_at TIMESTAMP);</w:t>
      </w:r>
    </w:p>
    <w:p>
      <w:pPr>
        <w:spacing w:after="120"/>
      </w:pPr>
      <w:r>
        <w:rPr>
          <w:rFonts w:ascii="Courier New" w:cs="Courier New" w:eastAsia="Courier New" w:hAnsi="Courier New"/>
          <w:sz w:val="18"/>
          <w:szCs w:val="18"/>
        </w:rPr>
        <w:t xml:space="preserve">CREATE TABLE users (id UUID PRIMARY KEY, organisation_id UUID REFERENCES organisations(id), email VARCHAR(255) UNIQUE NOT NULL, password_hash VARCHAR(255) NOT NULL, first_name VARCHAR(50), last_name VARCHAR(50), role ENUM('super_admin','org_admin','provider','reviewer','read_only'), status ENUM('pending','active','locked','inactive'), mfa_enabled BOOLEAN DEFAULT FALSE, mfa_secret VARCHAR(32), last_login TIMESTAMP, password_changed_at TIMESTAMP, failed_login_attempts INT DEFAULT 0, locked_until TIMESTAMP, created_at TIMESTAMP, updated_at TIMESTAMP);</w:t>
      </w:r>
    </w:p>
    <w:p>
      <w:pPr>
        <w:spacing w:after="120"/>
      </w:pPr>
      <w:r>
        <w:rPr>
          <w:rFonts w:ascii="Courier New" w:cs="Courier New" w:eastAsia="Courier New" w:hAnsi="Courier New"/>
          <w:sz w:val="18"/>
          <w:szCs w:val="18"/>
        </w:rPr>
        <w:t xml:space="preserve">CREATE TABLE user_sessions (id UUID PRIMARY KEY, user_id UUID REFERENCES users(id), token_hash VARCHAR(255), ip_address INET, user_agent TEXT, expires_at TIMESTAMP, created_at TIMESTAMP);</w:t>
      </w:r>
    </w:p>
    <w:p>
      <w:pPr>
        <w:spacing w:after="120"/>
      </w:pPr>
      <w:r>
        <w:rPr>
          <w:rFonts w:ascii="Courier New" w:cs="Courier New" w:eastAsia="Courier New" w:hAnsi="Courier New"/>
          <w:sz w:val="18"/>
          <w:szCs w:val="18"/>
        </w:rPr>
        <w:t xml:space="preserve">CREATE TABLE audit_log (id UUID PRIMARY KEY, user_id UUID REFERENCES users(id), action VARCHAR(50), resource_type VARCHAR(50), resource_id UUID, details JSONB, ip_address INET, created_at TIMESTAMP);</w:t>
      </w:r>
    </w:p>
    <w:p>
      <w:r>
        <w:br w:type="page"/>
      </w:r>
    </w:p>
    <w:p>
      <w:pPr>
        <w:pStyle w:val="Heading1"/>
        <w:spacing w:before="360" w:after="200"/>
      </w:pPr>
      <w:r>
        <w:rPr>
          <w:rFonts w:ascii="Arial" w:cs="Arial" w:eastAsia="Arial" w:hAnsi="Arial"/>
          <w:b/>
          <w:bCs/>
          <w:sz w:val="32"/>
          <w:szCs w:val="32"/>
        </w:rPr>
        <w:t xml:space="preserve">3. AIR API Integration Overview</w:t>
      </w:r>
    </w:p>
    <w:p>
      <w:pPr>
        <w:pStyle w:val="Heading2"/>
        <w:spacing w:before="280" w:after="160"/>
      </w:pPr>
      <w:r>
        <w:rPr>
          <w:rFonts w:ascii="Arial" w:cs="Arial" w:eastAsia="Arial" w:hAnsi="Arial"/>
          <w:b/>
          <w:bCs/>
          <w:sz w:val="26"/>
          <w:szCs w:val="26"/>
        </w:rPr>
        <w:t xml:space="preserve">3.1 API Endpoints</w:t>
      </w:r>
    </w:p>
    <w:p>
      <w:pPr>
        <w:spacing w:after="120"/>
      </w:pPr>
      <w:r>
        <w:rPr>
          <w:rFonts w:ascii="Arial" w:cs="Arial" w:eastAsia="Arial" w:hAnsi="Arial"/>
          <w:sz w:val="20"/>
          <w:szCs w:val="20"/>
        </w:rPr>
        <w:t xml:space="preserve">The AIR Web Services use REST/JSON architecture. Current API version: Record Encounter v1.4.0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Environment</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Base URL</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Vendor (Test)</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Provided via Health Systems Developer Portal after registration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Production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Provided after NOI certification approval</w:t>
            </w:r>
          </w:p>
        </w:tc>
      </w:tr>
    </w:tbl>
    <w:p>
      <w:pPr>
        <w:pStyle w:val="Heading2"/>
        <w:spacing w:before="280" w:after="160"/>
      </w:pPr>
      <w:r>
        <w:rPr>
          <w:rFonts w:ascii="Arial" w:cs="Arial" w:eastAsia="Arial" w:hAnsi="Arial"/>
          <w:b/>
          <w:bCs/>
          <w:sz w:val="26"/>
          <w:szCs w:val="26"/>
        </w:rPr>
        <w:t xml:space="preserve">3.2 PRODA B2B Authentication</w:t>
      </w:r>
    </w:p>
    <w:p>
      <w:pPr>
        <w:spacing w:after="120"/>
      </w:pPr>
      <w:r>
        <w:rPr>
          <w:rFonts w:ascii="Arial" w:cs="Arial" w:eastAsia="Arial" w:hAnsi="Arial"/>
          <w:sz w:val="20"/>
          <w:szCs w:val="20"/>
        </w:rPr>
        <w:t xml:space="preserve">All API calls require OAuth 2.0 JWT Bearer token authentication via PRODA (Provider Digital Access). This is separate from user authentication and is managed by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certLocation</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Path to Java KeyStore (JKS) containing device certificates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deviceName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Software instance (device) name registered with PRODA</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prodaOrgId</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PRODA Organisation identifier (RA number)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minorId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Minor ID linked in PRODA (e.g., MMS00000)</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audience</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https://medicareaustralia.gov.au/MCOL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Token Expiry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3600 seconds (60 minutes) - application auto-refreshes before expiry</w:t>
            </w:r>
          </w:p>
        </w:tc>
      </w:tr>
    </w:tbl>
    <w:p>
      <w:r>
        <w:br w:type="page"/>
      </w:r>
    </w:p>
    <w:p>
      <w:pPr>
        <w:pStyle w:val="Heading1"/>
        <w:spacing w:before="360" w:after="200"/>
      </w:pPr>
      <w:r>
        <w:rPr>
          <w:rFonts w:ascii="Arial" w:cs="Arial" w:eastAsia="Arial" w:hAnsi="Arial"/>
          <w:b/>
          <w:bCs/>
          <w:sz w:val="32"/>
          <w:szCs w:val="32"/>
        </w:rPr>
        <w:t xml:space="preserve">4. Required HTTP Headers</w:t>
      </w:r>
    </w:p>
    <w:p>
      <w:pPr>
        <w:spacing w:after="120"/>
      </w:pPr>
      <w:r>
        <w:rPr>
          <w:rFonts w:ascii="Arial" w:cs="Arial" w:eastAsia="Arial" w:hAnsi="Arial"/>
          <w:sz w:val="20"/>
          <w:szCs w:val="20"/>
        </w:rPr>
        <w:t xml:space="preserve">All API requests must include the following HTTP headers as specified in AIR Common Rules V3.0.9: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Header Name</w:t>
            </w:r>
          </w:p>
        </w:tc>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57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Authorization</w:t>
            </w:r>
          </w:p>
        </w:tc>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57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Bearer {JWT_TOKEN}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X-IBM-Client-Id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Client ID from Developer Portal (32 chars)</w:t>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Content-Type</w:t>
            </w:r>
          </w:p>
        </w:tc>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57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application/json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application/json</w:t>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dhs-messageId</w:t>
            </w:r>
          </w:p>
        </w:tc>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57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urn:uuid:{unique-message-id}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dhs-correlationId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urn:uuid:{session-correlation-id}</w:t>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dhs-auditId</w:t>
            </w:r>
          </w:p>
        </w:tc>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57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Minor ID (e.g., MAT00099)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dhs-auditIdType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Minor Id</w:t>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dhs-subjectId</w:t>
            </w:r>
          </w:p>
        </w:tc>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57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Date of Birth (format: ddMMyyyy, e.g., 18102005)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dhs-subjectIdType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 of Birth</w:t>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dhs-productId</w:t>
            </w:r>
          </w:p>
        </w:tc>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57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Software name and version (e.g., MyApp 1.0)</w:t>
            </w:r>
          </w:p>
        </w:tc>
      </w:tr>
    </w:tbl>
    <w:p>
      <w:r>
        <w:br w:type="page"/>
      </w:r>
    </w:p>
    <w:p>
      <w:pPr>
        <w:pStyle w:val="Heading1"/>
        <w:spacing w:before="360" w:after="200"/>
      </w:pPr>
      <w:r>
        <w:rPr>
          <w:rFonts w:ascii="Arial" w:cs="Arial" w:eastAsia="Arial" w:hAnsi="Arial"/>
          <w:b/>
          <w:bCs/>
          <w:sz w:val="32"/>
          <w:szCs w:val="32"/>
        </w:rPr>
        <w:t xml:space="preserve">5. Data Dictionary - Record Encounter Request</w:t>
      </w:r>
    </w:p>
    <w:p>
      <w:pPr>
        <w:spacing w:after="120"/>
      </w:pPr>
      <w:r>
        <w:rPr>
          <w:rFonts w:ascii="Arial" w:cs="Arial" w:eastAsia="Arial" w:hAnsi="Arial"/>
          <w:sz w:val="20"/>
          <w:szCs w:val="20"/>
        </w:rPr>
        <w:t xml:space="preserve">Based on AIR Record Encounter V6.0.7 (TECH.SIS.AIR.02). The request structure is: AddEncounterRequestType containing individual and encounters arrays.</w:t>
      </w:r>
    </w:p>
    <w:p>
      <w:pPr>
        <w:pStyle w:val="Heading2"/>
        <w:spacing w:before="280" w:after="160"/>
      </w:pPr>
      <w:r>
        <w:rPr>
          <w:rFonts w:ascii="Arial" w:cs="Arial" w:eastAsia="Arial" w:hAnsi="Arial"/>
          <w:b/>
          <w:bCs/>
          <w:sz w:val="26"/>
          <w:szCs w:val="26"/>
        </w:rPr>
        <w:t xml:space="preserve">5.1 Individual Identification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Type/Size</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9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Validation Rules (per TECH.SIS.AIR.02)</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firstName</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String(40)</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Cond*</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Alpha, numeric, apostrophe, space, hyphen only. No spaces before/after apostrophes/hyphens.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lastName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Alpha, numeric, apostrophe, space, hyphen only. No spaces before/after apostrophes/hyphens.</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dateOfBirth</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Format: yyyy-MM-dd. Not future. Not &gt;130 years ago.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gender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Char(1)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M=Male, F=Female, I=Intersex/Indeterminate, U=Unknown</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medicareCardNumber</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String(10)</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Cond*</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10 digits. Check digit validated per Appendix A algorithm.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medicareIRN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Char(1)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 Required if medicareCardNumber provided. Cannot be 0.</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ihiNumber</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String(16)</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16 numeric characters only. No check digit validation by AIR.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addressLineOne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Street address</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postCode</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String(4)</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4 digit Australian postcode. Must be valid.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locality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Suburb/town name</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atsiIndicator</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Char(1)</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1=Aboriginal, 2=TSI, 3=Both, 9=Not stated/Unknown</w:t>
            </w:r>
          </w:p>
        </w:tc>
      </w:tr>
    </w:tbl>
    <w:p>
      <w:pPr>
        <w:spacing w:after="120"/>
      </w:pPr>
      <w:r>
        <w:rPr>
          <w:rFonts w:ascii="Arial" w:cs="Arial" w:eastAsia="Arial" w:hAnsi="Arial"/>
          <w:i/>
          <w:iCs/>
          <w:sz w:val="20"/>
          <w:szCs w:val="20"/>
        </w:rPr>
        <w:t xml:space="preserve">*Conditional: See Section 5.3 Minimum Identification Requirements</w:t>
      </w:r>
    </w:p>
    <w:p>
      <w:pPr>
        <w:spacing w:after="120"/>
      </w:pPr>
      <w:r>
        <w:rPr>
          <w:rFonts w:ascii="Arial" w:cs="Arial" w:eastAsia="Arial" w:hAnsi="Arial"/>
          <w:b/>
          <w:bCs/>
          <w:sz w:val="20"/>
          <w:szCs w:val="20"/>
        </w:rPr>
        <w:t xml:space="preserve">IMPORTANT - IHI Number Validation: Per AIR documentation (TECH.SIS.AIR.02), the ihiNumber field requires only '16 numeric characters' for schema validation (AIR-E-1016). The AIR API does NOT perform Luhn check digit validation on IHI numbers. The system validates format only.</w:t>
      </w:r>
    </w:p>
    <w:p>
      <w:pPr>
        <w:pStyle w:val="Heading2"/>
        <w:spacing w:before="280" w:after="160"/>
      </w:pPr>
      <w:r>
        <w:rPr>
          <w:rFonts w:ascii="Arial" w:cs="Arial" w:eastAsia="Arial" w:hAnsi="Arial"/>
          <w:b/>
          <w:bCs/>
          <w:sz w:val="26"/>
          <w:szCs w:val="26"/>
        </w:rPr>
        <w:t xml:space="preserve">5.2 Encounter/Episode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Type/Size</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9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Validation Rules</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encounter.id</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1-10. Sequential numbering starting from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dateOfService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Format: yyyy-MM-dd. Must be after DOB. Not future.</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episode.id</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1-5 per encounter. Sequential numbering.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vaccineCode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Valid AIR vaccine code from Reference Data API.</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vaccineDose</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1-20. Dose number for this vaccine.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vaccineBatch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Batch/lot number. Mandatory for COVID-19, Influenza, Yellow Fever vaccines.</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vaccineType</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String(3)</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Cond</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NIP=National Immunisation Program, AEN=Antenatal, OTH=Other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routeOfAdministration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 SC, ID, OR, IN, NAS (per Reference Data API)</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providerNumber</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String(8)</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Medicare or AIR provider number. Check digit validated.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administeredOverseas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true/false. Default: false</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countryCode</w:t>
            </w:r>
          </w:p>
        </w:tc>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String(3)</w:t>
            </w:r>
          </w:p>
        </w:tc>
        <w:tc>
          <w:tcPr>
            <w:tcW w:type="dxa" w:w="1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Cond</w:t>
            </w:r>
          </w:p>
        </w:tc>
        <w:tc>
          <w:tcPr>
            <w:tcW w:type="dxa" w:w="3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ISO 3166-1 alpha-3. Required if administeredOverseas=true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antenatalIndicator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true/false. For antenatal vaccinations.</w:t>
            </w:r>
          </w:p>
        </w:tc>
      </w:tr>
    </w:tbl>
    <w:p>
      <w:pPr>
        <w:pStyle w:val="Heading2"/>
        <w:spacing w:before="280" w:after="160"/>
      </w:pPr>
      <w:r>
        <w:rPr>
          <w:rFonts w:ascii="Arial" w:cs="Arial" w:eastAsia="Arial" w:hAnsi="Arial"/>
          <w:b/>
          <w:bCs/>
          <w:sz w:val="26"/>
          <w:szCs w:val="26"/>
        </w:rPr>
        <w:t xml:space="preserve">5.3 Minimum Identification Requirements</w:t>
      </w:r>
    </w:p>
    <w:p>
      <w:pPr>
        <w:spacing w:after="120"/>
      </w:pPr>
      <w:r>
        <w:rPr>
          <w:rFonts w:ascii="Arial" w:cs="Arial" w:eastAsia="Arial" w:hAnsi="Arial"/>
          <w:sz w:val="20"/>
          <w:szCs w:val="20"/>
        </w:rPr>
        <w:t xml:space="preserve">AIR uses a search sequence to match individuals. Provide ONE of these combinations:</w:t>
      </w:r>
    </w:p>
    <w:p>
      <w:pPr>
        <w:pStyle w:val="ListParagraph"/>
        <w:numPr>
          <w:ilvl w:val="0"/>
          <w:numId w:val="3"/>
        </w:numPr>
        <w:spacing w:after="60"/>
      </w:pPr>
      <w:r>
        <w:rPr>
          <w:rFonts w:ascii="Arial" w:cs="Arial" w:eastAsia="Arial" w:hAnsi="Arial"/>
          <w:sz w:val="20"/>
          <w:szCs w:val="20"/>
        </w:rPr>
        <w:t xml:space="preserve">Medicare Card Number + Medicare IRN + Date of Birth + Gender</w:t>
      </w:r>
    </w:p>
    <w:p>
      <w:pPr>
        <w:pStyle w:val="ListParagraph"/>
        <w:numPr>
          <w:ilvl w:val="0"/>
          <w:numId w:val="3"/>
        </w:numPr>
        <w:spacing w:after="60"/>
      </w:pPr>
      <w:r>
        <w:rPr>
          <w:rFonts w:ascii="Arial" w:cs="Arial" w:eastAsia="Arial" w:hAnsi="Arial"/>
          <w:sz w:val="20"/>
          <w:szCs w:val="20"/>
        </w:rPr>
        <w:t xml:space="preserve">IHI Number + Date of Birth + Gender</w:t>
      </w:r>
    </w:p>
    <w:p>
      <w:pPr>
        <w:pStyle w:val="ListParagraph"/>
        <w:numPr>
          <w:ilvl w:val="0"/>
          <w:numId w:val="3"/>
        </w:numPr>
        <w:spacing w:after="60"/>
      </w:pPr>
      <w:r>
        <w:rPr>
          <w:rFonts w:ascii="Arial" w:cs="Arial" w:eastAsia="Arial" w:hAnsi="Arial"/>
          <w:sz w:val="20"/>
          <w:szCs w:val="20"/>
        </w:rPr>
        <w:t xml:space="preserve">First Name + Last Name + Date of Birth + Gender + Postcode</w:t>
      </w:r>
    </w:p>
    <w:p>
      <w:pPr>
        <w:spacing w:after="120"/>
      </w:pPr>
      <w:r>
        <w:rPr>
          <w:rFonts w:ascii="Arial" w:cs="Arial" w:eastAsia="Arial" w:hAnsi="Arial"/>
          <w:i/>
          <w:iCs/>
          <w:sz w:val="20"/>
          <w:szCs w:val="20"/>
        </w:rPr>
        <w:t xml:space="preserve">Note: If individual not found, AIR returns AIR-W-1004. Resubmit with acceptAndConfirm=true to create new record after user confirmation.</w:t>
      </w:r>
    </w:p>
    <w:p>
      <w:r>
        <w:br w:type="page"/>
      </w:r>
    </w:p>
    <w:p>
      <w:pPr>
        <w:pStyle w:val="Heading1"/>
        <w:spacing w:before="360" w:after="200"/>
      </w:pPr>
      <w:r>
        <w:rPr>
          <w:rFonts w:ascii="Arial" w:cs="Arial" w:eastAsia="Arial" w:hAnsi="Arial"/>
          <w:b/>
          <w:bCs/>
          <w:sz w:val="32"/>
          <w:szCs w:val="32"/>
        </w:rPr>
        <w:t xml:space="preserve">6. AIR Response Codes</w:t>
      </w:r>
    </w:p>
    <w:p>
      <w:pPr>
        <w:pStyle w:val="Heading2"/>
        <w:spacing w:before="280" w:after="160"/>
      </w:pPr>
      <w:r>
        <w:rPr>
          <w:rFonts w:ascii="Arial" w:cs="Arial" w:eastAsia="Arial" w:hAnsi="Arial"/>
          <w:b/>
          <w:bCs/>
          <w:sz w:val="26"/>
          <w:szCs w:val="26"/>
        </w:rPr>
        <w:t xml:space="preserve">6.1 Status 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63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Message &amp; Handling</w:t>
            </w:r>
          </w:p>
        </w:tc>
      </w:tr>
      <w:tr>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AIR-I-1007</w:t>
            </w:r>
          </w:p>
        </w:tc>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Info</w:t>
            </w:r>
          </w:p>
        </w:tc>
        <w:tc>
          <w:tcPr>
            <w:tcW w:type="dxa" w:w="63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All encounter(s) were successfully recorded. No action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AIR-W-1004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Warning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Individual not found. Prompt user to verify details, then resubmit with acceptAndConfirm=true.</w:t>
            </w:r>
          </w:p>
        </w:tc>
      </w:tr>
      <w:tr>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AIR-W-1008</w:t>
            </w:r>
          </w:p>
        </w:tc>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Warning</w:t>
            </w:r>
          </w:p>
        </w:tc>
        <w:tc>
          <w:tcPr>
            <w:tcW w:type="dxa" w:w="63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Some encounter(s) not recorded. Review warnings, correct or confirm.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Validation errors. Display errors to user for correction. Do not resubmit.</w:t>
            </w:r>
          </w:p>
        </w:tc>
      </w:tr>
      <w:tr>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AIR-E-1006</w:t>
            </w:r>
          </w:p>
        </w:tc>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Error</w:t>
            </w:r>
          </w:p>
        </w:tc>
        <w:tc>
          <w:tcPr>
            <w:tcW w:type="dxa" w:w="63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System error. Log error identifier. Retry with exponential backoff.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Encounter(s) not recorded due to errors. Correct and resubmit.</w:t>
            </w:r>
          </w:p>
        </w:tc>
      </w:tr>
      <w:tr>
        <w:tc>
          <w:tcPr>
            <w:tcW w:type="dxa" w:w="1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AIR-I-1100</w:t>
            </w:r>
          </w:p>
        </w:tc>
        <w:tc>
          <w:tcPr>
            <w:tcW w:type="dxa" w:w="1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Info</w:t>
            </w:r>
          </w:p>
        </w:tc>
        <w:tc>
          <w:tcPr>
            <w:tcW w:type="dxa" w:w="63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Request successfully processed.</w:t>
            </w:r>
          </w:p>
        </w:tc>
      </w:tr>
    </w:tbl>
    <w:p>
      <w:pPr>
        <w:pStyle w:val="Heading2"/>
        <w:spacing w:before="280" w:after="160"/>
      </w:pPr>
      <w:r>
        <w:rPr>
          <w:rFonts w:ascii="Arial" w:cs="Arial" w:eastAsia="Arial" w:hAnsi="Arial"/>
          <w:b/>
          <w:bCs/>
          <w:sz w:val="26"/>
          <w:szCs w:val="26"/>
        </w:rPr>
        <w:t xml:space="preserve">6.2 Common Validation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7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AIR-E-1013</w:t>
            </w:r>
          </w:p>
        </w:tc>
        <w:tc>
          <w:tcPr>
            <w:tcW w:type="dxa" w:w="7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Maximum number of encounters exceeded (max 10 per request)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AIR-E-1014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Episode sequencing error - must start at 1 and increment sequentially</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AIR-E-1015</w:t>
            </w:r>
          </w:p>
        </w:tc>
        <w:tc>
          <w:tcPr>
            <w:tcW w:type="dxa" w:w="7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Date of Service must be after Date of Birth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AIR-E-1016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Invalid format for field (check data types, lengths)</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AIR-E-1017</w:t>
            </w:r>
          </w:p>
        </w:tc>
        <w:tc>
          <w:tcPr>
            <w:tcW w:type="dxa" w:w="7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Invalid value - does not comply with permitted values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AIR-E-1018</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 is in the future</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AIR-E-1019</w:t>
            </w:r>
          </w:p>
        </w:tc>
        <w:tc>
          <w:tcPr>
            <w:tcW w:type="dxa" w:w="7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Date is more than 130 years in the past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AIR-E-1020</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Medicare card number required if IRN is set</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AIR-E-1023</w:t>
            </w:r>
          </w:p>
        </w:tc>
        <w:tc>
          <w:tcPr>
            <w:tcW w:type="dxa" w:w="7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Vaccine code is invalid (not in Reference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AIR-E-1028</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Provider number must exist and be current at date of service</w:t>
            </w:r>
          </w:p>
        </w:tc>
      </w:tr>
      <w:tr>
        <w:tc>
          <w:tcPr>
            <w:tcW w:type="dxa" w:w="2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AIR-E-1029</w:t>
            </w:r>
          </w:p>
        </w:tc>
        <w:tc>
          <w:tcPr>
            <w:tcW w:type="dxa" w:w="7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Information provider number must exist and be current</w:t>
            </w:r>
          </w:p>
        </w:tc>
      </w:tr>
    </w:tbl>
    <w:p>
      <w:r>
        <w:br w:type="page"/>
      </w:r>
    </w:p>
    <w:p>
      <w:pPr>
        <w:pStyle w:val="Heading1"/>
        <w:spacing w:before="360" w:after="200"/>
      </w:pPr>
      <w:r>
        <w:rPr>
          <w:rFonts w:ascii="Arial" w:cs="Arial" w:eastAsia="Arial" w:hAnsi="Arial"/>
          <w:b/>
          <w:bCs/>
          <w:sz w:val="32"/>
          <w:szCs w:val="32"/>
        </w:rPr>
        <w:t xml:space="preserve">7. Application Architecture</w:t>
      </w:r>
    </w:p>
    <w:p>
      <w:pPr>
        <w:pStyle w:val="Heading2"/>
        <w:spacing w:before="280" w:after="160"/>
      </w:pPr>
      <w:r>
        <w:rPr>
          <w:rFonts w:ascii="Arial" w:cs="Arial" w:eastAsia="Arial" w:hAnsi="Arial"/>
          <w:b/>
          <w:bCs/>
          <w:sz w:val="26"/>
          <w:szCs w:val="26"/>
        </w:rPr>
        <w:t xml:space="preserve">7.1 System Components</w:t>
      </w:r>
    </w:p>
    <w:p>
      <w:pPr>
        <w:pStyle w:val="ListParagraph"/>
        <w:numPr>
          <w:ilvl w:val="0"/>
          <w:numId w:val="2"/>
        </w:numPr>
        <w:spacing w:after="60"/>
      </w:pPr>
      <w:r>
        <w:rPr>
          <w:rFonts w:ascii="Arial" w:cs="Arial" w:eastAsia="Arial" w:hAnsi="Arial"/>
          <w:sz w:val="20"/>
          <w:szCs w:val="20"/>
        </w:rPr>
        <w:t xml:space="preserve">Frontend (Web Application): Next.js 14 / React with TypeScript</w:t>
      </w:r>
    </w:p>
    <w:p>
      <w:pPr>
        <w:pStyle w:val="ListParagraph"/>
        <w:numPr>
          <w:ilvl w:val="0"/>
          <w:numId w:val="2"/>
        </w:numPr>
        <w:spacing w:after="60"/>
      </w:pPr>
      <w:r>
        <w:rPr>
          <w:rFonts w:ascii="Arial" w:cs="Arial" w:eastAsia="Arial" w:hAnsi="Arial"/>
          <w:sz w:val="20"/>
          <w:szCs w:val="20"/>
        </w:rPr>
        <w:t xml:space="preserve">Backend API: Node.js/Express or Python/FastAPI</w:t>
      </w:r>
    </w:p>
    <w:p>
      <w:pPr>
        <w:pStyle w:val="ListParagraph"/>
        <w:numPr>
          <w:ilvl w:val="0"/>
          <w:numId w:val="2"/>
        </w:numPr>
        <w:spacing w:after="60"/>
      </w:pPr>
      <w:r>
        <w:rPr>
          <w:rFonts w:ascii="Arial" w:cs="Arial" w:eastAsia="Arial" w:hAnsi="Arial"/>
          <w:sz w:val="20"/>
          <w:szCs w:val="20"/>
        </w:rPr>
        <w:t xml:space="preserve">Authentication Service: User auth (JWT) + PRODA B2B token management</w:t>
      </w:r>
    </w:p>
    <w:p>
      <w:pPr>
        <w:pStyle w:val="ListParagraph"/>
        <w:numPr>
          <w:ilvl w:val="0"/>
          <w:numId w:val="2"/>
        </w:numPr>
        <w:spacing w:after="60"/>
      </w:pPr>
      <w:r>
        <w:rPr>
          <w:rFonts w:ascii="Arial" w:cs="Arial" w:eastAsia="Arial" w:hAnsi="Arial"/>
          <w:sz w:val="20"/>
          <w:szCs w:val="20"/>
        </w:rPr>
        <w:t xml:space="preserve">Validation Engine: Pre-submission validation against AIR rules</w:t>
      </w:r>
    </w:p>
    <w:p>
      <w:pPr>
        <w:pStyle w:val="ListParagraph"/>
        <w:numPr>
          <w:ilvl w:val="0"/>
          <w:numId w:val="2"/>
        </w:numPr>
        <w:spacing w:after="60"/>
      </w:pPr>
      <w:r>
        <w:rPr>
          <w:rFonts w:ascii="Arial" w:cs="Arial" w:eastAsia="Arial" w:hAnsi="Arial"/>
          <w:sz w:val="20"/>
          <w:szCs w:val="20"/>
        </w:rPr>
        <w:t xml:space="preserve">AIR API Client: HTTP client for Record Encounter API</w:t>
      </w:r>
    </w:p>
    <w:p>
      <w:pPr>
        <w:pStyle w:val="ListParagraph"/>
        <w:numPr>
          <w:ilvl w:val="0"/>
          <w:numId w:val="2"/>
        </w:numPr>
        <w:spacing w:after="60"/>
      </w:pPr>
      <w:r>
        <w:rPr>
          <w:rFonts w:ascii="Arial" w:cs="Arial" w:eastAsia="Arial" w:hAnsi="Arial"/>
          <w:sz w:val="20"/>
          <w:szCs w:val="20"/>
        </w:rPr>
        <w:t xml:space="preserve">Database: PostgreSQL for users, organisations, audit logs, submissions</w:t>
      </w:r>
    </w:p>
    <w:p>
      <w:pPr>
        <w:pStyle w:val="ListParagraph"/>
        <w:numPr>
          <w:ilvl w:val="0"/>
          <w:numId w:val="2"/>
        </w:numPr>
        <w:spacing w:after="60"/>
      </w:pPr>
      <w:r>
        <w:rPr>
          <w:rFonts w:ascii="Arial" w:cs="Arial" w:eastAsia="Arial" w:hAnsi="Arial"/>
          <w:sz w:val="20"/>
          <w:szCs w:val="20"/>
        </w:rPr>
        <w:t xml:space="preserve">Cache: Redis for sessions and rate limiting</w:t>
      </w:r>
    </w:p>
    <w:p>
      <w:pPr>
        <w:pStyle w:val="ListParagraph"/>
        <w:numPr>
          <w:ilvl w:val="0"/>
          <w:numId w:val="2"/>
        </w:numPr>
        <w:spacing w:after="60"/>
      </w:pPr>
      <w:r>
        <w:rPr>
          <w:rFonts w:ascii="Arial" w:cs="Arial" w:eastAsia="Arial" w:hAnsi="Arial"/>
          <w:sz w:val="20"/>
          <w:szCs w:val="20"/>
        </w:rPr>
        <w:t xml:space="preserve">File Storage: S3-compatible storage for uploaded files</w:t>
      </w:r>
    </w:p>
    <w:p>
      <w:pPr>
        <w:pStyle w:val="Heading2"/>
        <w:spacing w:before="280" w:after="160"/>
      </w:pPr>
      <w:r>
        <w:rPr>
          <w:rFonts w:ascii="Arial" w:cs="Arial" w:eastAsia="Arial" w:hAnsi="Arial"/>
          <w:b/>
          <w:bCs/>
          <w:sz w:val="26"/>
          <w:szCs w:val="26"/>
        </w:rPr>
        <w:t xml:space="preserve">7.2 Security Architecture</w:t>
      </w:r>
    </w:p>
    <w:p>
      <w:pPr>
        <w:pStyle w:val="ListParagraph"/>
        <w:numPr>
          <w:ilvl w:val="0"/>
          <w:numId w:val="2"/>
        </w:numPr>
        <w:spacing w:after="60"/>
      </w:pPr>
      <w:r>
        <w:rPr>
          <w:rFonts w:ascii="Arial" w:cs="Arial" w:eastAsia="Arial" w:hAnsi="Arial"/>
          <w:sz w:val="20"/>
          <w:szCs w:val="20"/>
        </w:rPr>
        <w:t xml:space="preserve">All traffic over TLS 1.2+</w:t>
      </w:r>
    </w:p>
    <w:p>
      <w:pPr>
        <w:pStyle w:val="ListParagraph"/>
        <w:numPr>
          <w:ilvl w:val="0"/>
          <w:numId w:val="2"/>
        </w:numPr>
        <w:spacing w:after="60"/>
      </w:pPr>
      <w:r>
        <w:rPr>
          <w:rFonts w:ascii="Arial" w:cs="Arial" w:eastAsia="Arial" w:hAnsi="Arial"/>
          <w:sz w:val="20"/>
          <w:szCs w:val="20"/>
        </w:rPr>
        <w:t xml:space="preserve">PRODA certificates encrypted at rest (AES-256)</w:t>
      </w:r>
    </w:p>
    <w:p>
      <w:pPr>
        <w:pStyle w:val="ListParagraph"/>
        <w:numPr>
          <w:ilvl w:val="0"/>
          <w:numId w:val="2"/>
        </w:numPr>
        <w:spacing w:after="60"/>
      </w:pPr>
      <w:r>
        <w:rPr>
          <w:rFonts w:ascii="Arial" w:cs="Arial" w:eastAsia="Arial" w:hAnsi="Arial"/>
          <w:sz w:val="20"/>
          <w:szCs w:val="20"/>
        </w:rPr>
        <w:t xml:space="preserve">Password hashing with Argon2id</w:t>
      </w:r>
    </w:p>
    <w:p>
      <w:pPr>
        <w:pStyle w:val="ListParagraph"/>
        <w:numPr>
          <w:ilvl w:val="0"/>
          <w:numId w:val="2"/>
        </w:numPr>
        <w:spacing w:after="60"/>
      </w:pPr>
      <w:r>
        <w:rPr>
          <w:rFonts w:ascii="Arial" w:cs="Arial" w:eastAsia="Arial" w:hAnsi="Arial"/>
          <w:sz w:val="20"/>
          <w:szCs w:val="20"/>
        </w:rPr>
        <w:t xml:space="preserve">CSRF protection on all state-changing requests</w:t>
      </w:r>
    </w:p>
    <w:p>
      <w:pPr>
        <w:pStyle w:val="ListParagraph"/>
        <w:numPr>
          <w:ilvl w:val="0"/>
          <w:numId w:val="2"/>
        </w:numPr>
        <w:spacing w:after="60"/>
      </w:pPr>
      <w:r>
        <w:rPr>
          <w:rFonts w:ascii="Arial" w:cs="Arial" w:eastAsia="Arial" w:hAnsi="Arial"/>
          <w:sz w:val="20"/>
          <w:szCs w:val="20"/>
        </w:rPr>
        <w:t xml:space="preserve">Rate limiting: 100 requests/minute per user, 1000/minute per org</w:t>
      </w:r>
    </w:p>
    <w:p>
      <w:pPr>
        <w:pStyle w:val="ListParagraph"/>
        <w:numPr>
          <w:ilvl w:val="0"/>
          <w:numId w:val="2"/>
        </w:numPr>
        <w:spacing w:after="60"/>
      </w:pPr>
      <w:r>
        <w:rPr>
          <w:rFonts w:ascii="Arial" w:cs="Arial" w:eastAsia="Arial" w:hAnsi="Arial"/>
          <w:sz w:val="20"/>
          <w:szCs w:val="20"/>
        </w:rPr>
        <w:t xml:space="preserve">Input sanitization and validation on all endpoints</w:t>
      </w:r>
    </w:p>
    <w:p>
      <w:pPr>
        <w:pStyle w:val="ListParagraph"/>
        <w:numPr>
          <w:ilvl w:val="0"/>
          <w:numId w:val="2"/>
        </w:numPr>
        <w:spacing w:after="60"/>
      </w:pPr>
      <w:r>
        <w:rPr>
          <w:rFonts w:ascii="Arial" w:cs="Arial" w:eastAsia="Arial" w:hAnsi="Arial"/>
          <w:sz w:val="20"/>
          <w:szCs w:val="20"/>
        </w:rPr>
        <w:t xml:space="preserve">Comprehensive audit logging of all sensitive operations</w:t>
      </w:r>
    </w:p>
    <w:p>
      <w:pPr>
        <w:pStyle w:val="ListParagraph"/>
        <w:numPr>
          <w:ilvl w:val="0"/>
          <w:numId w:val="2"/>
        </w:numPr>
        <w:spacing w:after="60"/>
      </w:pPr>
      <w:r>
        <w:rPr>
          <w:rFonts w:ascii="Arial" w:cs="Arial" w:eastAsia="Arial" w:hAnsi="Arial"/>
          <w:sz w:val="20"/>
          <w:szCs w:val="20"/>
        </w:rPr>
        <w:t xml:space="preserve">Data isolation between tenants (organisations)</w:t>
      </w:r>
    </w:p>
    <w:p>
      <w:r>
        <w:br w:type="page"/>
      </w:r>
    </w:p>
    <w:p>
      <w:pPr>
        <w:pStyle w:val="Heading1"/>
        <w:spacing w:before="360" w:after="200"/>
      </w:pPr>
      <w:r>
        <w:rPr>
          <w:rFonts w:ascii="Arial" w:cs="Arial" w:eastAsia="Arial" w:hAnsi="Arial"/>
          <w:b/>
          <w:bCs/>
          <w:sz w:val="32"/>
          <w:szCs w:val="32"/>
        </w:rPr>
        <w:t xml:space="preserve">8. User Workflows</w:t>
      </w:r>
    </w:p>
    <w:p>
      <w:pPr>
        <w:pStyle w:val="Heading2"/>
        <w:spacing w:before="280" w:after="160"/>
      </w:pPr>
      <w:r>
        <w:rPr>
          <w:rFonts w:ascii="Arial" w:cs="Arial" w:eastAsia="Arial" w:hAnsi="Arial"/>
          <w:b/>
          <w:bCs/>
          <w:sz w:val="26"/>
          <w:szCs w:val="26"/>
        </w:rPr>
        <w:t xml:space="preserve">8.1 User Registration &amp; Login Flow</w:t>
      </w:r>
    </w:p>
    <w:p>
      <w:pPr>
        <w:pStyle w:val="ListParagraph"/>
        <w:numPr>
          <w:ilvl w:val="0"/>
          <w:numId w:val="3"/>
        </w:numPr>
        <w:spacing w:after="60"/>
      </w:pPr>
      <w:r>
        <w:rPr>
          <w:rFonts w:ascii="Arial" w:cs="Arial" w:eastAsia="Arial" w:hAnsi="Arial"/>
          <w:sz w:val="20"/>
          <w:szCs w:val="20"/>
        </w:rPr>
        <w:t xml:space="preserve">Org Admin invites user via email</w:t>
      </w:r>
    </w:p>
    <w:p>
      <w:pPr>
        <w:pStyle w:val="ListParagraph"/>
        <w:numPr>
          <w:ilvl w:val="0"/>
          <w:numId w:val="3"/>
        </w:numPr>
        <w:spacing w:after="60"/>
      </w:pPr>
      <w:r>
        <w:rPr>
          <w:rFonts w:ascii="Arial" w:cs="Arial" w:eastAsia="Arial" w:hAnsi="Arial"/>
          <w:sz w:val="20"/>
          <w:szCs w:val="20"/>
        </w:rPr>
        <w:t xml:space="preserve">User receives invitation email with secure link</w:t>
      </w:r>
    </w:p>
    <w:p>
      <w:pPr>
        <w:pStyle w:val="ListParagraph"/>
        <w:numPr>
          <w:ilvl w:val="0"/>
          <w:numId w:val="3"/>
        </w:numPr>
        <w:spacing w:after="60"/>
      </w:pPr>
      <w:r>
        <w:rPr>
          <w:rFonts w:ascii="Arial" w:cs="Arial" w:eastAsia="Arial" w:hAnsi="Arial"/>
          <w:sz w:val="20"/>
          <w:szCs w:val="20"/>
        </w:rPr>
        <w:t xml:space="preserve">User completes registration: sets password, accepts terms</w:t>
      </w:r>
    </w:p>
    <w:p>
      <w:pPr>
        <w:pStyle w:val="ListParagraph"/>
        <w:numPr>
          <w:ilvl w:val="0"/>
          <w:numId w:val="3"/>
        </w:numPr>
        <w:spacing w:after="60"/>
      </w:pPr>
      <w:r>
        <w:rPr>
          <w:rFonts w:ascii="Arial" w:cs="Arial" w:eastAsia="Arial" w:hAnsi="Arial"/>
          <w:sz w:val="20"/>
          <w:szCs w:val="20"/>
        </w:rPr>
        <w:t xml:space="preserve">Email verification sent and confirmed</w:t>
      </w:r>
    </w:p>
    <w:p>
      <w:pPr>
        <w:pStyle w:val="ListParagraph"/>
        <w:numPr>
          <w:ilvl w:val="0"/>
          <w:numId w:val="3"/>
        </w:numPr>
        <w:spacing w:after="60"/>
      </w:pPr>
      <w:r>
        <w:rPr>
          <w:rFonts w:ascii="Arial" w:cs="Arial" w:eastAsia="Arial" w:hAnsi="Arial"/>
          <w:sz w:val="20"/>
          <w:szCs w:val="20"/>
        </w:rPr>
        <w:t xml:space="preserve">Optional: MFA setup (TOTP)</w:t>
      </w:r>
    </w:p>
    <w:p>
      <w:pPr>
        <w:pStyle w:val="ListParagraph"/>
        <w:numPr>
          <w:ilvl w:val="0"/>
          <w:numId w:val="3"/>
        </w:numPr>
        <w:spacing w:after="60"/>
      </w:pPr>
      <w:r>
        <w:rPr>
          <w:rFonts w:ascii="Arial" w:cs="Arial" w:eastAsia="Arial" w:hAnsi="Arial"/>
          <w:sz w:val="20"/>
          <w:szCs w:val="20"/>
        </w:rPr>
        <w:t xml:space="preserve">User logs in with email + password (+ MFA if enabled)</w:t>
      </w:r>
    </w:p>
    <w:p>
      <w:pPr>
        <w:pStyle w:val="ListParagraph"/>
        <w:numPr>
          <w:ilvl w:val="0"/>
          <w:numId w:val="3"/>
        </w:numPr>
        <w:spacing w:after="60"/>
      </w:pPr>
      <w:r>
        <w:rPr>
          <w:rFonts w:ascii="Arial" w:cs="Arial" w:eastAsia="Arial" w:hAnsi="Arial"/>
          <w:sz w:val="20"/>
          <w:szCs w:val="20"/>
        </w:rPr>
        <w:t xml:space="preserve">Session token issued, user redirected to dashboard</w:t>
      </w:r>
    </w:p>
    <w:p>
      <w:pPr>
        <w:pStyle w:val="Heading2"/>
        <w:spacing w:before="280" w:after="160"/>
      </w:pPr>
      <w:r>
        <w:rPr>
          <w:rFonts w:ascii="Arial" w:cs="Arial" w:eastAsia="Arial" w:hAnsi="Arial"/>
          <w:b/>
          <w:bCs/>
          <w:sz w:val="26"/>
          <w:szCs w:val="26"/>
        </w:rPr>
        <w:t xml:space="preserve">8.2 Vaccination Record Submission Flow</w:t>
      </w:r>
    </w:p>
    <w:p>
      <w:pPr>
        <w:pStyle w:val="ListParagraph"/>
        <w:numPr>
          <w:ilvl w:val="0"/>
          <w:numId w:val="4"/>
        </w:numPr>
        <w:spacing w:after="60"/>
      </w:pPr>
      <w:r>
        <w:rPr>
          <w:rFonts w:ascii="Arial" w:cs="Arial" w:eastAsia="Arial" w:hAnsi="Arial"/>
          <w:sz w:val="20"/>
          <w:szCs w:val="20"/>
        </w:rPr>
        <w:t xml:space="preserve">User logs in and navigates to Upload page</w:t>
      </w:r>
    </w:p>
    <w:p>
      <w:pPr>
        <w:pStyle w:val="ListParagraph"/>
        <w:numPr>
          <w:ilvl w:val="0"/>
          <w:numId w:val="4"/>
        </w:numPr>
        <w:spacing w:after="60"/>
      </w:pPr>
      <w:r>
        <w:rPr>
          <w:rFonts w:ascii="Arial" w:cs="Arial" w:eastAsia="Arial" w:hAnsi="Arial"/>
          <w:sz w:val="20"/>
          <w:szCs w:val="20"/>
        </w:rPr>
        <w:t xml:space="preserve">User downloads Excel template (or uses existing)</w:t>
      </w:r>
    </w:p>
    <w:p>
      <w:pPr>
        <w:pStyle w:val="ListParagraph"/>
        <w:numPr>
          <w:ilvl w:val="0"/>
          <w:numId w:val="4"/>
        </w:numPr>
        <w:spacing w:after="60"/>
      </w:pPr>
      <w:r>
        <w:rPr>
          <w:rFonts w:ascii="Arial" w:cs="Arial" w:eastAsia="Arial" w:hAnsi="Arial"/>
          <w:sz w:val="20"/>
          <w:szCs w:val="20"/>
        </w:rPr>
        <w:t xml:space="preserve">User fills template with vaccination data</w:t>
      </w:r>
    </w:p>
    <w:p>
      <w:pPr>
        <w:pStyle w:val="ListParagraph"/>
        <w:numPr>
          <w:ilvl w:val="0"/>
          <w:numId w:val="4"/>
        </w:numPr>
        <w:spacing w:after="60"/>
      </w:pPr>
      <w:r>
        <w:rPr>
          <w:rFonts w:ascii="Arial" w:cs="Arial" w:eastAsia="Arial" w:hAnsi="Arial"/>
          <w:sz w:val="20"/>
          <w:szCs w:val="20"/>
        </w:rPr>
        <w:t xml:space="preserve">User uploads completed Excel file</w:t>
      </w:r>
    </w:p>
    <w:p>
      <w:pPr>
        <w:pStyle w:val="ListParagraph"/>
        <w:numPr>
          <w:ilvl w:val="0"/>
          <w:numId w:val="4"/>
        </w:numPr>
        <w:spacing w:after="60"/>
      </w:pPr>
      <w:r>
        <w:rPr>
          <w:rFonts w:ascii="Arial" w:cs="Arial" w:eastAsia="Arial" w:hAnsi="Arial"/>
          <w:sz w:val="20"/>
          <w:szCs w:val="20"/>
        </w:rPr>
        <w:t xml:space="preserve">System parses file and runs client-side validation</w:t>
      </w:r>
    </w:p>
    <w:p>
      <w:pPr>
        <w:pStyle w:val="ListParagraph"/>
        <w:numPr>
          <w:ilvl w:val="0"/>
          <w:numId w:val="4"/>
        </w:numPr>
        <w:spacing w:after="60"/>
      </w:pPr>
      <w:r>
        <w:rPr>
          <w:rFonts w:ascii="Arial" w:cs="Arial" w:eastAsia="Arial" w:hAnsi="Arial"/>
          <w:sz w:val="20"/>
          <w:szCs w:val="20"/>
        </w:rPr>
        <w:t xml:space="preserve">Validation results displayed (errors highlighted in red)</w:t>
      </w:r>
    </w:p>
    <w:p>
      <w:pPr>
        <w:pStyle w:val="ListParagraph"/>
        <w:numPr>
          <w:ilvl w:val="0"/>
          <w:numId w:val="4"/>
        </w:numPr>
        <w:spacing w:after="60"/>
      </w:pPr>
      <w:r>
        <w:rPr>
          <w:rFonts w:ascii="Arial" w:cs="Arial" w:eastAsia="Arial" w:hAnsi="Arial"/>
          <w:sz w:val="20"/>
          <w:szCs w:val="20"/>
        </w:rPr>
        <w:t xml:space="preserve">User corrects any errors (inline edit or re-upload)</w:t>
      </w:r>
    </w:p>
    <w:p>
      <w:pPr>
        <w:pStyle w:val="ListParagraph"/>
        <w:numPr>
          <w:ilvl w:val="0"/>
          <w:numId w:val="4"/>
        </w:numPr>
        <w:spacing w:after="60"/>
      </w:pPr>
      <w:r>
        <w:rPr>
          <w:rFonts w:ascii="Arial" w:cs="Arial" w:eastAsia="Arial" w:hAnsi="Arial"/>
          <w:sz w:val="20"/>
          <w:szCs w:val="20"/>
        </w:rPr>
        <w:t xml:space="preserve">User confirms and clicks Submit</w:t>
      </w:r>
    </w:p>
    <w:p>
      <w:pPr>
        <w:pStyle w:val="ListParagraph"/>
        <w:numPr>
          <w:ilvl w:val="0"/>
          <w:numId w:val="4"/>
        </w:numPr>
        <w:spacing w:after="60"/>
      </w:pPr>
      <w:r>
        <w:rPr>
          <w:rFonts w:ascii="Arial" w:cs="Arial" w:eastAsia="Arial" w:hAnsi="Arial"/>
          <w:sz w:val="20"/>
          <w:szCs w:val="20"/>
        </w:rPr>
        <w:t xml:space="preserve">System acquires PRODA token (auto-refresh if needed)</w:t>
      </w:r>
    </w:p>
    <w:p>
      <w:pPr>
        <w:pStyle w:val="ListParagraph"/>
        <w:numPr>
          <w:ilvl w:val="0"/>
          <w:numId w:val="4"/>
        </w:numPr>
        <w:spacing w:after="60"/>
      </w:pPr>
      <w:r>
        <w:rPr>
          <w:rFonts w:ascii="Arial" w:cs="Arial" w:eastAsia="Arial" w:hAnsi="Arial"/>
          <w:sz w:val="20"/>
          <w:szCs w:val="20"/>
        </w:rPr>
        <w:t xml:space="preserve">Records submitted to AIR in batches (max 10 encounters each)</w:t>
      </w:r>
    </w:p>
    <w:p>
      <w:pPr>
        <w:pStyle w:val="ListParagraph"/>
        <w:numPr>
          <w:ilvl w:val="0"/>
          <w:numId w:val="4"/>
        </w:numPr>
        <w:spacing w:after="60"/>
      </w:pPr>
      <w:r>
        <w:rPr>
          <w:rFonts w:ascii="Arial" w:cs="Arial" w:eastAsia="Arial" w:hAnsi="Arial"/>
          <w:sz w:val="20"/>
          <w:szCs w:val="20"/>
        </w:rPr>
        <w:t xml:space="preserve">AIR-W-1004 responses: User prompted to confirm individual details</w:t>
      </w:r>
    </w:p>
    <w:p>
      <w:pPr>
        <w:pStyle w:val="ListParagraph"/>
        <w:numPr>
          <w:ilvl w:val="0"/>
          <w:numId w:val="4"/>
        </w:numPr>
        <w:spacing w:after="60"/>
      </w:pPr>
      <w:r>
        <w:rPr>
          <w:rFonts w:ascii="Arial" w:cs="Arial" w:eastAsia="Arial" w:hAnsi="Arial"/>
          <w:sz w:val="20"/>
          <w:szCs w:val="20"/>
        </w:rPr>
        <w:t xml:space="preserve">Results displayed: success/warning/error breakdown</w:t>
      </w:r>
    </w:p>
    <w:p>
      <w:pPr>
        <w:pStyle w:val="ListParagraph"/>
        <w:numPr>
          <w:ilvl w:val="0"/>
          <w:numId w:val="4"/>
        </w:numPr>
        <w:spacing w:after="60"/>
      </w:pPr>
      <w:r>
        <w:rPr>
          <w:rFonts w:ascii="Arial" w:cs="Arial" w:eastAsia="Arial" w:hAnsi="Arial"/>
          <w:sz w:val="20"/>
          <w:szCs w:val="20"/>
        </w:rPr>
        <w:t xml:space="preserve">Submission logged to audit trail</w:t>
      </w:r>
    </w:p>
    <w:p>
      <w:pPr>
        <w:pStyle w:val="ListParagraph"/>
        <w:numPr>
          <w:ilvl w:val="0"/>
          <w:numId w:val="4"/>
        </w:numPr>
        <w:spacing w:after="60"/>
      </w:pPr>
      <w:r>
        <w:rPr>
          <w:rFonts w:ascii="Arial" w:cs="Arial" w:eastAsia="Arial" w:hAnsi="Arial"/>
          <w:sz w:val="20"/>
          <w:szCs w:val="20"/>
        </w:rPr>
        <w:t xml:space="preserve">User can download results report (Excel/PDF)</w:t>
      </w:r>
    </w:p>
    <w:p>
      <w:pPr>
        <w:pStyle w:val="Heading2"/>
        <w:spacing w:before="280" w:after="160"/>
      </w:pPr>
      <w:r>
        <w:rPr>
          <w:rFonts w:ascii="Arial" w:cs="Arial" w:eastAsia="Arial" w:hAnsi="Arial"/>
          <w:b/>
          <w:bCs/>
          <w:sz w:val="26"/>
          <w:szCs w:val="26"/>
        </w:rPr>
        <w:t xml:space="preserve">8.3 Organisation Setup Flow (Admin)</w:t>
      </w:r>
    </w:p>
    <w:p>
      <w:pPr>
        <w:pStyle w:val="ListParagraph"/>
        <w:numPr>
          <w:ilvl w:val="0"/>
          <w:numId w:val="5"/>
        </w:numPr>
        <w:spacing w:after="60"/>
      </w:pPr>
      <w:r>
        <w:rPr>
          <w:rFonts w:ascii="Arial" w:cs="Arial" w:eastAsia="Arial" w:hAnsi="Arial"/>
          <w:sz w:val="20"/>
          <w:szCs w:val="20"/>
        </w:rPr>
        <w:t xml:space="preserve">Super Admin creates new Organisation</w:t>
      </w:r>
    </w:p>
    <w:p>
      <w:pPr>
        <w:pStyle w:val="ListParagraph"/>
        <w:numPr>
          <w:ilvl w:val="0"/>
          <w:numId w:val="5"/>
        </w:numPr>
        <w:spacing w:after="60"/>
      </w:pPr>
      <w:r>
        <w:rPr>
          <w:rFonts w:ascii="Arial" w:cs="Arial" w:eastAsia="Arial" w:hAnsi="Arial"/>
          <w:sz w:val="20"/>
          <w:szCs w:val="20"/>
        </w:rPr>
        <w:t xml:space="preserve">Enter organisation details (name, ABN)</w:t>
      </w:r>
    </w:p>
    <w:p>
      <w:pPr>
        <w:pStyle w:val="ListParagraph"/>
        <w:numPr>
          <w:ilvl w:val="0"/>
          <w:numId w:val="5"/>
        </w:numPr>
        <w:spacing w:after="60"/>
      </w:pPr>
      <w:r>
        <w:rPr>
          <w:rFonts w:ascii="Arial" w:cs="Arial" w:eastAsia="Arial" w:hAnsi="Arial"/>
          <w:sz w:val="20"/>
          <w:szCs w:val="20"/>
        </w:rPr>
        <w:t xml:space="preserve">Configure PRODA credentials (upload JKS, enter device name, Org ID, Minor ID)</w:t>
      </w:r>
    </w:p>
    <w:p>
      <w:pPr>
        <w:pStyle w:val="ListParagraph"/>
        <w:numPr>
          <w:ilvl w:val="0"/>
          <w:numId w:val="5"/>
        </w:numPr>
        <w:spacing w:after="60"/>
      </w:pPr>
      <w:r>
        <w:rPr>
          <w:rFonts w:ascii="Arial" w:cs="Arial" w:eastAsia="Arial" w:hAnsi="Arial"/>
          <w:sz w:val="20"/>
          <w:szCs w:val="20"/>
        </w:rPr>
        <w:t xml:space="preserve">Test PRODA connection</w:t>
      </w:r>
    </w:p>
    <w:p>
      <w:pPr>
        <w:pStyle w:val="ListParagraph"/>
        <w:numPr>
          <w:ilvl w:val="0"/>
          <w:numId w:val="5"/>
        </w:numPr>
        <w:spacing w:after="60"/>
      </w:pPr>
      <w:r>
        <w:rPr>
          <w:rFonts w:ascii="Arial" w:cs="Arial" w:eastAsia="Arial" w:hAnsi="Arial"/>
          <w:sz w:val="20"/>
          <w:szCs w:val="20"/>
        </w:rPr>
        <w:t xml:space="preserve">Set environment (Vendor/Production)</w:t>
      </w:r>
    </w:p>
    <w:p>
      <w:pPr>
        <w:pStyle w:val="ListParagraph"/>
        <w:numPr>
          <w:ilvl w:val="0"/>
          <w:numId w:val="5"/>
        </w:numPr>
        <w:spacing w:after="60"/>
      </w:pPr>
      <w:r>
        <w:rPr>
          <w:rFonts w:ascii="Arial" w:cs="Arial" w:eastAsia="Arial" w:hAnsi="Arial"/>
          <w:sz w:val="20"/>
          <w:szCs w:val="20"/>
        </w:rPr>
        <w:t xml:space="preserve">Configure organisation settings (session limits, password policy)</w:t>
      </w:r>
    </w:p>
    <w:p>
      <w:pPr>
        <w:pStyle w:val="ListParagraph"/>
        <w:numPr>
          <w:ilvl w:val="0"/>
          <w:numId w:val="5"/>
        </w:numPr>
        <w:spacing w:after="60"/>
      </w:pPr>
      <w:r>
        <w:rPr>
          <w:rFonts w:ascii="Arial" w:cs="Arial" w:eastAsia="Arial" w:hAnsi="Arial"/>
          <w:sz w:val="20"/>
          <w:szCs w:val="20"/>
        </w:rPr>
        <w:t xml:space="preserve">Create first Org Admin user</w:t>
      </w:r>
    </w:p>
    <w:p>
      <w:pPr>
        <w:pStyle w:val="ListParagraph"/>
        <w:numPr>
          <w:ilvl w:val="0"/>
          <w:numId w:val="5"/>
        </w:numPr>
        <w:spacing w:after="60"/>
      </w:pPr>
      <w:r>
        <w:rPr>
          <w:rFonts w:ascii="Arial" w:cs="Arial" w:eastAsia="Arial" w:hAnsi="Arial"/>
          <w:sz w:val="20"/>
          <w:szCs w:val="20"/>
        </w:rPr>
        <w:t xml:space="preserve">Org Admin can now invite additional users</w:t>
      </w:r>
    </w:p>
    <w:p>
      <w:r>
        <w:br w:type="page"/>
      </w:r>
    </w:p>
    <w:p>
      <w:pPr>
        <w:pStyle w:val="Heading1"/>
        <w:spacing w:before="360" w:after="200"/>
      </w:pPr>
      <w:r>
        <w:rPr>
          <w:rFonts w:ascii="Arial" w:cs="Arial" w:eastAsia="Arial" w:hAnsi="Arial"/>
          <w:b/>
          <w:bCs/>
          <w:sz w:val="32"/>
          <w:szCs w:val="32"/>
        </w:rPr>
        <w:t xml:space="preserve">9. Testing &amp; Certification Requirements</w:t>
      </w:r>
    </w:p>
    <w:p>
      <w:pPr>
        <w:pStyle w:val="Heading2"/>
        <w:spacing w:before="280" w:after="160"/>
      </w:pPr>
      <w:r>
        <w:rPr>
          <w:rFonts w:ascii="Arial" w:cs="Arial" w:eastAsia="Arial" w:hAnsi="Arial"/>
          <w:b/>
          <w:bCs/>
          <w:sz w:val="26"/>
          <w:szCs w:val="26"/>
        </w:rPr>
        <w:t xml:space="preserve">9.1 Development Testing (Vendor Environment)</w:t>
      </w:r>
    </w:p>
    <w:p>
      <w:pPr>
        <w:pStyle w:val="ListParagraph"/>
        <w:numPr>
          <w:ilvl w:val="0"/>
          <w:numId w:val="2"/>
        </w:numPr>
        <w:spacing w:after="60"/>
      </w:pPr>
      <w:r>
        <w:rPr>
          <w:rFonts w:ascii="Arial" w:cs="Arial" w:eastAsia="Arial" w:hAnsi="Arial"/>
          <w:sz w:val="20"/>
          <w:szCs w:val="20"/>
        </w:rPr>
        <w:t xml:space="preserve">Register on Health Systems Developer Portal</w:t>
      </w:r>
    </w:p>
    <w:p>
      <w:pPr>
        <w:pStyle w:val="ListParagraph"/>
        <w:numPr>
          <w:ilvl w:val="0"/>
          <w:numId w:val="2"/>
        </w:numPr>
        <w:spacing w:after="60"/>
      </w:pPr>
      <w:r>
        <w:rPr>
          <w:rFonts w:ascii="Arial" w:cs="Arial" w:eastAsia="Arial" w:hAnsi="Arial"/>
          <w:sz w:val="20"/>
          <w:szCs w:val="20"/>
        </w:rPr>
        <w:t xml:space="preserve">Accept Interface Agreement</w:t>
      </w:r>
    </w:p>
    <w:p>
      <w:pPr>
        <w:pStyle w:val="ListParagraph"/>
        <w:numPr>
          <w:ilvl w:val="0"/>
          <w:numId w:val="2"/>
        </w:numPr>
        <w:spacing w:after="60"/>
      </w:pPr>
      <w:r>
        <w:rPr>
          <w:rFonts w:ascii="Arial" w:cs="Arial" w:eastAsia="Arial" w:hAnsi="Arial"/>
          <w:sz w:val="20"/>
          <w:szCs w:val="20"/>
        </w:rPr>
        <w:t xml:space="preserve">Subscribe to AIR API products</w:t>
      </w:r>
    </w:p>
    <w:p>
      <w:pPr>
        <w:pStyle w:val="ListParagraph"/>
        <w:numPr>
          <w:ilvl w:val="0"/>
          <w:numId w:val="2"/>
        </w:numPr>
        <w:spacing w:after="60"/>
      </w:pPr>
      <w:r>
        <w:rPr>
          <w:rFonts w:ascii="Arial" w:cs="Arial" w:eastAsia="Arial" w:hAnsi="Arial"/>
          <w:sz w:val="20"/>
          <w:szCs w:val="20"/>
        </w:rPr>
        <w:t xml:space="preserve">Use provided test data for development</w:t>
      </w:r>
    </w:p>
    <w:p>
      <w:pPr>
        <w:pStyle w:val="ListParagraph"/>
        <w:numPr>
          <w:ilvl w:val="0"/>
          <w:numId w:val="2"/>
        </w:numPr>
        <w:spacing w:after="60"/>
      </w:pPr>
      <w:r>
        <w:rPr>
          <w:rFonts w:ascii="Arial" w:cs="Arial" w:eastAsia="Arial" w:hAnsi="Arial"/>
          <w:sz w:val="20"/>
          <w:szCs w:val="20"/>
        </w:rPr>
        <w:t xml:space="preserve">Test all business rules using SoapUI project samples</w:t>
      </w:r>
    </w:p>
    <w:p>
      <w:pPr>
        <w:pStyle w:val="Heading2"/>
        <w:spacing w:before="280" w:after="160"/>
      </w:pPr>
      <w:r>
        <w:rPr>
          <w:rFonts w:ascii="Arial" w:cs="Arial" w:eastAsia="Arial" w:hAnsi="Arial"/>
          <w:b/>
          <w:bCs/>
          <w:sz w:val="26"/>
          <w:szCs w:val="26"/>
        </w:rPr>
        <w:t xml:space="preserve">9.2 NOI (Notice of Integration) Certification</w:t>
      </w:r>
    </w:p>
    <w:p>
      <w:pPr>
        <w:spacing w:after="120"/>
      </w:pPr>
      <w:r>
        <w:rPr>
          <w:rFonts w:ascii="Arial" w:cs="Arial" w:eastAsia="Arial" w:hAnsi="Arial"/>
          <w:sz w:val="20"/>
          <w:szCs w:val="20"/>
        </w:rPr>
        <w:t xml:space="preserve">Required before production access. Contact: itest@servicesaustralia.gov.au</w:t>
      </w:r>
    </w:p>
    <w:p>
      <w:pPr>
        <w:pStyle w:val="ListParagraph"/>
        <w:numPr>
          <w:ilvl w:val="0"/>
          <w:numId w:val="2"/>
        </w:numPr>
        <w:spacing w:after="60"/>
      </w:pPr>
      <w:r>
        <w:rPr>
          <w:rFonts w:ascii="Arial" w:cs="Arial" w:eastAsia="Arial" w:hAnsi="Arial"/>
          <w:sz w:val="20"/>
          <w:szCs w:val="20"/>
        </w:rPr>
        <w:t xml:space="preserve">Submit Application Details Form (ADF)</w:t>
      </w:r>
    </w:p>
    <w:p>
      <w:pPr>
        <w:pStyle w:val="ListParagraph"/>
        <w:numPr>
          <w:ilvl w:val="0"/>
          <w:numId w:val="2"/>
        </w:numPr>
        <w:spacing w:after="60"/>
      </w:pPr>
      <w:r>
        <w:rPr>
          <w:rFonts w:ascii="Arial" w:cs="Arial" w:eastAsia="Arial" w:hAnsi="Arial"/>
          <w:sz w:val="20"/>
          <w:szCs w:val="20"/>
        </w:rPr>
        <w:t xml:space="preserve">Complete Preliminary Test Plan</w:t>
      </w:r>
    </w:p>
    <w:p>
      <w:pPr>
        <w:pStyle w:val="ListParagraph"/>
        <w:numPr>
          <w:ilvl w:val="0"/>
          <w:numId w:val="2"/>
        </w:numPr>
        <w:spacing w:after="60"/>
      </w:pPr>
      <w:r>
        <w:rPr>
          <w:rFonts w:ascii="Arial" w:cs="Arial" w:eastAsia="Arial" w:hAnsi="Arial"/>
          <w:sz w:val="20"/>
          <w:szCs w:val="20"/>
        </w:rPr>
        <w:t xml:space="preserve">Complete Integration Test Plan</w:t>
      </w:r>
    </w:p>
    <w:p>
      <w:pPr>
        <w:pStyle w:val="ListParagraph"/>
        <w:numPr>
          <w:ilvl w:val="0"/>
          <w:numId w:val="2"/>
        </w:numPr>
        <w:spacing w:after="60"/>
      </w:pPr>
      <w:r>
        <w:rPr>
          <w:rFonts w:ascii="Arial" w:cs="Arial" w:eastAsia="Arial" w:hAnsi="Arial"/>
          <w:sz w:val="20"/>
          <w:szCs w:val="20"/>
        </w:rPr>
        <w:t xml:space="preserve">Provide user manual documentation</w:t>
      </w:r>
    </w:p>
    <w:p>
      <w:pPr>
        <w:pStyle w:val="ListParagraph"/>
        <w:numPr>
          <w:ilvl w:val="0"/>
          <w:numId w:val="2"/>
        </w:numPr>
        <w:spacing w:after="60"/>
      </w:pPr>
      <w:r>
        <w:rPr>
          <w:rFonts w:ascii="Arial" w:cs="Arial" w:eastAsia="Arial" w:hAnsi="Arial"/>
          <w:sz w:val="20"/>
          <w:szCs w:val="20"/>
        </w:rPr>
        <w:t xml:space="preserve">Provide GUI screenshots demonstrating functionality</w:t>
      </w:r>
    </w:p>
    <w:p>
      <w:pPr>
        <w:pStyle w:val="Heading2"/>
        <w:spacing w:before="280" w:after="160"/>
      </w:pPr>
      <w:r>
        <w:rPr>
          <w:rFonts w:ascii="Arial" w:cs="Arial" w:eastAsia="Arial" w:hAnsi="Arial"/>
          <w:b/>
          <w:bCs/>
          <w:sz w:val="26"/>
          <w:szCs w:val="26"/>
        </w:rPr>
        <w:t xml:space="preserve">9.3 Support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gridCol w:w="960"/>
      </w:tblGrid>
      <w:tr>
        <w:tc>
          <w:tcPr>
            <w:tcW w:type="dxa" w:w="2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Team</w:t>
            </w:r>
          </w:p>
        </w:tc>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Contact</w:t>
            </w:r>
          </w:p>
        </w:tc>
        <w:tc>
          <w:tcPr>
            <w:tcW w:type="dxa" w:w="2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9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Developer Liaison</w:t>
            </w:r>
          </w:p>
        </w:tc>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DeveloperLiaison@servicesaustralia.gov.au</w:t>
            </w:r>
          </w:p>
        </w:tc>
        <w:tc>
          <w:tcPr>
            <w:tcW w:type="dxa" w:w="2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Registration, test data, production access</w:t>
            </w:r>
          </w:p>
        </w:tc>
        <w:tc>
          <w:tcPr>
            <w:tcW w:type="dxa" w:w="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OTS Technical Support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1300 550 115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Technical issues during development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OTS Product Integration</w:t>
            </w:r>
          </w:p>
        </w:tc>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itest@servicesaustralia.gov.au</w:t>
            </w:r>
          </w:p>
        </w:tc>
        <w:tc>
          <w:tcPr>
            <w:tcW w:type="dxa" w:w="28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NOI certification testing</w:t>
            </w:r>
          </w:p>
        </w:tc>
        <w:tc>
          <w:tcPr>
            <w:tcW w:type="dxa" w:w="9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PRODA Support (Prod)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1800 700 199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PRODA production issues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bl>
    <w:p>
      <w:r>
        <w:br w:type="page"/>
      </w:r>
    </w:p>
    <w:p>
      <w:pPr>
        <w:pStyle w:val="Heading1"/>
        <w:spacing w:before="360" w:after="200"/>
      </w:pPr>
      <w:r>
        <w:rPr>
          <w:rFonts w:ascii="Arial" w:cs="Arial" w:eastAsia="Arial" w:hAnsi="Arial"/>
          <w:b/>
          <w:bCs/>
          <w:sz w:val="32"/>
          <w:szCs w:val="32"/>
        </w:rPr>
        <w:t xml:space="preserve">10. Appendix - Reference Data &amp; Validation Algorithms</w:t>
      </w:r>
    </w:p>
    <w:p>
      <w:pPr>
        <w:pStyle w:val="Heading2"/>
        <w:spacing w:before="280" w:after="160"/>
      </w:pPr>
      <w:r>
        <w:rPr>
          <w:rFonts w:ascii="Arial" w:cs="Arial" w:eastAsia="Arial" w:hAnsi="Arial"/>
          <w:b/>
          <w:bCs/>
          <w:sz w:val="26"/>
          <w:szCs w:val="26"/>
        </w:rPr>
        <w:t xml:space="preserve">10.1 Medicare Card Number Validation Algorithm</w:t>
      </w:r>
    </w:p>
    <w:p>
      <w:pPr>
        <w:spacing w:after="120"/>
      </w:pPr>
      <w:r>
        <w:rPr>
          <w:rFonts w:ascii="Arial" w:cs="Arial" w:eastAsia="Arial" w:hAnsi="Arial"/>
          <w:sz w:val="20"/>
          <w:szCs w:val="20"/>
        </w:rPr>
        <w:t xml:space="preserve">Per AIR Common Rules V3.0.9, Appendix A:</w:t>
      </w:r>
    </w:p>
    <w:p>
      <w:pPr>
        <w:spacing w:after="120"/>
      </w:pPr>
      <w:r>
        <w:rPr>
          <w:rFonts w:ascii="Courier New" w:cs="Courier New" w:eastAsia="Courier New" w:hAnsi="Courier New"/>
          <w:sz w:val="18"/>
          <w:szCs w:val="18"/>
        </w:rPr>
        <w:t xml:space="preserve">Check Digit = ((Digit1 * 1) + (Digit2 * 3) + (Digit3 * 7) + (Digit4 * 9) + (Digit5 * 1) + (Digit6 * 3) + (Digit7 * 7) + (Digit8 * 9)) mod 10</w:t>
      </w:r>
    </w:p>
    <w:p>
      <w:pPr>
        <w:spacing w:after="120"/>
      </w:pPr>
      <w:r>
        <w:rPr>
          <w:rFonts w:ascii="Arial" w:cs="Arial" w:eastAsia="Arial" w:hAnsi="Arial"/>
          <w:sz w:val="20"/>
          <w:szCs w:val="20"/>
        </w:rPr>
        <w:t xml:space="preserve">The check digit becomes the 9th digit. The 10th digit is the card issue number (must not be zero).</w:t>
      </w:r>
    </w:p>
    <w:p>
      <w:pPr>
        <w:pStyle w:val="Heading2"/>
        <w:spacing w:before="280" w:after="160"/>
      </w:pPr>
      <w:r>
        <w:rPr>
          <w:rFonts w:ascii="Arial" w:cs="Arial" w:eastAsia="Arial" w:hAnsi="Arial"/>
          <w:b/>
          <w:bCs/>
          <w:sz w:val="26"/>
          <w:szCs w:val="26"/>
        </w:rPr>
        <w:t xml:space="preserve">10.2 Provider Number Validation</w:t>
      </w:r>
    </w:p>
    <w:p>
      <w:pPr>
        <w:spacing w:after="80"/>
      </w:pPr>
      <w:r>
        <w:rPr>
          <w:rFonts w:ascii="Arial" w:cs="Arial" w:eastAsia="Arial" w:hAnsi="Arial"/>
          <w:b/>
          <w:bCs/>
          <w:sz w:val="20"/>
          <w:szCs w:val="20"/>
        </w:rPr>
        <w:t xml:space="preserve">Medicare Provider Number Format: </w:t>
      </w:r>
      <w:r>
        <w:rPr>
          <w:rFonts w:ascii="Arial" w:cs="Arial" w:eastAsia="Arial" w:hAnsi="Arial"/>
          <w:sz w:val="20"/>
          <w:szCs w:val="20"/>
        </w:rPr>
        <w:t xml:space="preserve">6-digit stem + Practice Location Character + Check Digit</w:t>
      </w:r>
    </w:p>
    <w:p>
      <w:pPr>
        <w:spacing w:after="80"/>
      </w:pPr>
      <w:r>
        <w:rPr>
          <w:rFonts w:ascii="Arial" w:cs="Arial" w:eastAsia="Arial" w:hAnsi="Arial"/>
          <w:b/>
          <w:bCs/>
          <w:sz w:val="20"/>
          <w:szCs w:val="20"/>
        </w:rPr>
        <w:t xml:space="preserve">AIR Provider Number Format: </w:t>
      </w:r>
      <w:r>
        <w:rPr>
          <w:rFonts w:ascii="Arial" w:cs="Arial" w:eastAsia="Arial" w:hAnsi="Arial"/>
          <w:sz w:val="20"/>
          <w:szCs w:val="20"/>
        </w:rPr>
        <w:t xml:space="preserve">State code (alpha) + 5 digits + Check digit (alpha) + blank</w:t>
      </w:r>
    </w:p>
    <w:p>
      <w:pPr>
        <w:pStyle w:val="Heading2"/>
        <w:spacing w:before="280" w:after="160"/>
      </w:pPr>
      <w:r>
        <w:rPr>
          <w:rFonts w:ascii="Arial" w:cs="Arial" w:eastAsia="Arial" w:hAnsi="Arial"/>
          <w:b/>
          <w:bCs/>
          <w:sz w:val="26"/>
          <w:szCs w:val="26"/>
        </w:rPr>
        <w:t xml:space="preserve">10.3 Reference Data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Endpoint</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All vaccines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/air/immunisation/v1/refdata/vaccine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NIP vaccines only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/air/immunisation/v1/refdata/vaccine?vaccineCategoryCode=NIP</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COVID-19 vaccines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/air/immunisation/v1/refdata/vaccine?vaccineCategoryCode=COV19</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Influenza vaccines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/air/immunisation/v1/refdata/vaccine?vaccineCategoryCode=FLU</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Antigens list</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/air/immunisation/v1/refdata/antigen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Routes of administration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/air/immunisation/v1/refdata/routeOfAdministration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Vaccines requiring batch</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/air/immunisation/v1/refdata/vaccine/mandatory/vaccineBatch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Country codes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/air/immunisation/v1/refdata/country</w:t>
            </w:r>
          </w:p>
        </w:tc>
      </w:tr>
    </w:tbl>
    <w:p>
      <w:r>
        <w:br w:type="page"/>
      </w:r>
    </w:p>
    <w:p>
      <w:pPr>
        <w:pStyle w:val="Heading1"/>
        <w:spacing w:before="360" w:after="200"/>
      </w:pPr>
      <w:r>
        <w:rPr>
          <w:rFonts w:ascii="Arial" w:cs="Arial" w:eastAsia="Arial" w:hAnsi="Arial"/>
          <w:b/>
          <w:bCs/>
          <w:sz w:val="32"/>
          <w:szCs w:val="32"/>
        </w:rPr>
        <w:t xml:space="preserve">11. Infrastructure &amp; Data Storage</w:t>
      </w:r>
    </w:p>
    <w:p>
      <w:pPr>
        <w:spacing w:after="120"/>
      </w:pPr>
      <w:r>
        <w:rPr>
          <w:rFonts w:ascii="Arial" w:cs="Arial" w:eastAsia="Arial" w:hAnsi="Arial"/>
          <w:sz w:val="20"/>
          <w:szCs w:val="20"/>
        </w:rPr>
        <w:t xml:space="preserve">This section defines the cloud infrastructure, data residency, encryption, and compliance architecture for the AIR Bulk Vaccination Records Upload System. The system is deployed on Microsoft Azure with all resources located within Australian data centres, meeting the requirements of the Privacy Act 1988, Australian Privacy Principles (APPs), and the obligations inherent to handling health data that interfaces with Services Australia systems.</w:t>
      </w:r>
    </w:p>
    <w:p>
      <w:pPr>
        <w:pStyle w:val="Heading2"/>
        <w:spacing w:before="280" w:after="160"/>
      </w:pPr>
      <w:r>
        <w:rPr>
          <w:rFonts w:ascii="Arial" w:cs="Arial" w:eastAsia="Arial" w:hAnsi="Arial"/>
          <w:b/>
          <w:bCs/>
          <w:sz w:val="26"/>
          <w:szCs w:val="26"/>
        </w:rPr>
        <w:t xml:space="preserve">11.1 Azure Architecture Overview</w:t>
      </w:r>
    </w:p>
    <w:p>
      <w:pPr>
        <w:spacing w:after="120"/>
      </w:pPr>
      <w:r>
        <w:rPr>
          <w:rFonts w:ascii="Arial" w:cs="Arial" w:eastAsia="Arial" w:hAnsi="Arial"/>
          <w:sz w:val="20"/>
          <w:szCs w:val="20"/>
        </w:rPr>
        <w:t xml:space="preserve">The production system is deployed across two Azure regions within Australia to provide high availability and disaster recovery while maintaining strict data residency. All infrastructure is provisioned and managed via Infrastructure as Code (Terraform) with environment parity across development, staging, and production.</w:t>
      </w:r>
    </w:p>
    <w:p>
      <w:pPr>
        <w:pStyle w:val="Heading3"/>
        <w:spacing w:before="240" w:after="120"/>
      </w:pPr>
      <w:r>
        <w:rPr>
          <w:rFonts w:ascii="Arial" w:cs="Arial" w:eastAsia="Arial" w:hAnsi="Arial"/>
          <w:b/>
          <w:bCs/>
          <w:sz w:val="22"/>
          <w:szCs w:val="22"/>
        </w:rPr>
        <w:t xml:space="preserve">11.1.1 Azure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Primary Region</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Australia East (Sydney, NSW)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DR / Failover Region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Australia Southeast (Melbourne, VIC)</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Vendor/Test Environment</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Australia East (isolated resource group)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Data Residency Guarantee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data at rest and in transit remains within Australian borders at all times</w:t>
            </w:r>
          </w:p>
        </w:tc>
      </w:tr>
    </w:tbl>
    <w:p>
      <w:pPr>
        <w:pStyle w:val="Heading3"/>
        <w:spacing w:before="240" w:after="120"/>
      </w:pPr>
      <w:r>
        <w:rPr>
          <w:rFonts w:ascii="Arial" w:cs="Arial" w:eastAsia="Arial" w:hAnsi="Arial"/>
          <w:b/>
          <w:bCs/>
          <w:sz w:val="22"/>
          <w:szCs w:val="22"/>
        </w:rPr>
        <w:t xml:space="preserve">11.1.2 Core Azure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Azure Service &amp; Configuration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Web Application Hosting</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Azure App Service (Linux, P2v3 tier) running Next.js frontend and Node.js/FastAPI backend in separate App Service Plans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API Gateway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API Management (Standard v2) providing rate limiting, request transformation, IP filtering, and API versioning</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Application Database</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Azure Database for PostgreSQL Flexible Server (General Purpose, D4s_v3) with zone-redundant HA, automated backups, and read replicas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Caching / Session Store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Cache for Redis (Premium P1) with zone redundancy, persistence enabled, TLS-only connections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File / Blob Storage</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Azure Blob Storage (StorageV2, RA-GRS) with immutable containers for audit data and lifecycle management for uploaded files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Secret Management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Key Vault (Premium, HSM-backed) storing PRODA JKS keystores, database credentials, API keys, and encryption keys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Identity &amp; Access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Microsoft Entra ID (Azure AD) for admin SSO; App Service Managed Identity for inter-service authentication eliminating stored credentials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DNS &amp; CDN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Front Door (Premium) with WAF policies for DDoS mitigation, geo-filtering (Australia-only), TLS 1.3 termination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Monitoring &amp; Logging</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Azure Monitor, Application Insights, and Log Analytics Workspace with 90-day hot retention, 2-year archive to immutable Blob Storage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Container Orchestration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Container Apps (consumption plan) for background job processing: batch submission workers, PRODA token refresh, report generation</w:t>
            </w:r>
          </w:p>
        </w:tc>
      </w:tr>
    </w:tbl>
    <w:p>
      <w:pPr>
        <w:pStyle w:val="Heading3"/>
        <w:spacing w:before="240" w:after="120"/>
      </w:pPr>
      <w:r>
        <w:rPr>
          <w:rFonts w:ascii="Arial" w:cs="Arial" w:eastAsia="Arial" w:hAnsi="Arial"/>
          <w:b/>
          <w:bCs/>
          <w:sz w:val="22"/>
          <w:szCs w:val="22"/>
        </w:rPr>
        <w:t xml:space="preserve">11.1.3 Network Architecture</w:t>
      </w:r>
    </w:p>
    <w:p>
      <w:pPr>
        <w:spacing w:after="120"/>
      </w:pPr>
      <w:r>
        <w:rPr>
          <w:rFonts w:ascii="Arial" w:cs="Arial" w:eastAsia="Arial" w:hAnsi="Arial"/>
          <w:sz w:val="20"/>
          <w:szCs w:val="20"/>
        </w:rPr>
        <w:t xml:space="preserve">All Azure resources are deployed within a hub-and-spoke Virtual Network (VNet) topology with network segmentation enforced via Network Security Groups (NSGs) and Azure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Network Layer</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VNet CIDR</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10.0.0.0/16 with subnets for web (10.0.1.0/24), API (10.0.2.0/24), data (10.0.3.0/24), management (10.0.4.0/24)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App Service Integration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VNet-integrated via delegated subnets; no public internet egress except via Azure Firewall</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Database Access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Private Endpoints only; no public IP. PostgreSQL accessible only from API subnet via Private Link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Key Vault Access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Private Endpoint; Managed Identity RBAC; no access key authentication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Storage Access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Private Endpoints for Blob; firewall rules restricting to VNet subnets only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Outbound to AIR API</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Firewall with explicit allow rules for Services Australia API endpoints only; all other outbound denied</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Outbound to PRODA</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Azure Firewall rule for PRODA authentication endpoints; certificate-based mTLS via JKS keystore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Bastion / Admin Access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Bastion for emergency SSH; no direct RDP/SSH exposure; JIT access via Microsoft Defender for Cloud</w:t>
            </w:r>
          </w:p>
        </w:tc>
      </w:tr>
    </w:tbl>
    <w:p>
      <w:pPr>
        <w:pStyle w:val="Heading3"/>
        <w:spacing w:before="240" w:after="120"/>
      </w:pPr>
      <w:r>
        <w:rPr>
          <w:rFonts w:ascii="Arial" w:cs="Arial" w:eastAsia="Arial" w:hAnsi="Arial"/>
          <w:b/>
          <w:bCs/>
          <w:sz w:val="22"/>
          <w:szCs w:val="22"/>
        </w:rPr>
        <w:t xml:space="preserve">11.1.4 Environment Separation</w:t>
      </w:r>
    </w:p>
    <w:p>
      <w:pPr>
        <w:spacing w:after="120"/>
      </w:pPr>
      <w:r>
        <w:rPr>
          <w:rFonts w:ascii="Arial" w:cs="Arial" w:eastAsia="Arial" w:hAnsi="Arial"/>
          <w:sz w:val="20"/>
          <w:szCs w:val="20"/>
        </w:rPr>
        <w:t xml:space="preserve">The system maintains strict separation between environments to comply with NOI certification requirements and prevent test data from mixing with production health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Environment</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Development</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Separate Azure subscription; synthetic data only; connects to Services Australia Vendor (test) endpoints; developers have contributor access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Staging / UAT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 resource group in production subscription; uses Services Australia Vendor endpoints; mirrors production configuration; restricted access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Production</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Dedicated resource group; connects to Services Australia Production endpoints; Org Admin and Super Admin access only; all changes via CI/CD pipeline with approval gates</w:t>
            </w:r>
          </w:p>
        </w:tc>
      </w:tr>
    </w:tbl>
    <w:p>
      <w:pPr>
        <w:pStyle w:val="Heading2"/>
        <w:spacing w:before="280" w:after="160"/>
      </w:pPr>
      <w:r>
        <w:rPr>
          <w:rFonts w:ascii="Arial" w:cs="Arial" w:eastAsia="Arial" w:hAnsi="Arial"/>
          <w:b/>
          <w:bCs/>
          <w:sz w:val="26"/>
          <w:szCs w:val="26"/>
        </w:rPr>
        <w:t xml:space="preserve">11.2 Data Residency &amp; Sovereignty</w:t>
      </w:r>
    </w:p>
    <w:p>
      <w:pPr>
        <w:spacing w:after="120"/>
      </w:pPr>
      <w:r>
        <w:rPr>
          <w:rFonts w:ascii="Arial" w:cs="Arial" w:eastAsia="Arial" w:hAnsi="Arial"/>
          <w:sz w:val="20"/>
          <w:szCs w:val="20"/>
        </w:rPr>
        <w:t xml:space="preserve">Given the sensitive nature of health data and the regulatory obligations under Australian law, all data processed by this system must remain within Australian territory at all times. This applies to data at rest, in transit, and during processing.</w:t>
      </w:r>
    </w:p>
    <w:p>
      <w:pPr>
        <w:pStyle w:val="Heading3"/>
        <w:spacing w:before="240" w:after="120"/>
      </w:pPr>
      <w:r>
        <w:rPr>
          <w:rFonts w:ascii="Arial" w:cs="Arial" w:eastAsia="Arial" w:hAnsi="Arial"/>
          <w:b/>
          <w:bCs/>
          <w:sz w:val="22"/>
          <w:szCs w:val="22"/>
        </w:rPr>
        <w:t xml:space="preserve">11.2.1 Data Residency Controls</w:t>
      </w:r>
    </w:p>
    <w:p>
      <w:pPr>
        <w:pStyle w:val="ListParagraph"/>
        <w:numPr>
          <w:ilvl w:val="0"/>
          <w:numId w:val="2"/>
        </w:numPr>
        <w:spacing w:after="60"/>
      </w:pPr>
      <w:r>
        <w:rPr>
          <w:rFonts w:ascii="Arial" w:cs="Arial" w:eastAsia="Arial" w:hAnsi="Arial"/>
          <w:sz w:val="20"/>
          <w:szCs w:val="20"/>
        </w:rPr>
        <w:t xml:space="preserve">All Azure resources are provisioned exclusively in Australia East and Australia Southeast regions</w:t>
      </w:r>
    </w:p>
    <w:p>
      <w:pPr>
        <w:pStyle w:val="ListParagraph"/>
        <w:numPr>
          <w:ilvl w:val="0"/>
          <w:numId w:val="2"/>
        </w:numPr>
        <w:spacing w:after="60"/>
      </w:pPr>
      <w:r>
        <w:rPr>
          <w:rFonts w:ascii="Arial" w:cs="Arial" w:eastAsia="Arial" w:hAnsi="Arial"/>
          <w:sz w:val="20"/>
          <w:szCs w:val="20"/>
        </w:rPr>
        <w:t xml:space="preserve">Azure Policy assignments enforce region restrictions at the subscription level, preventing accidental deployment to non-Australian regions</w:t>
      </w:r>
    </w:p>
    <w:p>
      <w:pPr>
        <w:pStyle w:val="ListParagraph"/>
        <w:numPr>
          <w:ilvl w:val="0"/>
          <w:numId w:val="2"/>
        </w:numPr>
        <w:spacing w:after="60"/>
      </w:pPr>
      <w:r>
        <w:rPr>
          <w:rFonts w:ascii="Arial" w:cs="Arial" w:eastAsia="Arial" w:hAnsi="Arial"/>
          <w:sz w:val="20"/>
          <w:szCs w:val="20"/>
        </w:rPr>
        <w:t xml:space="preserve">Geo-redundant storage (RA-GRS) replicates only between Sydney and Melbourne; cross-region replication to non-Australian regions is explicitly blocked</w:t>
      </w:r>
    </w:p>
    <w:p>
      <w:pPr>
        <w:pStyle w:val="ListParagraph"/>
        <w:numPr>
          <w:ilvl w:val="0"/>
          <w:numId w:val="2"/>
        </w:numPr>
        <w:spacing w:after="60"/>
      </w:pPr>
      <w:r>
        <w:rPr>
          <w:rFonts w:ascii="Arial" w:cs="Arial" w:eastAsia="Arial" w:hAnsi="Arial"/>
          <w:sz w:val="20"/>
          <w:szCs w:val="20"/>
        </w:rPr>
        <w:t xml:space="preserve">Azure Front Door geo-filtering restricts all traffic to Australian-origin IP addresses (configurable for authorised overseas access)</w:t>
      </w:r>
    </w:p>
    <w:p>
      <w:pPr>
        <w:pStyle w:val="ListParagraph"/>
        <w:numPr>
          <w:ilvl w:val="0"/>
          <w:numId w:val="2"/>
        </w:numPr>
        <w:spacing w:after="60"/>
      </w:pPr>
      <w:r>
        <w:rPr>
          <w:rFonts w:ascii="Arial" w:cs="Arial" w:eastAsia="Arial" w:hAnsi="Arial"/>
          <w:sz w:val="20"/>
          <w:szCs w:val="20"/>
        </w:rPr>
        <w:t xml:space="preserve">No data is transmitted to or processed in Azure regions outside Australia</w:t>
      </w:r>
    </w:p>
    <w:p>
      <w:pPr>
        <w:pStyle w:val="ListParagraph"/>
        <w:numPr>
          <w:ilvl w:val="0"/>
          <w:numId w:val="2"/>
        </w:numPr>
        <w:spacing w:after="60"/>
      </w:pPr>
      <w:r>
        <w:rPr>
          <w:rFonts w:ascii="Arial" w:cs="Arial" w:eastAsia="Arial" w:hAnsi="Arial"/>
          <w:sz w:val="20"/>
          <w:szCs w:val="20"/>
        </w:rPr>
        <w:t xml:space="preserve">Backup and disaster recovery storage is restricted to Australian regions</w:t>
      </w:r>
    </w:p>
    <w:p>
      <w:pPr>
        <w:pStyle w:val="Heading3"/>
        <w:spacing w:before="240" w:after="120"/>
      </w:pPr>
      <w:r>
        <w:rPr>
          <w:rFonts w:ascii="Arial" w:cs="Arial" w:eastAsia="Arial" w:hAnsi="Arial"/>
          <w:b/>
          <w:bCs/>
          <w:sz w:val="22"/>
          <w:szCs w:val="22"/>
        </w:rPr>
        <w:t xml:space="preserve">11.2.2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Classification</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Data Types &amp; Handling</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PROTECTED Health</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Medicare numbers, IHI numbers, vaccination records, dates of birth, patient names, ATSI indicators. Encrypted at rest (AES-256) and in transit (TLS 1.3). Access logged. Retention per healthcare records legislation.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SENSITIVE Credentials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PRODA JKS keystores, device certificates, OAuth tokens, API keys. Stored exclusively in Azure Key Vault (HSM-backed). Never logged, never written to disk outside Key Vault.</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CONFIDENTIAL Business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Organisation details, ABNs, provider numbers, user accounts, submission metadata. Encrypted at rest. Access controlled by RBAC.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INTERNAL Operational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logs, performance metrics, error traces. Scrubbed of PII/PHI before ingestion into Log Analytics. 90-day hot retention.</w:t>
            </w:r>
          </w:p>
        </w:tc>
      </w:tr>
    </w:tbl>
    <w:p>
      <w:pPr>
        <w:pStyle w:val="Heading3"/>
        <w:spacing w:before="240" w:after="120"/>
      </w:pPr>
      <w:r>
        <w:rPr>
          <w:rFonts w:ascii="Arial" w:cs="Arial" w:eastAsia="Arial" w:hAnsi="Arial"/>
          <w:b/>
          <w:bCs/>
          <w:sz w:val="22"/>
          <w:szCs w:val="22"/>
        </w:rPr>
        <w:t xml:space="preserve">11.2.3 Data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Retention &amp; Disposal</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Vaccination submission records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7 years from submission date (aligned with healthcare records retention requirements), then automated purge with audit trail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Uploaded Excel 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days in hot storage, then moved to cool storage for remainder of retention period; deleted after 7 years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Audit logs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7 years immutable retention in Blob Storage with legal hold capability; WORM (Write Once Read Many) policy enforced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User session data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Purged 24 hours after session expiry</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PRODA tokens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In-memory only during validity period; never persisted to disk or database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Application logs (PII-scrubbed)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days hot in Log Analytics; archived to immutable Blob Storage for 2 years; then purged</w:t>
            </w:r>
          </w:p>
        </w:tc>
      </w:tr>
    </w:tbl>
    <w:p>
      <w:pPr>
        <w:pStyle w:val="Heading2"/>
        <w:spacing w:before="280" w:after="160"/>
      </w:pPr>
      <w:r>
        <w:rPr>
          <w:rFonts w:ascii="Arial" w:cs="Arial" w:eastAsia="Arial" w:hAnsi="Arial"/>
          <w:b/>
          <w:bCs/>
          <w:sz w:val="26"/>
          <w:szCs w:val="26"/>
        </w:rPr>
        <w:t xml:space="preserve">11.3 Encryption Architecture</w:t>
      </w:r>
    </w:p>
    <w:p>
      <w:pPr>
        <w:spacing w:after="120"/>
      </w:pPr>
      <w:r>
        <w:rPr>
          <w:rFonts w:ascii="Arial" w:cs="Arial" w:eastAsia="Arial" w:hAnsi="Arial"/>
          <w:sz w:val="20"/>
          <w:szCs w:val="20"/>
        </w:rPr>
        <w:t xml:space="preserve">Encryption is applied comprehensively across all layers of the system using industry-standard algorithms. No health data exists in plaintext at rest at any point in the architecture.</w:t>
      </w:r>
    </w:p>
    <w:p>
      <w:pPr>
        <w:pStyle w:val="Heading3"/>
        <w:spacing w:before="240" w:after="120"/>
      </w:pPr>
      <w:r>
        <w:rPr>
          <w:rFonts w:ascii="Arial" w:cs="Arial" w:eastAsia="Arial" w:hAnsi="Arial"/>
          <w:b/>
          <w:bCs/>
          <w:sz w:val="22"/>
          <w:szCs w:val="22"/>
        </w:rPr>
        <w:t xml:space="preserve">11.3.1 Encryption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Encryption Method</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Azure Database for PostgreSQL</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Transparent Data Encryption (TDE) with customer-managed key (CMK) stored in Azure Key Vault. AES-256 encryption. Key auto-rotation every 90 days.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Azure Blob Storage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 Service Encryption (SSE) with customer-managed key (CMK) from Key Vault. AES-256 for all blobs including backups.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Azure Cache for Redis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Redis AOF persistence encrypted at rest using platform-managed keys; data in memory protected by VNet isolation and TLS-only access.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PRODA JKS Keystores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Stored as Key Vault Secrets (HSM-protected). The JKS file itself contains encrypted private keys. Double encryption: JKS encryption + Key Vault envelope encryption.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Database Backups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Automated backups inherit TDE encryption. Geo-redundant backup copies use the same CMK. Backup retention: 35 days.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Audit Log Archives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Blob Storage with SSE-CMK. Immutable storage with legal hold prevents modification or deletion.</w:t>
            </w:r>
          </w:p>
        </w:tc>
      </w:tr>
    </w:tbl>
    <w:p>
      <w:pPr>
        <w:pStyle w:val="Heading3"/>
        <w:spacing w:before="240" w:after="120"/>
      </w:pPr>
      <w:r>
        <w:rPr>
          <w:rFonts w:ascii="Arial" w:cs="Arial" w:eastAsia="Arial" w:hAnsi="Arial"/>
          <w:b/>
          <w:bCs/>
          <w:sz w:val="22"/>
          <w:szCs w:val="22"/>
        </w:rPr>
        <w:t xml:space="preserve">11.3.2 Encryption in Transit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Connection</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Protocol &amp; Configuration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User Browser to Application</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TLS 1.3 enforced via Azure Front Door. HSTS enabled with 1-year max-age. Certificate managed via Azure-managed certificates with auto-renewal.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Application to PostgreSQL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1.2+ enforced (sslmode=verify-full). Server certificate validated against Azure CA. Connection string credentials sourced from Key Vault.</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Application to Redis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TLS 1.2+ only (non-TLS port disabled). Connection authenticated via access key from Key Vault.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Application to AIR API</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1.2+ as required by Services Australia. PRODA JWT bearer token in Authorization header. X-IBM-Client-Id header for API gateway authentication.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Application to PRODA</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mTLS using JKS keystore certificates. TLS 1.2+ with certificate-based client authentication for B2B token acquisition.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Inter-service (within VNet)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inter-service communication over Private Endpoints within the VNet. TLS 1.2+ enforced even within the private network.</w:t>
            </w:r>
          </w:p>
        </w:tc>
      </w:tr>
    </w:tbl>
    <w:p>
      <w:pPr>
        <w:pStyle w:val="Heading3"/>
        <w:spacing w:before="240" w:after="120"/>
      </w:pPr>
      <w:r>
        <w:rPr>
          <w:rFonts w:ascii="Arial" w:cs="Arial" w:eastAsia="Arial" w:hAnsi="Arial"/>
          <w:b/>
          <w:bCs/>
          <w:sz w:val="22"/>
          <w:szCs w:val="22"/>
        </w:rPr>
        <w:t xml:space="preserve">11.3.3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Key Vault Tier</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Premium (HSM-backed) for hardware-level key protection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Key Types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RSA 2048-bit for CMK encryption; EC P-256 for application-level signing</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Key Rotation</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Automated 90-day rotation for CMKs; application keys rotated via Key Vault auto-rotation policy with zero-downtime rollover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Access Policy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RBAC-only (no vault access policies). Managed Identities for services; PIM-elevated for human operators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Soft Delete &amp; Purge Protection</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Enabled with 90-day retention; purge protection on to prevent accidental permanent deletion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Backup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Key Vault backup to secondary region via Azure Backup; restore tested quarterly</w:t>
            </w:r>
          </w:p>
        </w:tc>
      </w:tr>
    </w:tbl>
    <w:p>
      <w:pPr>
        <w:pStyle w:val="Heading2"/>
        <w:spacing w:before="280" w:after="160"/>
      </w:pPr>
      <w:r>
        <w:rPr>
          <w:rFonts w:ascii="Arial" w:cs="Arial" w:eastAsia="Arial" w:hAnsi="Arial"/>
          <w:b/>
          <w:bCs/>
          <w:sz w:val="26"/>
          <w:szCs w:val="26"/>
        </w:rPr>
        <w:t xml:space="preserve">11.4 Compliance &amp; Regulatory Framework</w:t>
      </w:r>
    </w:p>
    <w:p>
      <w:pPr>
        <w:spacing w:after="120"/>
      </w:pPr>
      <w:r>
        <w:rPr>
          <w:rFonts w:ascii="Arial" w:cs="Arial" w:eastAsia="Arial" w:hAnsi="Arial"/>
          <w:sz w:val="20"/>
          <w:szCs w:val="20"/>
        </w:rPr>
        <w:t xml:space="preserve">The system operates within the regulatory framework governing health data in Australia and the specific requirements imposed by Services Australia for AIR-integrated software. This section maps compliance obligations to technical controls.</w:t>
      </w:r>
    </w:p>
    <w:p>
      <w:pPr>
        <w:pStyle w:val="Heading3"/>
        <w:spacing w:before="240" w:after="120"/>
      </w:pPr>
      <w:r>
        <w:rPr>
          <w:rFonts w:ascii="Arial" w:cs="Arial" w:eastAsia="Arial" w:hAnsi="Arial"/>
          <w:b/>
          <w:bCs/>
          <w:sz w:val="22"/>
          <w:szCs w:val="22"/>
        </w:rPr>
        <w:t xml:space="preserve">11.4.1 Legislative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Legislation / Standard</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System Controls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Privacy Act 1988 (Cth) &amp; Australian Privacy Principles (APPs)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Data minimisation (collect only required fields per AIR TECH.SIS specs). Purpose limitation (data used only for AIR submissions). Access control via RBAC. Audit logging of all access to personal information. Breach notification procedures aligned with OAIC requirements. Data residency within Australia.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My Health Records Act 2012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While the AIR is separate from My Health Record, IHI numbers are handled per MHR Act requirements. IHI numbers encrypted at rest and in transit. Access to IHI data logged and auditable. IHI validation per AIR TECH.SIS.AIR.02 specifications.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Australian Immunisation Register Act 2015</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Records submitted via approved Record Encounter API. Provider number validation ensures only authorised providers submit. Vaccine codes sourced from AIR Reference Data API. Error messages displayed verbatim as required by Services Australia.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Healthcare Identifiers Act 2010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IHI numbers stored encrypted. Access restricted to authorised roles only. No IHI numbers in application logs. IHI format validation without Luhn check (per AIR API behaviour).</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Notifiable Data Breaches (NDB) Scheme</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Automated breach detection via Azure Sentinel. Incident response playbook with &lt;72 hour notification timeline. Breach impact assessment procedures. Communication templates for OAIC notification.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IRAP / ISM (Info Security Manual)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designed to align with PROTECTED-level controls from the Australian Government Information Security Manual. Azure Australia regions are IRAP-assessed. Network segmentation, encryption, and access controls meet ISM guidelines.</w:t>
            </w:r>
          </w:p>
        </w:tc>
      </w:tr>
    </w:tbl>
    <w:p>
      <w:pPr>
        <w:pStyle w:val="Heading3"/>
        <w:spacing w:before="240" w:after="120"/>
      </w:pPr>
      <w:r>
        <w:rPr>
          <w:rFonts w:ascii="Arial" w:cs="Arial" w:eastAsia="Arial" w:hAnsi="Arial"/>
          <w:b/>
          <w:bCs/>
          <w:sz w:val="22"/>
          <w:szCs w:val="22"/>
        </w:rPr>
        <w:t xml:space="preserve">11.4.2 Services Australia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NOI Certification</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System must pass Notice of Integration testing before production access. Vendor environment used for all development and certification testing. Production credentials issued only after NOI approval.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PRODA B2B Security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JKS keystores stored in HSM-backed Key Vault. Device certificates never exposed outside Key Vault. Token acquisition uses Managed Identity to retrieve JKS from Key Vault at runtime. Tokens held in-memory only.</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Error Message Display</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Per AIR Record Encounter V6.0.7: error messages displayed to end users exactly as supplied by the agency, not truncated, transformed, or changed in any way. Application stores raw error responses.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Minor ID Management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Correct Use of Minor ID V1.1: each healthcare location assigned a unique Minor ID by the software developer. Minor ID recorded in PRODA linking process. Used as dhs-auditId in all API requests. Tracked per-organisation in the system database.</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Interface Agreement</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Signed via Health Systems Developer Portal. Licensed Material used only for intended integration purposes. Updates to TECH.SIS specifications monitored and applied within release windows.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Audit Trail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submissions logged with timestamp, user ID, organisation, request/response payloads (with PII masked in logs), AIR status codes, and correlation IDs for tracing.</w:t>
            </w:r>
          </w:p>
        </w:tc>
      </w:tr>
    </w:tbl>
    <w:p>
      <w:pPr>
        <w:pStyle w:val="Heading3"/>
        <w:spacing w:before="240" w:after="120"/>
      </w:pPr>
      <w:r>
        <w:rPr>
          <w:rFonts w:ascii="Arial" w:cs="Arial" w:eastAsia="Arial" w:hAnsi="Arial"/>
          <w:b/>
          <w:bCs/>
          <w:sz w:val="22"/>
          <w:szCs w:val="22"/>
        </w:rPr>
        <w:t xml:space="preserve">11.4.3 Security Monitoring &amp;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SIEM</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Microsoft Sentinel connected to all Azure resources. Custom detection rules for: failed PRODA auth attempts, unusual submission volumes, access from unexpected IPs, bulk data export attempts.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Vulnerability Management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Microsoft Defender for Cloud (CSPM + CWP). Weekly vulnerability scans of all compute resources. Dependency scanning via Dependabot/Snyk in CI/CD pipeline.</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Penetration Testing</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Annual third-party penetration test. Quarterly automated DAST scans via OWASP ZAP. Findings remediated within SLA: Critical 24hrs, High 7 days, Medium 30 days.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Incident Response Plan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Documented IRP with roles and escalation paths. Integration with OAIC NDB requirements. Simulated breach exercises conducted bi-annually. Post-incident review and lessons learned.</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Backup &amp; Recovery</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RPO: 1 hour (continuous WAL archiving for PostgreSQL). RTO: 4 hours (automated failover to DR region). Backups tested monthly with documented restore procedures.</w:t>
            </w:r>
          </w:p>
        </w:tc>
      </w:tr>
    </w:tbl>
    <w:p>
      <w:pPr>
        <w:pStyle w:val="Heading2"/>
        <w:spacing w:before="280" w:after="160"/>
      </w:pPr>
      <w:r>
        <w:rPr>
          <w:rFonts w:ascii="Arial" w:cs="Arial" w:eastAsia="Arial" w:hAnsi="Arial"/>
          <w:b/>
          <w:bCs/>
          <w:sz w:val="26"/>
          <w:szCs w:val="26"/>
        </w:rPr>
        <w:t xml:space="preserve">11.5 High Availability &amp; Disaster Recovery</w:t>
      </w:r>
    </w:p>
    <w:p>
      <w:pPr>
        <w:pStyle w:val="Heading3"/>
        <w:spacing w:before="240" w:after="120"/>
      </w:pPr>
      <w:r>
        <w:rPr>
          <w:rFonts w:ascii="Arial" w:cs="Arial" w:eastAsia="Arial" w:hAnsi="Arial"/>
          <w:b/>
          <w:bCs/>
          <w:sz w:val="22"/>
          <w:szCs w:val="22"/>
        </w:rPr>
        <w:t xml:space="preserve">11.5.1 Availability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Application Uptime SLA</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99.95% (excludes planned maintenance windows)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Database Availability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99.99% with zone-redundant HA</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RPO (Recovery Point Objective)</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1 hour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RTO (Recovery Time Objective)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hours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Planned Maintenance Window</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Sunday 02:00-06:00 AEST; users notified 48 hours in advance</w:t>
            </w:r>
          </w:p>
        </w:tc>
      </w:tr>
    </w:tbl>
    <w:p>
      <w:pPr>
        <w:pStyle w:val="Heading3"/>
        <w:spacing w:before="240" w:after="120"/>
      </w:pPr>
      <w:r>
        <w:rPr>
          <w:rFonts w:ascii="Arial" w:cs="Arial" w:eastAsia="Arial" w:hAnsi="Arial"/>
          <w:b/>
          <w:bCs/>
          <w:sz w:val="22"/>
          <w:szCs w:val="22"/>
        </w:rPr>
        <w:t xml:space="preserve">11.5.2 DR Architecture</w:t>
      </w:r>
    </w:p>
    <w:p>
      <w:pPr>
        <w:pStyle w:val="ListParagraph"/>
        <w:numPr>
          <w:ilvl w:val="0"/>
          <w:numId w:val="2"/>
        </w:numPr>
        <w:spacing w:after="60"/>
      </w:pPr>
      <w:r>
        <w:rPr>
          <w:rFonts w:ascii="Arial" w:cs="Arial" w:eastAsia="Arial" w:hAnsi="Arial"/>
          <w:sz w:val="20"/>
          <w:szCs w:val="20"/>
        </w:rPr>
        <w:t xml:space="preserve">Active-Passive configuration: Primary in Australia East, standby in Australia Southeast</w:t>
      </w:r>
    </w:p>
    <w:p>
      <w:pPr>
        <w:pStyle w:val="ListParagraph"/>
        <w:numPr>
          <w:ilvl w:val="0"/>
          <w:numId w:val="2"/>
        </w:numPr>
        <w:spacing w:after="60"/>
      </w:pPr>
      <w:r>
        <w:rPr>
          <w:rFonts w:ascii="Arial" w:cs="Arial" w:eastAsia="Arial" w:hAnsi="Arial"/>
          <w:sz w:val="20"/>
          <w:szCs w:val="20"/>
        </w:rPr>
        <w:t xml:space="preserve">PostgreSQL read replica in DR region with asynchronous replication (sub-minute lag)</w:t>
      </w:r>
    </w:p>
    <w:p>
      <w:pPr>
        <w:pStyle w:val="ListParagraph"/>
        <w:numPr>
          <w:ilvl w:val="0"/>
          <w:numId w:val="2"/>
        </w:numPr>
        <w:spacing w:after="60"/>
      </w:pPr>
      <w:r>
        <w:rPr>
          <w:rFonts w:ascii="Arial" w:cs="Arial" w:eastAsia="Arial" w:hAnsi="Arial"/>
          <w:sz w:val="20"/>
          <w:szCs w:val="20"/>
        </w:rPr>
        <w:t xml:space="preserve">Blob Storage with RA-GRS provides automatic read-only access to replicated data in DR region</w:t>
      </w:r>
    </w:p>
    <w:p>
      <w:pPr>
        <w:pStyle w:val="ListParagraph"/>
        <w:numPr>
          <w:ilvl w:val="0"/>
          <w:numId w:val="2"/>
        </w:numPr>
        <w:spacing w:after="60"/>
      </w:pPr>
      <w:r>
        <w:rPr>
          <w:rFonts w:ascii="Arial" w:cs="Arial" w:eastAsia="Arial" w:hAnsi="Arial"/>
          <w:sz w:val="20"/>
          <w:szCs w:val="20"/>
        </w:rPr>
        <w:t xml:space="preserve">Azure Front Door health probes enable automatic traffic failover if primary region becomes unavailable</w:t>
      </w:r>
    </w:p>
    <w:p>
      <w:pPr>
        <w:pStyle w:val="ListParagraph"/>
        <w:numPr>
          <w:ilvl w:val="0"/>
          <w:numId w:val="2"/>
        </w:numPr>
        <w:spacing w:after="60"/>
      </w:pPr>
      <w:r>
        <w:rPr>
          <w:rFonts w:ascii="Arial" w:cs="Arial" w:eastAsia="Arial" w:hAnsi="Arial"/>
          <w:sz w:val="20"/>
          <w:szCs w:val="20"/>
        </w:rPr>
        <w:t xml:space="preserve">Redis cache reconstructed from PostgreSQL in DR scenario (session re-authentication required)</w:t>
      </w:r>
    </w:p>
    <w:p>
      <w:pPr>
        <w:pStyle w:val="ListParagraph"/>
        <w:numPr>
          <w:ilvl w:val="0"/>
          <w:numId w:val="2"/>
        </w:numPr>
        <w:spacing w:after="60"/>
      </w:pPr>
      <w:r>
        <w:rPr>
          <w:rFonts w:ascii="Arial" w:cs="Arial" w:eastAsia="Arial" w:hAnsi="Arial"/>
          <w:sz w:val="20"/>
          <w:szCs w:val="20"/>
        </w:rPr>
        <w:t xml:space="preserve">Terraform IaC enables full environment reconstruction in DR region within RTO</w:t>
      </w:r>
    </w:p>
    <w:p>
      <w:pPr>
        <w:pStyle w:val="ListParagraph"/>
        <w:numPr>
          <w:ilvl w:val="0"/>
          <w:numId w:val="2"/>
        </w:numPr>
        <w:spacing w:after="60"/>
      </w:pPr>
      <w:r>
        <w:rPr>
          <w:rFonts w:ascii="Arial" w:cs="Arial" w:eastAsia="Arial" w:hAnsi="Arial"/>
          <w:sz w:val="20"/>
          <w:szCs w:val="20"/>
        </w:rPr>
        <w:t xml:space="preserve">DR failover tested quarterly with documented runbook</w:t>
      </w:r>
    </w:p>
    <w:p>
      <w:pPr>
        <w:pStyle w:val="Heading2"/>
        <w:spacing w:before="280" w:after="160"/>
      </w:pPr>
      <w:r>
        <w:rPr>
          <w:rFonts w:ascii="Arial" w:cs="Arial" w:eastAsia="Arial" w:hAnsi="Arial"/>
          <w:b/>
          <w:bCs/>
          <w:sz w:val="26"/>
          <w:szCs w:val="26"/>
        </w:rPr>
        <w:t xml:space="preserve">11.6 CI/CD Pipeline &amp; Deployment</w:t>
      </w:r>
    </w:p>
    <w:p>
      <w:pPr>
        <w:spacing w:after="120"/>
      </w:pPr>
      <w:r>
        <w:rPr>
          <w:rFonts w:ascii="Arial" w:cs="Arial" w:eastAsia="Arial" w:hAnsi="Arial"/>
          <w:sz w:val="20"/>
          <w:szCs w:val="20"/>
        </w:rPr>
        <w:t xml:space="preserve">All deployments follow a controlled pipeline with mandatory gates to maintain the integrity of the system and compliance with NOI certification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Pipeline Stage</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Controls</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Source Control</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Azure DevOps Repos (or GitHub Enterprise). Branch protection: PRs require 2 approvals. Signed commits enforced.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Build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build on PR merge. Unit tests (&gt;80% coverage gate). SAST scanning (SonarQube). Dependency vulnerability scan. Docker image build and push to Azure Container Registry.</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Staging Deployment</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Automated deployment to staging/UAT. Integration tests against Services Australia Vendor environment. Accessibility testing (WCAG 2.1 AA). Performance testing (k6 load tests).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Production Deployment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approval gate (Org Admin + Tech Lead). Blue-green deployment via Azure App Service deployment slots. Health check validation before traffic swap. Automatic rollback on health check failure.</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Post-Deployment</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Smoke tests against production. Monitor error rates for 30 minutes. Deployment record added to audit log. Rollback procedure documented and tested.</w:t>
            </w:r>
          </w:p>
        </w:tc>
      </w:tr>
    </w:tbl>
    <w:p>
      <w:pPr>
        <w:pStyle w:val="Heading2"/>
        <w:spacing w:before="280" w:after="160"/>
      </w:pPr>
      <w:r>
        <w:rPr>
          <w:rFonts w:ascii="Arial" w:cs="Arial" w:eastAsia="Arial" w:hAnsi="Arial"/>
          <w:b/>
          <w:bCs/>
          <w:sz w:val="26"/>
          <w:szCs w:val="26"/>
        </w:rPr>
        <w:t xml:space="preserve">11.7 Estimated Azure Monthly Costs (Production)</w:t>
      </w:r>
    </w:p>
    <w:p>
      <w:pPr>
        <w:spacing w:after="120"/>
      </w:pPr>
      <w:r>
        <w:rPr>
          <w:rFonts w:ascii="Arial" w:cs="Arial" w:eastAsia="Arial" w:hAnsi="Arial"/>
          <w:sz w:val="20"/>
          <w:szCs w:val="20"/>
        </w:rPr>
        <w:t xml:space="preserve">Indicative pricing based on Azure Australia East region pricing as of February 2026. Actual costs will vary based on usage patterns and reserved instance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Estimated Monthly Cost (AUD)</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App Service (2x P2v3)</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$550 - $700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PostgreSQL Flexible Server (D4s_v3, HA)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$600 - $800</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Azure Cache for Redis (P1)</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$350 - $450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Blob Storage (100GB, RA-GRS)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 $25</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Key Vault (Premium, HSM)</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$80 - $120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Azure Front Door (Premium + WAF)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$250 - $350</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API Management (Standard v2)</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$350 - $450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Azure Monitor + Sentinel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 $350</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Container Apps (background jobs)</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$50 - $100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Networking (VNet, Firewall, Bastion)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 $450</w:t>
            </w:r>
          </w:p>
        </w:tc>
      </w:tr>
      <w:tr>
        <w:tc>
          <w:tcPr>
            <w:tcW w:type="dxa" w:w="320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b/>
                <w:bCs/>
                <w:sz w:val="20"/>
                <w:szCs w:val="20"/>
              </w:rPr>
              <w:t xml:space="preserve">Total Estimated Monthly</w:t>
            </w:r>
          </w:p>
        </w:tc>
        <w:tc>
          <w:tcPr>
            <w:tcW w:type="dxa" w:w="6160"/>
            <w:tcBorders>
              <w:top w:val="single" w:color="CCCCCC" w:sz="1"/>
              <w:left w:val="single" w:color="CCCCCC" w:sz="1"/>
              <w:bottom w:val="single" w:color="CCCCCC" w:sz="1"/>
              <w:right w:val="single" w:color="CCCCCC" w:sz="1"/>
            </w:tcBorders>
            <w:shd w:fill="F5F8FC" w:color="auto" w:val="clear"/>
            <w:tcMar>
              <w:top w:type="dxa" w:w="60"/>
              <w:left w:type="dxa" w:w="100"/>
              <w:bottom w:type="dxa" w:w="60"/>
              <w:right w:type="dxa" w:w="100"/>
            </w:tcMar>
          </w:tcPr>
          <w:p>
            <w:r>
              <w:rPr>
                <w:rFonts w:ascii="Arial" w:cs="Arial" w:eastAsia="Arial" w:hAnsi="Arial"/>
                <w:sz w:val="20"/>
                <w:szCs w:val="20"/>
              </w:rPr>
              <w:t xml:space="preserve">$2,745 - $3,795</w:t>
            </w:r>
          </w:p>
        </w:tc>
      </w:tr>
    </w:tbl>
    <w:p>
      <w:pPr>
        <w:spacing w:after="120"/>
      </w:pPr>
      <w:r>
        <w:rPr>
          <w:rFonts w:ascii="Arial" w:cs="Arial" w:eastAsia="Arial" w:hAnsi="Arial"/>
          <w:i/>
          <w:iCs/>
          <w:sz w:val="20"/>
          <w:szCs w:val="20"/>
        </w:rPr>
        <w:t xml:space="preserve">Note: Costs can be reduced by 30-50% with 1-year or 3-year reserved instance commitments for compute and database resources.</w:t>
      </w:r>
    </w:p>
    <w:p>
      <w:r>
        <w:br w:type="page"/>
      </w:r>
    </w:p>
    <w:p>
      <w:pPr>
        <w:spacing w:before="600"/>
        <w:jc w:val="center"/>
      </w:pPr>
      <w:r>
        <w:rPr>
          <w:rFonts w:ascii="Arial" w:cs="Arial" w:eastAsia="Arial" w:hAnsi="Arial"/>
          <w:i/>
          <w:iCs/>
          <w:color w:val="999999"/>
          <w:sz w:val="22"/>
          <w:szCs w:val="22"/>
        </w:rPr>
        <w:t xml:space="preserve">--- End of Document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AIR Bulk Vaccination Upload System - Technical Specification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7"/>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A6F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2026-02-06T03:52:04.828Z</dcterms:created>
  <dcterms:modified xsi:type="dcterms:W3CDTF">2026-02-06T03:52:04.829Z</dcterms:modified>
</cp:coreProperties>
</file>

<file path=docProps/custom.xml><?xml version="1.0" encoding="utf-8"?>
<Properties xmlns="http://schemas.openxmlformats.org/officeDocument/2006/custom-properties" xmlns:vt="http://schemas.openxmlformats.org/officeDocument/2006/docPropsVTypes"/>
</file>