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D6B3A"/>
          <w:sz w:val="36"/>
          <w:szCs w:val="36"/>
        </w:rPr>
        <w:t xml:space="preserve">METODOLOGÍA, RESULTADOS Y DISCUSIÓN</w:t>
      </w:r>
    </w:p>
    <w:p>
      <w:pPr>
        <w:spacing w:after="100" w:before="0"/>
        <w:jc w:val="center"/>
      </w:pPr>
      <w:r>
        <w:rPr>
          <w:rFonts w:ascii="Arial" w:cs="Arial" w:eastAsia="Arial" w:hAnsi="Arial"/>
          <w:b/>
          <w:bCs/>
          <w:i/>
          <w:iCs/>
          <w:sz w:val="28"/>
          <w:szCs w:val="28"/>
        </w:rPr>
        <w:t xml:space="preserve">Estudio Ecológico de Guaridas Artificiales y Naturales</w:t>
      </w:r>
    </w:p>
    <w:p>
      <w:pPr>
        <w:spacing w:after="80" w:before="0"/>
        <w:jc w:val="center"/>
      </w:pPr>
      <w:r>
        <w:rPr>
          <w:rFonts w:ascii="Arial" w:cs="Arial" w:eastAsia="Arial" w:hAnsi="Arial"/>
          <w:color w:val="444444"/>
          <w:sz w:val="24"/>
          <w:szCs w:val="24"/>
        </w:rPr>
        <w:t xml:space="preserve">Chinchilla de Cola Corta (Chinchilla chinchilla) — Proyecto SADDN</w:t>
      </w:r>
    </w:p>
    <w:p>
      <w:pPr>
        <w:spacing w:after="80" w:before="0"/>
        <w:jc w:val="center"/>
      </w:pPr>
      <w:r>
        <w:rPr>
          <w:rFonts w:ascii="Arial" w:cs="Arial" w:eastAsia="Arial" w:hAnsi="Arial"/>
          <w:color w:val="666666"/>
          <w:sz w:val="22"/>
          <w:szCs w:val="22"/>
        </w:rPr>
        <w:t xml:space="preserve">Período: agosto 2025 – marzo 2026  |  n = 106 guaridas  |  34 semanas</w:t>
      </w:r>
    </w:p>
    <w:p>
      <w:pPr>
        <w:spacing w:after="1200" w:before="0"/>
        <w:jc w:val="center"/>
      </w:pPr>
      <w:r>
        <w:rPr>
          <w:rFonts w:ascii="Arial" w:cs="Arial" w:eastAsia="Arial" w:hAnsi="Arial"/>
          <w:i/>
          <w:iCs/>
          <w:color w:val="999999"/>
          <w:sz w:val="20"/>
          <w:szCs w:val="20"/>
        </w:rPr>
        <w:t xml:space="preserve">Versión 2 — Variables geomorfológicas recalculadas desde DEM (elevatr/SRTM)</w:t>
      </w:r>
    </w:p>
    <w:p>
      <w:r>
        <w:br w:type="page"/>
      </w:r>
    </w:p>
    <w:p>
      <w:pPr>
        <w:pStyle w:val="Heading1"/>
        <w:spacing w:after="180" w:before="400"/>
      </w:pPr>
      <w:r>
        <w:rPr>
          <w:rFonts w:ascii="Arial" w:cs="Arial" w:eastAsia="Arial" w:hAnsi="Arial"/>
          <w:b/>
          <w:bCs/>
          <w:color w:val="1D6B3A"/>
          <w:sz w:val="32"/>
          <w:szCs w:val="32"/>
        </w:rPr>
        <w:t xml:space="preserve">3. METODOLOGÍA</w:t>
      </w:r>
    </w:p>
    <w:p>
      <w:pPr>
        <w:pStyle w:val="Heading2"/>
        <w:spacing w:after="120" w:before="260"/>
      </w:pPr>
      <w:r>
        <w:rPr>
          <w:rFonts w:ascii="Arial" w:cs="Arial" w:eastAsia="Arial" w:hAnsi="Arial"/>
          <w:b/>
          <w:bCs/>
          <w:color w:val="000000"/>
          <w:sz w:val="26"/>
          <w:szCs w:val="26"/>
        </w:rPr>
        <w:t xml:space="preserve">3.1 Diseño de monitoreo</w:t>
      </w:r>
    </w:p>
    <w:p>
      <w:pPr>
        <w:spacing w:after="80" w:before="80" w:line="280"/>
        <w:jc w:val="both"/>
      </w:pPr>
      <w:r>
        <w:rPr>
          <w:rFonts w:ascii="Arial" w:cs="Arial" w:eastAsia="Arial" w:hAnsi="Arial"/>
          <w:sz w:val="22"/>
          <w:szCs w:val="22"/>
        </w:rPr>
        <w:t xml:space="preserve">Se monitorearon 106 guaridas distribuidas en 30 clusters espaciales en el área de emplazamiento del Proyecto SADDN. El diseño contempla tres tipos de unidades: (1) guaridas naturales pre-existentes como control o línea de referencia (ID1–ID30); (2) guaridas artificiales al norte de la traza de la tubería (G[n]+[número]); y (3) guaridas artificiales al sur de la traza (G[n]-[número]). Cada cluster agrupa una guarida natural con entre 1 y 6 artificiales, donde el número [n] indica el cluster de pertenencia.</w:t>
      </w:r>
    </w:p>
    <w:p>
      <w:pPr>
        <w:spacing w:after="80" w:before="80"/>
      </w:pPr>
      <w:r>
        <w:t xml:space="preserve"/>
      </w:r>
    </w:p>
    <w:p>
      <w:pPr>
        <w:spacing w:after="60" w:before="80"/>
        <w:jc w:val="center"/>
      </w:pPr>
      <w:r>
        <w:rPr>
          <w:rFonts w:ascii="Arial" w:cs="Arial" w:eastAsia="Arial" w:hAnsi="Arial"/>
          <w:i/>
          <w:iCs/>
          <w:color w:val="555555"/>
          <w:sz w:val="19"/>
          <w:szCs w:val="19"/>
        </w:rPr>
        <w:t xml:space="preserve">Tabla 3-1. Distribución de guaridas por tipo y posición respecto a la traza del Proyecto SADDN.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1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guaridas</w:t>
            </w:r>
          </w:p>
        </w:tc>
        <w:tc>
          <w:tcPr>
            <w:tcW w:type="dxa" w:w="1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clusters</w:t>
            </w:r>
          </w:p>
        </w:tc>
        <w:tc>
          <w:tcPr>
            <w:tcW w:type="dxa" w:w="28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Identificación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Naturales (control)</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ID1 – ID30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Artificiales norte (+)</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G[n]+[1..6]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Artificiales sur (-)</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2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G[n]-[1..6]</w:t>
            </w:r>
          </w:p>
        </w:tc>
      </w:tr>
      <w:tr>
        <w:tc>
          <w:tcPr>
            <w:tcW w:type="dxa" w:w="3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left"/>
            </w:pPr>
            <w:r>
              <w:rPr>
                <w:rFonts w:ascii="Arial" w:cs="Arial" w:eastAsia="Arial" w:hAnsi="Arial"/>
                <w:b/>
                <w:bCs/>
                <w:color w:val="000000"/>
                <w:sz w:val="19"/>
                <w:szCs w:val="19"/>
              </w:rPr>
              <w:t xml:space="preserve">TOTAL</w:t>
            </w:r>
          </w:p>
        </w:tc>
        <w:tc>
          <w:tcPr>
            <w:tcW w:type="dxa" w:w="16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106</w:t>
            </w:r>
          </w:p>
        </w:tc>
        <w:tc>
          <w:tcPr>
            <w:tcW w:type="dxa" w:w="16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30</w:t>
            </w:r>
          </w:p>
        </w:tc>
        <w:tc>
          <w:tcPr>
            <w:tcW w:type="dxa" w:w="2826"/>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w:t>
            </w:r>
          </w:p>
        </w:tc>
      </w:tr>
    </w:tbl>
    <w:p>
      <w:pPr>
        <w:spacing w:after="100" w:before="40"/>
      </w:pPr>
      <w:r>
        <w:rPr>
          <w:rFonts w:ascii="Arial" w:cs="Arial" w:eastAsia="Arial" w:hAnsi="Arial"/>
          <w:i/>
          <w:iCs/>
          <w:color w:val="555555"/>
          <w:sz w:val="18"/>
          <w:szCs w:val="18"/>
        </w:rPr>
        <w:t xml:space="preserve">* 3 guaridas sin monitoreo por impacto directo de la traza (ID10, ID20, ID24). 3 guaridas desmanteladas con cámara pero sin temperatura (ID9, ID13, ID19), excluidas de modelos con delta_t.</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3.2 Variables de monitoreo</w:t>
      </w:r>
    </w:p>
    <w:p>
      <w:pPr>
        <w:pStyle w:val="Heading3"/>
        <w:spacing w:after="100" w:before="200"/>
      </w:pPr>
      <w:r>
        <w:rPr>
          <w:rFonts w:ascii="Arial" w:cs="Arial" w:eastAsia="Arial" w:hAnsi="Arial"/>
          <w:b/>
          <w:bCs/>
          <w:color w:val="000000"/>
          <w:sz w:val="24"/>
          <w:szCs w:val="24"/>
        </w:rPr>
        <w:t xml:space="preserve">3.2.1 Presencia/ausencia semanal</w:t>
      </w:r>
    </w:p>
    <w:p>
      <w:pPr>
        <w:spacing w:after="80" w:before="80" w:line="280"/>
        <w:jc w:val="both"/>
      </w:pPr>
      <w:r>
        <w:rPr>
          <w:rFonts w:ascii="Arial" w:cs="Arial" w:eastAsia="Arial" w:hAnsi="Arial"/>
          <w:sz w:val="22"/>
          <w:szCs w:val="22"/>
        </w:rPr>
        <w:t xml:space="preserve">Cada guarida fue visitada semanalmente durante agosto 2025–marzo 2026, totalizando 34 semanas: agosto (4), septiembre (4), octubre (5), noviembre (4), diciembre (4), enero (5), febrero (4), marzo (4). Total de registros posibles: 3.604 (106 × 34).</w:t>
      </w:r>
    </w:p>
    <w:p>
      <w:pPr>
        <w:pStyle w:val="Heading3"/>
        <w:spacing w:after="100" w:before="200"/>
      </w:pPr>
      <w:r>
        <w:rPr>
          <w:rFonts w:ascii="Arial" w:cs="Arial" w:eastAsia="Arial" w:hAnsi="Arial"/>
          <w:b/>
          <w:bCs/>
          <w:color w:val="000000"/>
          <w:sz w:val="24"/>
          <w:szCs w:val="24"/>
        </w:rPr>
        <w:t xml:space="preserve">3.2.2 Temperatura y diferencial térmico</w:t>
      </w:r>
    </w:p>
    <w:p>
      <w:pPr>
        <w:spacing w:after="80" w:before="80" w:line="280"/>
        <w:jc w:val="both"/>
      </w:pPr>
      <w:r>
        <w:rPr>
          <w:rFonts w:ascii="Arial" w:cs="Arial" w:eastAsia="Arial" w:hAnsi="Arial"/>
          <w:sz w:val="22"/>
          <w:szCs w:val="22"/>
        </w:rPr>
        <w:t xml:space="preserve">Se registró mensualmente la temperatura interna (T_Int, °C), externa (T_Ext, °C) y el diferencial térmico (DeltaT = T_Int − T_Ext, °C). DeltaT negativo indica interior más fresco que el exterior — medida directa de la función de refugio térmico de cada guarida. Las 3 guaridas desmanteladas sin temperatura fueron excluidas de los análisis con esta variable (n = 103).</w:t>
      </w:r>
    </w:p>
    <w:p>
      <w:pPr>
        <w:pStyle w:val="Heading3"/>
        <w:spacing w:after="100" w:before="200"/>
      </w:pPr>
      <w:r>
        <w:rPr>
          <w:rFonts w:ascii="Arial" w:cs="Arial" w:eastAsia="Arial" w:hAnsi="Arial"/>
          <w:b/>
          <w:bCs/>
          <w:color w:val="000000"/>
          <w:sz w:val="24"/>
          <w:szCs w:val="24"/>
        </w:rPr>
        <w:t xml:space="preserve">3.2.3 Variables geomorfológicas</w:t>
      </w:r>
    </w:p>
    <w:p>
      <w:pPr>
        <w:spacing w:after="80" w:before="80" w:line="280"/>
        <w:jc w:val="both"/>
      </w:pPr>
      <w:r>
        <w:rPr>
          <w:rFonts w:ascii="Arial" w:cs="Arial" w:eastAsia="Arial" w:hAnsi="Arial"/>
          <w:sz w:val="22"/>
          <w:szCs w:val="22"/>
        </w:rPr>
        <w:t xml:space="preserve">Los datos de elevación fueron obtenidos mediante el paquete elevatr v0.4.2 (Hollister &amp; Shah 2022) en R, que accede al dataset AWS Terrain Tiles basado en SRTM (NASA/USGS). Se utilizó zoom level z = 12, con resolución efectiva aproximada de 17 m en la latitud del área de estudio (~23°S), descargando un buffer de 0,01° (~1 km) alrededor del conjunto de puntos para evitar efectos de borde. Las siguientes variables fueron derivadas desde el DEM mediante el paquete terra v1.7.65:</w:t>
      </w:r>
    </w:p>
    <w:p>
      <w:pPr>
        <w:pStyle w:val="ListParagraph"/>
        <w:numPr>
          <w:ilvl w:val="0"/>
          <w:numId w:val="2"/>
        </w:numPr>
        <w:spacing w:after="40" w:before="60"/>
      </w:pPr>
      <w:r>
        <w:rPr>
          <w:rFonts w:ascii="Arial" w:cs="Arial" w:eastAsia="Arial" w:hAnsi="Arial"/>
          <w:sz w:val="22"/>
          <w:szCs w:val="22"/>
        </w:rPr>
        <w:t xml:space="preserve">Pendiente (°): calculada con terrain(v='slope', unit='degrees'). Descartada del modelo por correlación r = 0,969 con rugosidad.</w:t>
      </w:r>
    </w:p>
    <w:p>
      <w:pPr>
        <w:pStyle w:val="ListParagraph"/>
        <w:numPr>
          <w:ilvl w:val="0"/>
          <w:numId w:val="2"/>
        </w:numPr>
        <w:spacing w:after="40" w:before="40"/>
      </w:pPr>
      <w:r>
        <w:rPr>
          <w:rFonts w:ascii="Arial" w:cs="Arial" w:eastAsia="Arial" w:hAnsi="Arial"/>
          <w:sz w:val="22"/>
          <w:szCs w:val="22"/>
        </w:rPr>
        <w:t xml:space="preserve">Rugosidad: índice de rugosidad del terreno calculado con terrain(v='roughness'), que mide la variación de elevación en una ventana 3×3 píxeles.</w:t>
      </w:r>
    </w:p>
    <w:p>
      <w:pPr>
        <w:pStyle w:val="ListParagraph"/>
        <w:numPr>
          <w:ilvl w:val="0"/>
          <w:numId w:val="2"/>
        </w:numPr>
        <w:spacing w:after="40" w:before="40"/>
      </w:pPr>
      <w:r>
        <w:rPr>
          <w:rFonts w:ascii="Arial" w:cs="Arial" w:eastAsia="Arial" w:hAnsi="Arial"/>
          <w:sz w:val="22"/>
          <w:szCs w:val="22"/>
        </w:rPr>
        <w:t xml:space="preserve">TPI (Topographic Position Index): calculado con terrain(v='TPI'). Valores negativos indican posición de quebrada; positivos indican cresta o ladera elevada.</w:t>
      </w:r>
    </w:p>
    <w:p>
      <w:pPr>
        <w:pStyle w:val="ListParagraph"/>
        <w:numPr>
          <w:ilvl w:val="0"/>
          <w:numId w:val="2"/>
        </w:numPr>
        <w:spacing w:after="40" w:before="40"/>
      </w:pPr>
      <w:r>
        <w:rPr>
          <w:rFonts w:ascii="Arial" w:cs="Arial" w:eastAsia="Arial" w:hAnsi="Arial"/>
          <w:sz w:val="22"/>
          <w:szCs w:val="22"/>
        </w:rPr>
        <w:t xml:space="preserve">Exposición de ladera: derivada del aspecto (terrain(v='aspect')) y clasificada en cuatro categorías cardinales: Norte (315–360° y 0–45°), Este (45–135°), Sur (135–225°) y Oeste (225–315°).</w:t>
      </w:r>
    </w:p>
    <w:p>
      <w:pPr>
        <w:pStyle w:val="ListParagraph"/>
        <w:numPr>
          <w:ilvl w:val="0"/>
          <w:numId w:val="2"/>
        </w:numPr>
        <w:spacing w:after="80" w:before="40"/>
      </w:pPr>
      <w:r>
        <w:rPr>
          <w:rFonts w:ascii="Arial" w:cs="Arial" w:eastAsia="Arial" w:hAnsi="Arial"/>
          <w:sz w:val="22"/>
          <w:szCs w:val="22"/>
        </w:rPr>
        <w:t xml:space="preserve">Radiación solar potencial: calculada con terra::shade() usando pendiente, aspecto y ángulo solar para latitud ~23°S, como índice de iluminación directa (0–1).</w:t>
      </w:r>
    </w:p>
    <w:p>
      <w:pPr>
        <w:spacing w:after="80" w:before="80" w:line="280"/>
        <w:jc w:val="both"/>
      </w:pPr>
      <w:r>
        <w:rPr>
          <w:rFonts w:ascii="Arial" w:cs="Arial" w:eastAsia="Arial" w:hAnsi="Arial"/>
          <w:sz w:val="22"/>
          <w:szCs w:val="22"/>
        </w:rPr>
        <w:t xml:space="preserve">Las coordenadas de cada guarida fueron registradas en terreno mediante Google Maps en sistema WGS84 (grados decimales) y convertidas a UTM zona 19S (EPSG:32719) para el cálculo de distancias en metros. Todas las variables continuas fueron estandarizadas (z-score: media = 0, DE = 1) previo al modelamiento. Se verificó la independencia entre variables: todas las correlaciones entre delta_z, rug_z, tpi_z y rad_z fueron menores a r = 0,21.</w:t>
      </w:r>
    </w:p>
    <w:p>
      <w:pPr>
        <w:pStyle w:val="Heading2"/>
        <w:spacing w:after="120" w:before="260"/>
      </w:pPr>
      <w:r>
        <w:rPr>
          <w:rFonts w:ascii="Arial" w:cs="Arial" w:eastAsia="Arial" w:hAnsi="Arial"/>
          <w:b/>
          <w:bCs/>
          <w:color w:val="000000"/>
          <w:sz w:val="26"/>
          <w:szCs w:val="26"/>
        </w:rPr>
        <w:t xml:space="preserve">3.3 Análisis estadístico</w:t>
      </w:r>
    </w:p>
    <w:p>
      <w:pPr>
        <w:pStyle w:val="Heading3"/>
        <w:spacing w:after="100" w:before="200"/>
      </w:pPr>
      <w:r>
        <w:rPr>
          <w:rFonts w:ascii="Arial" w:cs="Arial" w:eastAsia="Arial" w:hAnsi="Arial"/>
          <w:b/>
          <w:bCs/>
          <w:color w:val="000000"/>
          <w:sz w:val="24"/>
          <w:szCs w:val="24"/>
        </w:rPr>
        <w:t xml:space="preserve">3.3.1 Estadística descriptiva y pruebas no paramétricas</w:t>
      </w:r>
    </w:p>
    <w:p>
      <w:pPr>
        <w:spacing w:after="80" w:before="80" w:line="280"/>
        <w:jc w:val="both"/>
      </w:pPr>
      <w:r>
        <w:rPr>
          <w:rFonts w:ascii="Arial" w:cs="Arial" w:eastAsia="Arial" w:hAnsi="Arial"/>
          <w:sz w:val="22"/>
          <w:szCs w:val="22"/>
        </w:rPr>
        <w:t xml:space="preserve">La tasa de ocupación por guarida se calculó como semanas con presencia / 34. Categorías: alta (&gt; 0,75), media (0,50–0,75), baja (&lt; 0,50). Diferencias entre tipos evaluadas con Kruskal-Wallis (H = 30,955; gl = 2; p &lt; 0,001) y comparaciones por pares con Mann-Whitney U con corrección de continuidad por presencia de empates. Asociación entre DeltaT y ocupación evaluada con correlación de Spearman (rs).</w:t>
      </w:r>
    </w:p>
    <w:p>
      <w:pPr>
        <w:pStyle w:val="Heading3"/>
        <w:spacing w:after="100" w:before="200"/>
      </w:pPr>
      <w:r>
        <w:rPr>
          <w:rFonts w:ascii="Arial" w:cs="Arial" w:eastAsia="Arial" w:hAnsi="Arial"/>
          <w:b/>
          <w:bCs/>
          <w:color w:val="000000"/>
          <w:sz w:val="24"/>
          <w:szCs w:val="24"/>
        </w:rPr>
        <w:t xml:space="preserve">3.3.2 Modelo de abundancia Royle-Nichols</w:t>
      </w:r>
    </w:p>
    <w:p>
      <w:pPr>
        <w:spacing w:after="80" w:before="80" w:line="280"/>
        <w:jc w:val="both"/>
      </w:pPr>
      <w:r>
        <w:rPr>
          <w:rFonts w:ascii="Arial" w:cs="Arial" w:eastAsia="Arial" w:hAnsi="Arial"/>
          <w:sz w:val="22"/>
          <w:szCs w:val="22"/>
        </w:rPr>
        <w:t xml:space="preserve">El análisis central utilizó el modelo de Royle &amp; Nichols (2003), implementado en el paquete unmarked v1.3.1 (Kellner et al. 2023) en R v4.3.2. Este modelo estima la abundancia local (N) en cada guarida a partir del historial de detección/no detección sin marcaje individual, asumiendo que la variación en la probabilidad de detección entre guaridas refleja variación en abundancia:</w:t>
      </w:r>
    </w:p>
    <w:p>
      <w:pPr>
        <w:spacing w:after="100" w:before="100"/>
        <w:jc w:val="center"/>
      </w:pPr>
      <w:r>
        <w:rPr>
          <w:rFonts w:ascii="Courier New" w:cs="Courier New" w:eastAsia="Courier New" w:hAnsi="Courier New"/>
          <w:b/>
          <w:bCs/>
          <w:sz w:val="24"/>
          <w:szCs w:val="24"/>
        </w:rPr>
        <w:t xml:space="preserve">pᵢ = 1 − (1 − r)^Nᵢ</w:t>
      </w:r>
    </w:p>
    <w:p>
      <w:pPr>
        <w:spacing w:after="80" w:before="80" w:line="280"/>
        <w:jc w:val="both"/>
      </w:pPr>
      <w:r>
        <w:rPr>
          <w:rFonts w:ascii="Arial" w:cs="Arial" w:eastAsia="Arial" w:hAnsi="Arial"/>
          <w:sz w:val="22"/>
          <w:szCs w:val="22"/>
        </w:rPr>
        <w:t xml:space="preserve">Donde pᵢ es la probabilidad de detectar al menos un individuo en la guarida i, r es la probabilidad individual de detección por ocasión, y Nᵢ es la abundancia local. La abundancia se modeló en escala logarítmica (log-link) y la detección en escala logit.</w:t>
      </w:r>
    </w:p>
    <w:p>
      <w:pPr>
        <w:pStyle w:val="Heading3"/>
        <w:spacing w:after="100" w:before="200"/>
      </w:pPr>
      <w:r>
        <w:rPr>
          <w:rFonts w:ascii="Arial" w:cs="Arial" w:eastAsia="Arial" w:hAnsi="Arial"/>
          <w:b/>
          <w:bCs/>
          <w:color w:val="000000"/>
          <w:sz w:val="24"/>
          <w:szCs w:val="24"/>
        </w:rPr>
        <w:t xml:space="preserve">3.3.3 Estructura temporal y selección de modelos</w:t>
      </w:r>
    </w:p>
    <w:p>
      <w:pPr>
        <w:spacing w:after="80" w:before="80" w:line="280"/>
        <w:jc w:val="both"/>
      </w:pPr>
      <w:r>
        <w:rPr>
          <w:rFonts w:ascii="Arial" w:cs="Arial" w:eastAsia="Arial" w:hAnsi="Arial"/>
          <w:sz w:val="22"/>
          <w:szCs w:val="22"/>
        </w:rPr>
        <w:t xml:space="preserve">Las 34 semanas fueron agregadas en 8 ocasiones mensuales (presencia = 1 si al menos una semana del mes tuvo detección), introduciendo 83 ceros estructurales (10,1% de las 824 ocasiones totales) necesarios para estabilizar la estimación de la probabilidad de detección. La selección de modelos se realizó en dos etapas — primero detección, luego abundancia — mediante AICc (Burnham &amp; Anderson 2002). Se evaluaron 21 modelos candidatos con distintas combinaciones de tipo de guarida, delta_z, rug_z, tpi_z, rad_z y exposición de ladera. No se incluyeron en un mismo modelo variables con correlación r &gt; 0,65.</w:t>
      </w:r>
    </w:p>
    <w:p>
      <w:pPr>
        <w:spacing w:after="80" w:before="80" w:line="280"/>
        <w:jc w:val="both"/>
      </w:pPr>
      <w:r>
        <w:rPr>
          <w:rFonts w:ascii="Arial" w:cs="Arial" w:eastAsia="Arial" w:hAnsi="Arial"/>
          <w:sz w:val="22"/>
          <w:szCs w:val="22"/>
        </w:rPr>
        <w:t xml:space="preserve">Código principal:</w:t>
      </w:r>
    </w:p>
    <w:p>
      <w:pPr>
        <w:spacing w:after="40" w:before="40"/>
        <w:ind w:left="500"/>
      </w:pPr>
      <w:r>
        <w:rPr>
          <w:rFonts w:ascii="Courier New" w:cs="Courier New" w:eastAsia="Courier New" w:hAnsi="Courier New"/>
          <w:color w:val="1a1a1a"/>
          <w:sz w:val="20"/>
          <w:szCs w:val="20"/>
        </w:rPr>
        <w:t xml:space="preserve">library(unmarked); library(AICcmodavg); library(elevatr); library(terra)</w:t>
      </w:r>
    </w:p>
    <w:p>
      <w:pPr>
        <w:spacing w:after="40" w:before="40"/>
        <w:ind w:left="500"/>
      </w:pPr>
      <w:r>
        <w:rPr>
          <w:rFonts w:ascii="Courier New" w:cs="Courier New" w:eastAsia="Courier New" w:hAnsi="Courier New"/>
          <w:color w:val="1a1a1a"/>
          <w:sz w:val="20"/>
          <w:szCs w:val="20"/>
        </w:rPr>
        <w:t xml:space="preserve">dem   &lt;- get_elev_raster(puntos_sf, z = 12, clip = 'bbox', expand = 0.01)</w:t>
      </w:r>
    </w:p>
    <w:p>
      <w:pPr>
        <w:spacing w:after="40" w:before="40"/>
        <w:ind w:left="500"/>
      </w:pPr>
      <w:r>
        <w:rPr>
          <w:rFonts w:ascii="Courier New" w:cs="Courier New" w:eastAsia="Courier New" w:hAnsi="Courier New"/>
          <w:color w:val="1a1a1a"/>
          <w:sz w:val="20"/>
          <w:szCs w:val="20"/>
        </w:rPr>
        <w:t xml:space="preserve">rug_z &lt;- scale(terrain(rast(dem), v = 'roughness'))</w:t>
      </w:r>
    </w:p>
    <w:p>
      <w:pPr>
        <w:spacing w:after="40" w:before="40"/>
        <w:ind w:left="500"/>
      </w:pPr>
      <w:r>
        <w:rPr>
          <w:rFonts w:ascii="Courier New" w:cs="Courier New" w:eastAsia="Courier New" w:hAnsi="Courier New"/>
          <w:color w:val="1a1a1a"/>
          <w:sz w:val="20"/>
          <w:szCs w:val="20"/>
        </w:rPr>
        <w:t xml:space="preserve">tpi_z &lt;- scale(terrain(rast(dem), v = 'TPI'))</w:t>
      </w:r>
    </w:p>
    <w:p>
      <w:pPr>
        <w:spacing w:after="40" w:before="40"/>
        <w:ind w:left="500"/>
      </w:pPr>
      <w:r>
        <w:rPr>
          <w:rFonts w:ascii="Courier New" w:cs="Courier New" w:eastAsia="Courier New" w:hAnsi="Courier New"/>
          <w:color w:val="1a1a1a"/>
          <w:sz w:val="20"/>
          <w:szCs w:val="20"/>
        </w:rPr>
        <w:t xml:space="preserve">rad_z &lt;- scale(shade(slope*pi/180, aspect*pi/180, angle=67, direction=180))</w:t>
      </w:r>
    </w:p>
    <w:p>
      <w:pPr>
        <w:spacing w:after="40" w:before="40"/>
        <w:ind w:left="500"/>
      </w:pPr>
      <w:r>
        <w:rPr>
          <w:rFonts w:ascii="Courier New" w:cs="Courier New" w:eastAsia="Courier New" w:hAnsi="Courier New"/>
          <w:color w:val="1a1a1a"/>
          <w:sz w:val="20"/>
          <w:szCs w:val="20"/>
        </w:rPr>
        <w:t xml:space="preserve">rn11  &lt;- occuRN(~1 ~ tipo + tpi_z, data = umf_mes)  # mejor modelo</w:t>
      </w:r>
    </w:p>
    <w:p>
      <w:pPr>
        <w:spacing w:after="80" w:before="80"/>
      </w:pPr>
      <w:r>
        <w:t xml:space="preserve"/>
      </w:r>
    </w:p>
    <w:p>
      <w:pPr>
        <w:pStyle w:val="Heading3"/>
        <w:spacing w:after="100" w:before="200"/>
      </w:pPr>
      <w:r>
        <w:rPr>
          <w:rFonts w:ascii="Arial" w:cs="Arial" w:eastAsia="Arial" w:hAnsi="Arial"/>
          <w:b/>
          <w:bCs/>
          <w:color w:val="000000"/>
          <w:sz w:val="24"/>
          <w:szCs w:val="24"/>
        </w:rPr>
        <w:t xml:space="preserve">3.3.4 Análisis de conectividad</w:t>
      </w:r>
    </w:p>
    <w:p>
      <w:pPr>
        <w:spacing w:after="80" w:before="80" w:line="280"/>
        <w:jc w:val="both"/>
      </w:pPr>
      <w:r>
        <w:rPr>
          <w:rFonts w:ascii="Arial" w:cs="Arial" w:eastAsia="Arial" w:hAnsi="Arial"/>
          <w:sz w:val="22"/>
          <w:szCs w:val="22"/>
        </w:rPr>
        <w:t xml:space="preserve">Se calculó la distancia euclidiana entre todas las guaridas (coordenadas WGS84 convertidas a UTM zona 19S) y se identificaron pares a menos de 80 metros. Para cada par se calculó el índice de co-ocurrencia: semanas con presencia simultánea / semanas con presencia en al menos una guarida. Se realizó identificación visual no sistemática de individuos mediante marcas naturales en fotografías de cámara trampa (~25 individuos identificados), sin captura ni marcaje invasivo.</w:t>
      </w:r>
    </w:p>
    <w:p>
      <w:pPr>
        <w:spacing w:after="80" w:before="80"/>
      </w:pPr>
      <w:r>
        <w:t xml:space="preserve"/>
      </w:r>
    </w:p>
    <w:p>
      <w:r>
        <w:br w:type="page"/>
      </w:r>
    </w:p>
    <w:p>
      <w:pPr>
        <w:pStyle w:val="Heading1"/>
        <w:spacing w:after="180" w:before="400"/>
      </w:pPr>
      <w:r>
        <w:rPr>
          <w:rFonts w:ascii="Arial" w:cs="Arial" w:eastAsia="Arial" w:hAnsi="Arial"/>
          <w:b/>
          <w:bCs/>
          <w:color w:val="1D6B3A"/>
          <w:sz w:val="32"/>
          <w:szCs w:val="32"/>
        </w:rPr>
        <w:t xml:space="preserve">4. RESULTADOS</w:t>
      </w:r>
    </w:p>
    <w:p>
      <w:pPr>
        <w:pStyle w:val="Heading2"/>
        <w:spacing w:after="120" w:before="260"/>
      </w:pPr>
      <w:r>
        <w:rPr>
          <w:rFonts w:ascii="Arial" w:cs="Arial" w:eastAsia="Arial" w:hAnsi="Arial"/>
          <w:b/>
          <w:bCs/>
          <w:color w:val="000000"/>
          <w:sz w:val="26"/>
          <w:szCs w:val="26"/>
        </w:rPr>
        <w:t xml:space="preserve">4.1 Tasas de ocupación descriptivas</w:t>
      </w:r>
    </w:p>
    <w:p>
      <w:pPr>
        <w:spacing w:after="80" w:before="80" w:line="280"/>
        <w:jc w:val="both"/>
      </w:pPr>
      <w:r>
        <w:rPr>
          <w:rFonts w:ascii="Arial" w:cs="Arial" w:eastAsia="Arial" w:hAnsi="Arial"/>
          <w:sz w:val="22"/>
          <w:szCs w:val="22"/>
        </w:rPr>
        <w:t xml:space="preserve">Las tasas de ocupación difirieron significativamente entre los tres tipos de guarida (Kruskal-Wallis: H = 30,955; gl = 2; p &lt; 0,001). Las guaridas naturales presentaron media de </w:t>
      </w:r>
      <w:r>
        <w:rPr>
          <w:rFonts w:ascii="Arial" w:cs="Arial" w:eastAsia="Arial" w:hAnsi="Arial"/>
          <w:b/>
          <w:bCs/>
          <w:sz w:val="22"/>
          <w:szCs w:val="22"/>
        </w:rPr>
        <w:t xml:space="preserve">0,362 ± 0,212</w:t>
      </w:r>
      <w:r>
        <w:rPr>
          <w:rFonts w:ascii="Arial" w:cs="Arial" w:eastAsia="Arial" w:hAnsi="Arial"/>
          <w:sz w:val="22"/>
          <w:szCs w:val="22"/>
        </w:rPr>
        <w:t xml:space="preserve">, con el 78% de baja ocupación. Las artificiales norte alcanzaron </w:t>
      </w:r>
      <w:r>
        <w:rPr>
          <w:rFonts w:ascii="Arial" w:cs="Arial" w:eastAsia="Arial" w:hAnsi="Arial"/>
          <w:b/>
          <w:bCs/>
          <w:sz w:val="22"/>
          <w:szCs w:val="22"/>
        </w:rPr>
        <w:t xml:space="preserve">0,695 ± 0,125</w:t>
      </w:r>
      <w:r>
        <w:rPr>
          <w:rFonts w:ascii="Arial" w:cs="Arial" w:eastAsia="Arial" w:hAnsi="Arial"/>
          <w:sz w:val="22"/>
          <w:szCs w:val="22"/>
        </w:rPr>
        <w:t xml:space="preserve"> (41% de alta ocupación) y las artificiales sur </w:t>
      </w:r>
      <w:r>
        <w:rPr>
          <w:rFonts w:ascii="Arial" w:cs="Arial" w:eastAsia="Arial" w:hAnsi="Arial"/>
          <w:b/>
          <w:bCs/>
          <w:sz w:val="22"/>
          <w:szCs w:val="22"/>
        </w:rPr>
        <w:t xml:space="preserve">0,662 ± 0,124</w:t>
      </w:r>
      <w:r>
        <w:rPr>
          <w:rFonts w:ascii="Arial" w:cs="Arial" w:eastAsia="Arial" w:hAnsi="Arial"/>
          <w:sz w:val="22"/>
          <w:szCs w:val="22"/>
        </w:rPr>
        <w:t xml:space="preserve"> (29% de alta ocupación). No hubo diferencia significativa entre artificiales norte y sur (W = 882; p = 0,269). Las diferencias natural vs. norte (W = 929; p &lt; 0,001) y natural vs. sur (W = 720,5; p &lt; 0,001) fueron altamente significativas.</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4-1. Estadísticos descriptivos de tasa de ocupación por tipo de guarida (34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00"/>
        <w:gridCol w:w="800"/>
        <w:gridCol w:w="850"/>
        <w:gridCol w:w="750"/>
        <w:gridCol w:w="850"/>
        <w:gridCol w:w="870"/>
        <w:gridCol w:w="1006"/>
      </w:tblGrid>
      <w:tr>
        <w:trPr>
          <w:tblHeader/>
        </w:trPr>
        <w:tc>
          <w:tcPr>
            <w:tcW w:type="dxa" w:w="24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w:t>
            </w:r>
          </w:p>
        </w:tc>
        <w:tc>
          <w:tcPr>
            <w:tcW w:type="dxa" w:w="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w:t>
            </w:r>
          </w:p>
        </w:tc>
        <w:tc>
          <w:tcPr>
            <w:tcW w:type="dxa" w:w="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w:t>
            </w:r>
          </w:p>
        </w:tc>
        <w:tc>
          <w:tcPr>
            <w:tcW w:type="dxa" w:w="8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Mediana</w:t>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Mín.</w:t>
            </w:r>
          </w:p>
        </w:tc>
        <w:tc>
          <w:tcPr>
            <w:tcW w:type="dxa" w:w="8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Máx.</w:t>
            </w:r>
          </w:p>
        </w:tc>
        <w:tc>
          <w:tcPr>
            <w:tcW w:type="dxa" w:w="87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Alta (%)</w:t>
            </w:r>
          </w:p>
        </w:tc>
        <w:tc>
          <w:tcPr>
            <w:tcW w:type="dxa" w:w="100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Baja (%)</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Naturales (ID)</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0,362</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0,212</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0,324</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0,059</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0,765</w:t>
            </w:r>
          </w:p>
        </w:tc>
        <w:tc>
          <w:tcPr>
            <w:tcW w:type="dxa" w:w="87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100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78%</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norte (G+)</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0,125</w:t>
            </w:r>
          </w:p>
        </w:tc>
        <w:tc>
          <w:tcPr>
            <w:tcW w:type="dxa" w:w="8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0,706</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0,382</w:t>
            </w:r>
          </w:p>
        </w:tc>
        <w:tc>
          <w:tcPr>
            <w:tcW w:type="dxa" w:w="8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0,941</w:t>
            </w:r>
          </w:p>
        </w:tc>
        <w:tc>
          <w:tcPr>
            <w:tcW w:type="dxa" w:w="8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c>
          <w:tcPr>
            <w:tcW w:type="dxa" w:w="100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sur (G-)</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0,662</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0,124</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0,676</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0,382</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0,853</w:t>
            </w:r>
          </w:p>
        </w:tc>
        <w:tc>
          <w:tcPr>
            <w:tcW w:type="dxa" w:w="87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c>
          <w:tcPr>
            <w:tcW w:type="dxa" w:w="100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r>
    </w:tbl>
    <w:p>
      <w:pPr>
        <w:spacing w:after="100" w:before="40"/>
      </w:pPr>
      <w:r>
        <w:rPr>
          <w:rFonts w:ascii="Arial" w:cs="Arial" w:eastAsia="Arial" w:hAnsi="Arial"/>
          <w:i/>
          <w:iCs/>
          <w:color w:val="555555"/>
          <w:sz w:val="18"/>
          <w:szCs w:val="18"/>
        </w:rPr>
        <w:t xml:space="preserve">DE: desviación estándar. Alta: &gt; 0,75. Baja: &lt; 0,50. Pruebas con corrección de continuidad por empates.</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4-2. Top 10 guaridas con mayor y menor tasa de ocupación.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100"/>
        <w:gridCol w:w="1900"/>
        <w:gridCol w:w="1526"/>
      </w:tblGrid>
      <w:tr>
        <w:trPr>
          <w:tblHeader/>
        </w:trPr>
        <w:tc>
          <w:tcPr>
            <w:tcW w:type="dxa" w:w="4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Guarida</w:t>
            </w:r>
          </w:p>
        </w:tc>
        <w:tc>
          <w:tcPr>
            <w:tcW w:type="dxa" w:w="21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1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Semanas ocupadas</w:t>
            </w:r>
          </w:p>
        </w:tc>
        <w:tc>
          <w:tcPr>
            <w:tcW w:type="dxa" w:w="15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Tasa (%)</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G7+3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Artificial norte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 / 34</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94,1%</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G7+4</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Artificial norte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 / 34</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91,2%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G4+1 / G25-1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Artificial norte / sur</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 / 34</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85,3%</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G6-3, G7+2, G17+3, G21+1, G24-3, G26-1</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Artificial</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28 / 34</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82,4%</w:t>
            </w:r>
          </w:p>
        </w:tc>
      </w:tr>
      <w:tr>
        <w:trPr>
          <w:tblHeader/>
        </w:trPr>
        <w:tc>
          <w:tcPr>
            <w:tcW w:type="dxa" w:w="4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MENOS OCUPADAS —</w:t>
            </w:r>
          </w:p>
        </w:tc>
        <w:tc>
          <w:tcPr>
            <w:tcW w:type="dxa" w:w="21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5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ID16 / ID29</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Natural</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 34</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5,9%</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ID28</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Natural</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 / 34</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11,8%</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ID3 / ID12 / ID25</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Natural</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 / 34</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20,6%</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Ref.</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G15+1 / G23+5 / G28-1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Artificial (mínimo)</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 / 34</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38,2%</w:t>
            </w:r>
          </w:p>
        </w:tc>
      </w:tr>
    </w:tbl>
    <w:p>
      <w:pPr>
        <w:spacing w:after="100" w:before="40"/>
      </w:pPr>
      <w:r>
        <w:rPr>
          <w:rFonts w:ascii="Arial" w:cs="Arial" w:eastAsia="Arial" w:hAnsi="Arial"/>
          <w:i/>
          <w:iCs/>
          <w:color w:val="555555"/>
          <w:sz w:val="18"/>
          <w:szCs w:val="18"/>
        </w:rPr>
        <w:t xml:space="preserve">La guarida artificial con menor ocupación (38,2%) supera la mediana de las guaridas naturales (32,4%).</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4.2 Variación estacional</w:t>
      </w:r>
    </w:p>
    <w:p>
      <w:pPr>
        <w:spacing w:after="80" w:before="80" w:line="280"/>
        <w:jc w:val="both"/>
      </w:pPr>
      <w:r>
        <w:rPr>
          <w:rFonts w:ascii="Arial" w:cs="Arial" w:eastAsia="Arial" w:hAnsi="Arial"/>
          <w:sz w:val="22"/>
          <w:szCs w:val="22"/>
        </w:rPr>
        <w:t xml:space="preserve">Las guaridas artificiales mostraron patrón estacional claro — ocupación mínima en agosto (norte: 0,426; sur: 0,357) y máxima en enero (norte: 0,795; sur: 0,749). Las guaridas naturales presentaron valores bajos sin patrón estacional definido (rango: 0,323–0,438), consistente con perturbación del uso normal por la construcción.</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4-3. Tasa de ocupación mensual promedio por tipo de guarida.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875"/>
        <w:gridCol w:w="875"/>
        <w:gridCol w:w="875"/>
        <w:gridCol w:w="875"/>
        <w:gridCol w:w="875"/>
        <w:gridCol w:w="875"/>
        <w:gridCol w:w="875"/>
        <w:gridCol w:w="875"/>
      </w:tblGrid>
      <w:tr>
        <w:trPr>
          <w:tblHeader/>
        </w:trPr>
        <w:tc>
          <w:tcPr>
            <w:tcW w:type="dxa" w:w="20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AGO</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SEP</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OCT</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NOV</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DIC</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ENE</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FEB</w:t>
            </w:r>
          </w:p>
        </w:tc>
        <w:tc>
          <w:tcPr>
            <w:tcW w:type="dxa" w:w="875"/>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w:t>
            </w:r>
          </w:p>
        </w:tc>
      </w:tr>
      <w:tr>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norte</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0,426</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0,648</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0,723</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0,722</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0,761</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0,795</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0,767</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0,682</w:t>
            </w:r>
          </w:p>
        </w:tc>
      </w:tr>
      <w:tr>
        <w:tc>
          <w:tcPr>
            <w:tcW w:type="dxa" w:w="2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sur</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0,357</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0,629</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0,629</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0,693</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0,749</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0,757</w:t>
            </w:r>
          </w:p>
        </w:tc>
        <w:tc>
          <w:tcPr>
            <w:tcW w:type="dxa" w:w="87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0,721</w:t>
            </w:r>
          </w:p>
        </w:tc>
      </w:tr>
      <w:tr>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Natural</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0,323</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0,365</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0,333</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0,427</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0,408</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0,354</w:t>
            </w:r>
          </w:p>
        </w:tc>
        <w:tc>
          <w:tcPr>
            <w:tcW w:type="dxa" w:w="87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0,438</w:t>
            </w:r>
          </w:p>
        </w:tc>
      </w:tr>
    </w:tbl>
    <w:p>
      <w:pPr>
        <w:spacing w:after="80" w:before="80"/>
      </w:pPr>
      <w:r>
        <w:t xml:space="preserve"/>
      </w:r>
    </w:p>
    <w:p>
      <w:pPr>
        <w:pStyle w:val="Heading2"/>
        <w:spacing w:after="120" w:before="260"/>
      </w:pPr>
      <w:r>
        <w:rPr>
          <w:rFonts w:ascii="Arial" w:cs="Arial" w:eastAsia="Arial" w:hAnsi="Arial"/>
          <w:b/>
          <w:bCs/>
          <w:color w:val="000000"/>
          <w:sz w:val="26"/>
          <w:szCs w:val="26"/>
        </w:rPr>
        <w:t xml:space="preserve">4.3 Temperatura y función de refugio térmico</w:t>
      </w:r>
    </w:p>
    <w:p>
      <w:pPr>
        <w:spacing w:after="80" w:before="80" w:line="280"/>
        <w:jc w:val="both"/>
      </w:pPr>
      <w:r>
        <w:rPr>
          <w:rFonts w:ascii="Arial" w:cs="Arial" w:eastAsia="Arial" w:hAnsi="Arial"/>
          <w:sz w:val="22"/>
          <w:szCs w:val="22"/>
        </w:rPr>
        <w:t xml:space="preserve">Las guaridas artificiales presentaron mayor diferencial térmico absoluto que las naturales (norte: −18,2 ± 2,2°C; sur: −17,3 ± 2,1°C; naturales: −15,0 ± 2,8°C). La correlación de Spearman entre DeltaT y tasa de ocupación fue </w:t>
      </w:r>
      <w:r>
        <w:rPr>
          <w:rFonts w:ascii="Arial" w:cs="Arial" w:eastAsia="Arial" w:hAnsi="Arial"/>
          <w:b/>
          <w:bCs/>
          <w:sz w:val="22"/>
          <w:szCs w:val="22"/>
        </w:rPr>
        <w:t xml:space="preserve">rs = −0,372 (p &lt; 0,001)</w:t>
      </w:r>
      <w:r>
        <w:rPr>
          <w:rFonts w:ascii="Arial" w:cs="Arial" w:eastAsia="Arial" w:hAnsi="Arial"/>
          <w:sz w:val="22"/>
          <w:szCs w:val="22"/>
        </w:rPr>
        <w:t xml:space="preserve"> — guaridas con mayor diferencial tendieron a ser más ocupadas.</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4-4. Temperatura promedio por tipo de guarida (agosto 2025–marzo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tblHeader/>
        </w:trPr>
        <w:tc>
          <w:tcPr>
            <w:tcW w:type="dxa" w:w="2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21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 interna media (°C)</w:t>
            </w:r>
          </w:p>
        </w:tc>
        <w:tc>
          <w:tcPr>
            <w:tcW w:type="dxa" w:w="21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 externa media (°C)</w:t>
            </w:r>
          </w:p>
        </w:tc>
        <w:tc>
          <w:tcPr>
            <w:tcW w:type="dxa" w:w="22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DeltaT medio (°C)</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Naturales</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21,3 ± 2,0</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36,3</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−15,0 ± 2,8</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norte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19,9 ± 1,7</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38,1</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−18,2 ± 2,2</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sur</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19,8 ± 1,5</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37,1</w:t>
            </w:r>
          </w:p>
        </w:tc>
        <w:tc>
          <w:tcPr>
            <w:tcW w:type="dxa" w:w="2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−17,3 ± 2,1</w:t>
            </w:r>
          </w:p>
        </w:tc>
      </w:tr>
    </w:tbl>
    <w:p>
      <w:pPr>
        <w:spacing w:after="80" w:before="80"/>
      </w:pPr>
      <w:r>
        <w:t xml:space="preserve"/>
      </w:r>
    </w:p>
    <w:p>
      <w:pPr>
        <w:pStyle w:val="Heading2"/>
        <w:spacing w:after="120" w:before="260"/>
      </w:pPr>
      <w:r>
        <w:rPr>
          <w:rFonts w:ascii="Arial" w:cs="Arial" w:eastAsia="Arial" w:hAnsi="Arial"/>
          <w:b/>
          <w:bCs/>
          <w:color w:val="000000"/>
          <w:sz w:val="26"/>
          <w:szCs w:val="26"/>
        </w:rPr>
        <w:t xml:space="preserve">4.4 Análisis intra-cluster</w:t>
      </w:r>
    </w:p>
    <w:p>
      <w:pPr>
        <w:spacing w:after="80" w:before="80" w:line="280"/>
        <w:jc w:val="both"/>
      </w:pPr>
      <w:r>
        <w:rPr>
          <w:rFonts w:ascii="Arial" w:cs="Arial" w:eastAsia="Arial" w:hAnsi="Arial"/>
          <w:sz w:val="22"/>
          <w:szCs w:val="22"/>
        </w:rPr>
        <w:t xml:space="preserve">En el </w:t>
      </w:r>
      <w:r>
        <w:rPr>
          <w:rFonts w:ascii="Arial" w:cs="Arial" w:eastAsia="Arial" w:hAnsi="Arial"/>
          <w:b/>
          <w:bCs/>
          <w:sz w:val="22"/>
          <w:szCs w:val="22"/>
        </w:rPr>
        <w:t xml:space="preserve">85% de los clusters (23/27)</w:t>
      </w:r>
      <w:r>
        <w:rPr>
          <w:rFonts w:ascii="Arial" w:cs="Arial" w:eastAsia="Arial" w:hAnsi="Arial"/>
          <w:sz w:val="22"/>
          <w:szCs w:val="22"/>
        </w:rPr>
        <w:t xml:space="preserve">, las guaridas artificiales superaron en ocupación a la natural de referencia. Los contrastes más marcados: cluster G16 (natural: 0,059 vs. artificial: 0,780), G21 (0,235 vs. 0,809) y G26 (0,265 vs. 0,824). En 3 clusters (G10, G20, G24) no existe natural de referencia por impacto directo de la tubería.</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4.5 Selección de modelos de abundancia</w:t>
      </w:r>
    </w:p>
    <w:p>
      <w:pPr>
        <w:spacing w:after="80" w:before="80" w:line="280"/>
        <w:jc w:val="both"/>
      </w:pPr>
      <w:r>
        <w:rPr>
          <w:rFonts w:ascii="Arial" w:cs="Arial" w:eastAsia="Arial" w:hAnsi="Arial"/>
          <w:sz w:val="22"/>
          <w:szCs w:val="22"/>
        </w:rPr>
        <w:t xml:space="preserve">De los 21 modelos candidatos evaluados, el mejor modelo fue N(tipo+tpi_z) con AICc = 468,50 y peso de evidencia de 0,58 (Tabla 4-5). Este modelo superó al segundo mejor N(tipo+delta_z) por 3,91 puntos de AICc. Todos los modelos con soporte (peso &gt; 0,01) incluyen el tipo de guarida como predictor principal. Modelos sin tipo de guarida presentaron ΔAICc &gt; 18, indicando soporte nulo.</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4-5. Selección de modelos de abundancia Royle-Nichols (21 modelos evaluados). Se muestran modelos con ΔAICc ≤ 7 y modelos de referencia sin tipo de guarida.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000"/>
        <w:gridCol w:w="1100"/>
        <w:gridCol w:w="950"/>
        <w:gridCol w:w="1176"/>
      </w:tblGrid>
      <w:tr>
        <w:trPr>
          <w:tblHeader/>
        </w:trPr>
        <w:tc>
          <w:tcPr>
            <w:tcW w:type="dxa" w:w="32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w:t>
            </w:r>
          </w:p>
        </w:tc>
        <w:tc>
          <w:tcPr>
            <w:tcW w:type="dxa" w:w="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w:t>
            </w:r>
          </w:p>
        </w:tc>
        <w:tc>
          <w:tcPr>
            <w:tcW w:type="dxa" w:w="10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AICc</w:t>
            </w:r>
          </w:p>
        </w:tc>
        <w:tc>
          <w:tcPr>
            <w:tcW w:type="dxa" w:w="11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ΔAICc</w:t>
            </w:r>
          </w:p>
        </w:tc>
        <w:tc>
          <w:tcPr>
            <w:tcW w:type="dxa" w:w="9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Peso</w:t>
            </w:r>
          </w:p>
        </w:tc>
        <w:tc>
          <w:tcPr>
            <w:tcW w:type="dxa" w:w="117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Log-verosim.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tpi_z)</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468,50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0,00</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0,58</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−228,94</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delta_z)</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472,40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3,91</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0,08</w:t>
            </w:r>
          </w:p>
        </w:tc>
        <w:tc>
          <w:tcPr>
            <w:tcW w:type="dxa" w:w="117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−230,89</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472,59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4,09</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0,07</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−232,09</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rad_z)</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473,10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4,61</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0,06</w:t>
            </w:r>
          </w:p>
        </w:tc>
        <w:tc>
          <w:tcPr>
            <w:tcW w:type="dxa" w:w="117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−231,24</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delta_z + rad_z)</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473,22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4,72</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0,05</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−230,17</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rug_z)</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473,95</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5,45</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0,04</w:t>
            </w:r>
          </w:p>
        </w:tc>
        <w:tc>
          <w:tcPr>
            <w:tcW w:type="dxa" w:w="117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−231,67</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delta_z + rug_z)</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474,09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5,60</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0,04</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−230,61</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N(tipo + expo)</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474,24</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5,74</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0,03</w:t>
            </w:r>
          </w:p>
        </w:tc>
        <w:tc>
          <w:tcPr>
            <w:tcW w:type="dxa" w:w="117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−229,53</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 — — — —</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N(delta_z) [sin tipo]</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486,59</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18,09</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0,00</w:t>
            </w:r>
          </w:p>
        </w:tc>
        <w:tc>
          <w:tcPr>
            <w:tcW w:type="dxa" w:w="117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−240,17</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 [nulo]</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498,57</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30,08</w:t>
            </w:r>
          </w:p>
        </w:tc>
        <w:tc>
          <w:tcPr>
            <w:tcW w:type="dxa" w:w="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0,00</w:t>
            </w:r>
          </w:p>
        </w:tc>
        <w:tc>
          <w:tcPr>
            <w:tcW w:type="dxa" w:w="117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−247,23</w:t>
            </w:r>
          </w:p>
        </w:tc>
      </w:tr>
    </w:tbl>
    <w:p>
      <w:pPr>
        <w:spacing w:after="100" w:before="40"/>
      </w:pPr>
      <w:r>
        <w:rPr>
          <w:rFonts w:ascii="Arial" w:cs="Arial" w:eastAsia="Arial" w:hAnsi="Arial"/>
          <w:i/>
          <w:iCs/>
          <w:color w:val="555555"/>
          <w:sz w:val="18"/>
          <w:szCs w:val="18"/>
        </w:rPr>
        <w:t xml:space="preserve">K: parámetros estimados. Peso: peso de evidencia AICc. ΔAICc &lt; 2: modelos igualmente plausibles; ΔAICc 2–6: soporte moderado; ΔAICc &gt; 10: soporte nulo.</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4.6 Coeficientes del mejor modelo</w:t>
      </w:r>
    </w:p>
    <w:p>
      <w:pPr>
        <w:spacing w:after="80" w:before="80" w:line="280"/>
        <w:jc w:val="both"/>
      </w:pPr>
      <w:r>
        <w:rPr>
          <w:rFonts w:ascii="Arial" w:cs="Arial" w:eastAsia="Arial" w:hAnsi="Arial"/>
          <w:sz w:val="22"/>
          <w:szCs w:val="22"/>
        </w:rPr>
        <w:t xml:space="preserve">El modelo N(tipo+tpi_z) estimó una abundancia base (arte_norte) de </w:t>
      </w:r>
      <w:r>
        <w:rPr>
          <w:rFonts w:ascii="Arial" w:cs="Arial" w:eastAsia="Arial" w:hAnsi="Arial"/>
          <w:b/>
          <w:bCs/>
          <w:sz w:val="22"/>
          <w:szCs w:val="22"/>
        </w:rPr>
        <w:t xml:space="preserve">13,0 ind./guarida (IC 95%: 8,9–19,0)</w:t>
      </w:r>
      <w:r>
        <w:rPr>
          <w:rFonts w:ascii="Arial" w:cs="Arial" w:eastAsia="Arial" w:hAnsi="Arial"/>
          <w:sz w:val="22"/>
          <w:szCs w:val="22"/>
        </w:rPr>
        <w:t xml:space="preserve">. Las guaridas naturales presentaron abundancia significativamente menor: </w:t>
      </w:r>
      <w:r>
        <w:rPr>
          <w:rFonts w:ascii="Arial" w:cs="Arial" w:eastAsia="Arial" w:hAnsi="Arial"/>
          <w:b/>
          <w:bCs/>
          <w:sz w:val="22"/>
          <w:szCs w:val="22"/>
        </w:rPr>
        <w:t xml:space="preserve">5,4 ind./guarida (IC 95%: 2,7–10,8)</w:t>
      </w:r>
      <w:r>
        <w:rPr>
          <w:rFonts w:ascii="Arial" w:cs="Arial" w:eastAsia="Arial" w:hAnsi="Arial"/>
          <w:sz w:val="22"/>
          <w:szCs w:val="22"/>
        </w:rPr>
        <w:t xml:space="preserve"> (z = −5,57; p &lt; 0,001). Las artificiales sur mostraron una tendencia a menor abundancia que las norte (z = −1,76; p = 0,078), diferencia que no alcanzó significancia estadística. El TPI tuvo efecto negativo significativo (z = −2,48; p = 0,013): guaridas en posiciones de quebrada (TPI negativo) presentaron mayor abundancia. La probabilidad de detección mensual fue </w:t>
      </w:r>
      <w:r>
        <w:rPr>
          <w:rFonts w:ascii="Arial" w:cs="Arial" w:eastAsia="Arial" w:hAnsi="Arial"/>
          <w:b/>
          <w:bCs/>
          <w:sz w:val="22"/>
          <w:szCs w:val="22"/>
        </w:rPr>
        <w:t xml:space="preserve">0,254 (IC 95%: 0,170–0,361)</w:t>
      </w:r>
      <w:r>
        <w:rPr>
          <w:rFonts w:ascii="Arial" w:cs="Arial" w:eastAsia="Arial" w:hAnsi="Arial"/>
          <w:sz w:val="22"/>
          <w:szCs w:val="22"/>
        </w:rPr>
        <w:t xml:space="preserve">.</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4-6. Coeficientes del mejor modelo N(tipo+tpi_z) con error estándar, estadístico z e IC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50"/>
        <w:gridCol w:w="750"/>
        <w:gridCol w:w="800"/>
        <w:gridCol w:w="1313"/>
        <w:gridCol w:w="1013"/>
      </w:tblGrid>
      <w:tr>
        <w:trPr>
          <w:tblHeader/>
        </w:trPr>
        <w:tc>
          <w:tcPr>
            <w:tcW w:type="dxa" w:w="2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Estim.</w:t>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w:t>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w:t>
            </w:r>
          </w:p>
        </w:tc>
        <w:tc>
          <w:tcPr>
            <w:tcW w:type="dxa" w:w="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w:t>
            </w:r>
          </w:p>
        </w:tc>
        <w:tc>
          <w:tcPr>
            <w:tcW w:type="dxa" w:w="13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IC 2,5%</w:t>
            </w:r>
          </w:p>
        </w:tc>
        <w:tc>
          <w:tcPr>
            <w:tcW w:type="dxa" w:w="10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IC 97,5%</w:t>
            </w:r>
          </w:p>
        </w:tc>
      </w:tr>
      <w:tr>
        <w:trPr>
          <w:tblHeader/>
        </w:trPr>
        <w:tc>
          <w:tcPr>
            <w:tcW w:type="dxa" w:w="2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Abundancia N (log-escala)</w:t>
            </w:r>
          </w:p>
        </w:tc>
        <w:tc>
          <w:tcPr>
            <w:tcW w:type="dxa" w:w="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13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10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Intercepto (arte_norte)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2,567</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0,193</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13,31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&lt; 0,001</w:t>
            </w:r>
          </w:p>
        </w:tc>
        <w:tc>
          <w:tcPr>
            <w:tcW w:type="dxa" w:w="13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2,189</w:t>
            </w:r>
          </w:p>
        </w:tc>
        <w:tc>
          <w:tcPr>
            <w:tcW w:type="dxa" w:w="1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2,945</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Tipo: arte_sur</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−0,242</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0,138</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−1,76</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0,078</w:t>
            </w:r>
          </w:p>
        </w:tc>
        <w:tc>
          <w:tcPr>
            <w:tcW w:type="dxa" w:w="13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−0,512</w:t>
            </w:r>
          </w:p>
        </w:tc>
        <w:tc>
          <w:tcPr>
            <w:tcW w:type="dxa" w:w="10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0,027</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Tipo: natural</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−0,874</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0,157</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−5,57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&lt; 0,001</w:t>
            </w:r>
          </w:p>
        </w:tc>
        <w:tc>
          <w:tcPr>
            <w:tcW w:type="dxa" w:w="13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−1,182</w:t>
            </w:r>
          </w:p>
        </w:tc>
        <w:tc>
          <w:tcPr>
            <w:tcW w:type="dxa" w:w="1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−0,567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tpi_z</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−0,153</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0,062</w:t>
            </w:r>
          </w:p>
        </w:tc>
        <w:tc>
          <w:tcPr>
            <w:tcW w:type="dxa" w:w="7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−2,48</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0,013</w:t>
            </w:r>
          </w:p>
        </w:tc>
        <w:tc>
          <w:tcPr>
            <w:tcW w:type="dxa" w:w="13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−0,274</w:t>
            </w:r>
          </w:p>
        </w:tc>
        <w:tc>
          <w:tcPr>
            <w:tcW w:type="dxa" w:w="10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−0,032</w:t>
            </w:r>
          </w:p>
        </w:tc>
      </w:tr>
      <w:tr>
        <w:trPr>
          <w:tblHeader/>
        </w:trPr>
        <w:tc>
          <w:tcPr>
            <w:tcW w:type="dxa" w:w="2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Detección p (logit-escala)</w:t>
            </w:r>
          </w:p>
        </w:tc>
        <w:tc>
          <w:tcPr>
            <w:tcW w:type="dxa" w:w="9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75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8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13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1013"/>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Intercepto</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−1,080</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0,259</w:t>
            </w:r>
          </w:p>
        </w:tc>
        <w:tc>
          <w:tcPr>
            <w:tcW w:type="dxa" w:w="7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&lt; 0,001</w:t>
            </w:r>
          </w:p>
        </w:tc>
        <w:tc>
          <w:tcPr>
            <w:tcW w:type="dxa" w:w="13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−1,587</w:t>
            </w:r>
          </w:p>
        </w:tc>
        <w:tc>
          <w:tcPr>
            <w:tcW w:type="dxa" w:w="10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−0,573</w:t>
            </w:r>
          </w:p>
        </w:tc>
      </w:tr>
    </w:tbl>
    <w:p>
      <w:pPr>
        <w:spacing w:after="80" w:before="80"/>
      </w:pPr>
      <w:r>
        <w:t xml:space="preserve"/>
      </w:r>
    </w:p>
    <w:p>
      <w:pPr>
        <w:spacing w:after="60" w:before="80"/>
        <w:jc w:val="center"/>
      </w:pPr>
      <w:r>
        <w:rPr>
          <w:rFonts w:ascii="Arial" w:cs="Arial" w:eastAsia="Arial" w:hAnsi="Arial"/>
          <w:i/>
          <w:iCs/>
          <w:color w:val="555555"/>
          <w:sz w:val="19"/>
          <w:szCs w:val="19"/>
        </w:rPr>
        <w:t xml:space="preserve">Tabla 4-7. Abundancia estimada por tipo de guarida en escala de individuos (exp del estimador).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400"/>
        <w:gridCol w:w="1400"/>
        <w:gridCol w:w="1500"/>
        <w:gridCol w:w="1126"/>
      </w:tblGrid>
      <w:tr>
        <w:trPr>
          <w:tblHeader/>
        </w:trPr>
        <w:tc>
          <w:tcPr>
            <w:tcW w:type="dxa" w:w="25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w:t>
            </w:r>
          </w:p>
        </w:tc>
        <w:tc>
          <w:tcPr>
            <w:tcW w:type="dxa" w:w="14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media (ind.)</w:t>
            </w:r>
          </w:p>
        </w:tc>
        <w:tc>
          <w:tcPr>
            <w:tcW w:type="dxa" w:w="14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IC 2,5%</w:t>
            </w:r>
          </w:p>
        </w:tc>
        <w:tc>
          <w:tcPr>
            <w:tcW w:type="dxa" w:w="15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IC 97,5%</w:t>
            </w:r>
          </w:p>
        </w:tc>
        <w:tc>
          <w:tcPr>
            <w:tcW w:type="dxa" w:w="11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total</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norte (G+)</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19,0</w:t>
            </w:r>
          </w:p>
        </w:tc>
        <w:tc>
          <w:tcPr>
            <w:tcW w:type="dxa" w:w="11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560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Art. sur (G-)</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19,5</w:t>
            </w:r>
          </w:p>
        </w:tc>
        <w:tc>
          <w:tcPr>
            <w:tcW w:type="dxa" w:w="11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Naturales (ID)</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10,8</w:t>
            </w:r>
          </w:p>
        </w:tc>
        <w:tc>
          <w:tcPr>
            <w:tcW w:type="dxa" w:w="11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133</w:t>
            </w:r>
          </w:p>
        </w:tc>
      </w:tr>
      <w:tr>
        <w:tc>
          <w:tcPr>
            <w:tcW w:type="dxa" w:w="25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left"/>
            </w:pPr>
            <w:r>
              <w:rPr>
                <w:rFonts w:ascii="Arial" w:cs="Arial" w:eastAsia="Arial" w:hAnsi="Arial"/>
                <w:b/>
                <w:bCs/>
                <w:color w:val="000000"/>
                <w:sz w:val="19"/>
                <w:szCs w:val="19"/>
              </w:rPr>
              <w:t xml:space="preserve">TOTAL</w:t>
            </w:r>
          </w:p>
        </w:tc>
        <w:tc>
          <w:tcPr>
            <w:tcW w:type="dxa" w:w="6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103</w:t>
            </w:r>
          </w:p>
        </w:tc>
        <w:tc>
          <w:tcPr>
            <w:tcW w:type="dxa" w:w="14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w:t>
            </w:r>
          </w:p>
        </w:tc>
        <w:tc>
          <w:tcPr>
            <w:tcW w:type="dxa" w:w="14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w:t>
            </w:r>
          </w:p>
        </w:tc>
        <w:tc>
          <w:tcPr>
            <w:tcW w:type="dxa" w:w="15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w:t>
            </w:r>
          </w:p>
        </w:tc>
        <w:tc>
          <w:tcPr>
            <w:tcW w:type="dxa" w:w="1126"/>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1.069</w:t>
            </w:r>
          </w:p>
        </w:tc>
      </w:tr>
    </w:tbl>
    <w:p>
      <w:pPr>
        <w:spacing w:after="100" w:before="40"/>
      </w:pPr>
      <w:r>
        <w:rPr>
          <w:rFonts w:ascii="Arial" w:cs="Arial" w:eastAsia="Arial" w:hAnsi="Arial"/>
          <w:i/>
          <w:iCs/>
          <w:color w:val="555555"/>
          <w:sz w:val="18"/>
          <w:szCs w:val="18"/>
        </w:rPr>
        <w:t xml:space="preserve">N total: suma de abundancias estimadas por guarida (individuos-guarida), no individuos únicos. Ver Tabla 4-8.</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4.7 Conectividad y estimación de individuos únicos</w:t>
      </w:r>
    </w:p>
    <w:p>
      <w:pPr>
        <w:spacing w:after="80" w:before="80" w:line="280"/>
        <w:jc w:val="both"/>
      </w:pPr>
      <w:r>
        <w:rPr>
          <w:rFonts w:ascii="Arial" w:cs="Arial" w:eastAsia="Arial" w:hAnsi="Arial"/>
          <w:sz w:val="22"/>
          <w:szCs w:val="22"/>
        </w:rPr>
        <w:t xml:space="preserve">Se identificaron 176 pares de guaridas a menos de 80 metros (distancia mediana: 30 m; rango: 8–204 m). El índice de co-ocurrencia entre pares cercanos presentó mediana de 0,62. Los pares con mayor co-ocurrencia fueron G7+3–G7+4 (índice = 0,969; 31 m) y G17+2–G17+3 (0,897; 29 m). La identificación visual de ~25 individuos por marcas naturales reveló movilidad individual de 3 a 31 guaridas. Corrigiendo la abundancia total (1.069 ind.-guarida) por este factor, el número de individuos únicos se estima entre 35 y 64.</w:t>
      </w:r>
    </w:p>
    <w:p>
      <w:pPr>
        <w:spacing w:after="80" w:before="80"/>
      </w:pPr>
      <w:r>
        <w:t xml:space="preserve"/>
      </w:r>
    </w:p>
    <w:p>
      <w:pPr>
        <w:spacing w:after="60" w:before="80"/>
        <w:jc w:val="center"/>
      </w:pPr>
      <w:r>
        <w:rPr>
          <w:rFonts w:ascii="Arial" w:cs="Arial" w:eastAsia="Arial" w:hAnsi="Arial"/>
          <w:i/>
          <w:iCs/>
          <w:color w:val="555555"/>
          <w:sz w:val="19"/>
          <w:szCs w:val="19"/>
        </w:rPr>
        <w:t xml:space="preserve">Tabla 4-8. Triangulación de estimaciones de individuos únicos.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2326"/>
        <w:gridCol w:w="1300"/>
      </w:tblGrid>
      <w:tr>
        <w:trPr>
          <w:tblHeader/>
        </w:trPr>
        <w:tc>
          <w:tcPr>
            <w:tcW w:type="dxa" w:w="26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Fuente</w:t>
            </w:r>
          </w:p>
        </w:tc>
        <w:tc>
          <w:tcPr>
            <w:tcW w:type="dxa" w:w="13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Guaridas/ind.</w:t>
            </w:r>
          </w:p>
        </w:tc>
        <w:tc>
          <w:tcPr>
            <w:tcW w:type="dxa" w:w="15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Individuos únicos</w:t>
            </w:r>
          </w:p>
        </w:tc>
        <w:tc>
          <w:tcPr>
            <w:tcW w:type="dxa" w:w="2326"/>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Método</w:t>
            </w:r>
          </w:p>
        </w:tc>
        <w:tc>
          <w:tcPr>
            <w:tcW w:type="dxa" w:w="1300"/>
            <w:tcBorders>
              <w:top w:val="single" w:color="1D6B3A" w:sz="1"/>
              <w:left w:val="single" w:color="1D6B3A" w:sz="1"/>
              <w:bottom w:val="single" w:color="1D6B3A" w:sz="1"/>
              <w:right w:val="single" w:color="1D6B3A" w:sz="1"/>
            </w:tcBorders>
            <w:shd w:fill="1D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Confianza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Modelo Royle-Nichols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1.069 ind-guarida</w:t>
            </w:r>
          </w:p>
        </w:tc>
        <w:tc>
          <w:tcPr>
            <w:tcW w:type="dxa" w:w="2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Estadístico</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Alta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Individuo más móvil (hembra marcada)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Foto-identificación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Alta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Promedio individuos marcados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w:t>
            </w:r>
          </w:p>
        </w:tc>
        <w:tc>
          <w:tcPr>
            <w:tcW w:type="dxa" w:w="2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Promedio extremos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Moderada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Referencia espacial (80m)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315</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Co-ocurrencia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Referencia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Estimación visual campo</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w:t>
            </w:r>
          </w:p>
        </w:tc>
        <w:tc>
          <w:tcPr>
            <w:tcW w:type="dxa" w:w="2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Observación directa</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Baja</w:t>
            </w:r>
          </w:p>
        </w:tc>
      </w:tr>
      <w:tr>
        <w:tc>
          <w:tcPr>
            <w:tcW w:type="dxa" w:w="26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RANGO MÁS PLAUSIBLE</w:t>
            </w:r>
          </w:p>
        </w:tc>
        <w:tc>
          <w:tcPr>
            <w:tcW w:type="dxa" w:w="13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17–31</w:t>
            </w:r>
          </w:p>
        </w:tc>
        <w:tc>
          <w:tcPr>
            <w:tcW w:type="dxa" w:w="15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35–64</w:t>
            </w:r>
          </w:p>
        </w:tc>
        <w:tc>
          <w:tcPr>
            <w:tcW w:type="dxa" w:w="2326"/>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Triangulación</w:t>
            </w:r>
          </w:p>
        </w:tc>
        <w:tc>
          <w:tcPr>
            <w:tcW w:type="dxa" w:w="13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w:t>
            </w:r>
          </w:p>
        </w:tc>
      </w:tr>
    </w:tbl>
    <w:p>
      <w:pPr>
        <w:spacing w:after="80" w:before="80"/>
      </w:pPr>
      <w:r>
        <w:t xml:space="preserve"/>
      </w:r>
    </w:p>
    <w:p>
      <w:r>
        <w:br w:type="page"/>
      </w:r>
    </w:p>
    <w:p>
      <w:pPr>
        <w:pStyle w:val="Heading1"/>
        <w:spacing w:after="180" w:before="400"/>
      </w:pPr>
      <w:r>
        <w:rPr>
          <w:rFonts w:ascii="Arial" w:cs="Arial" w:eastAsia="Arial" w:hAnsi="Arial"/>
          <w:b/>
          <w:bCs/>
          <w:color w:val="1D6B3A"/>
          <w:sz w:val="32"/>
          <w:szCs w:val="32"/>
        </w:rPr>
        <w:t xml:space="preserve">5. DISCUSIÓN</w:t>
      </w:r>
    </w:p>
    <w:p>
      <w:pPr>
        <w:pStyle w:val="Heading2"/>
        <w:spacing w:after="120" w:before="260"/>
      </w:pPr>
      <w:r>
        <w:rPr>
          <w:rFonts w:ascii="Arial" w:cs="Arial" w:eastAsia="Arial" w:hAnsi="Arial"/>
          <w:b/>
          <w:bCs/>
          <w:color w:val="000000"/>
          <w:sz w:val="26"/>
          <w:szCs w:val="26"/>
        </w:rPr>
        <w:t xml:space="preserve">5.1 Efectividad de las guaridas artificiales</w:t>
      </w:r>
    </w:p>
    <w:p>
      <w:pPr>
        <w:spacing w:after="80" w:before="80" w:line="280"/>
        <w:jc w:val="both"/>
      </w:pPr>
      <w:r>
        <w:rPr>
          <w:rFonts w:ascii="Arial" w:cs="Arial" w:eastAsia="Arial" w:hAnsi="Arial"/>
          <w:sz w:val="22"/>
          <w:szCs w:val="22"/>
        </w:rPr>
        <w:t xml:space="preserve">Los resultados del primer período de monitoreo indican que las guaridas artificiales del Proyecto SADDN están siendo activamente utilizadas por Chinchilla chinchilla, con tasas de ocupación que prácticamente duplican las de las guaridas naturales de referencia (0,662–0,695 vs. 0,362; p &lt; 0,001). En el 85% de los clusters, las artificiales superaron en ocupación a la natural correspondiente. La ausencia de diferencias significativas entre artificiales norte y sur (p = 0,269) sugiere que la tubería no ha generado un impacto asimétrico evidente durante este primer año. Sin embargo, el modelo actualizado con variables del DEM muestra que las artificiales sur tienen una tendencia a menor abundancia (p = 0,078), lo que merece seguimiento en períodos futuros.</w:t>
      </w:r>
    </w:p>
    <w:p>
      <w:pPr>
        <w:spacing w:after="80" w:before="80" w:line="280"/>
        <w:jc w:val="both"/>
      </w:pPr>
      <w:r>
        <w:rPr>
          <w:rFonts w:ascii="Arial" w:cs="Arial" w:eastAsia="Arial" w:hAnsi="Arial"/>
          <w:sz w:val="22"/>
          <w:szCs w:val="22"/>
        </w:rPr>
        <w:t xml:space="preserve">Estos resultados son indicativos del éxito de la medida de compensación durante el período evaluado. El monitoreo corresponde al primer año de operación, por lo que se recomienda continuar al menos 2–3 años adicionales para evaluar tendencias a largo plazo.</w:t>
      </w:r>
    </w:p>
    <w:p>
      <w:pPr>
        <w:pStyle w:val="Heading2"/>
        <w:spacing w:after="120" w:before="260"/>
      </w:pPr>
      <w:r>
        <w:rPr>
          <w:rFonts w:ascii="Arial" w:cs="Arial" w:eastAsia="Arial" w:hAnsi="Arial"/>
          <w:b/>
          <w:bCs/>
          <w:color w:val="000000"/>
          <w:sz w:val="26"/>
          <w:szCs w:val="26"/>
        </w:rPr>
        <w:t xml:space="preserve">5.2 Posición topográfica como predictor de abundancia</w:t>
      </w:r>
    </w:p>
    <w:p>
      <w:pPr>
        <w:spacing w:after="80" w:before="80" w:line="280"/>
        <w:jc w:val="both"/>
      </w:pPr>
      <w:r>
        <w:rPr>
          <w:rFonts w:ascii="Arial" w:cs="Arial" w:eastAsia="Arial" w:hAnsi="Arial"/>
          <w:sz w:val="22"/>
          <w:szCs w:val="22"/>
        </w:rPr>
        <w:t xml:space="preserve">El análisis con variables geomorfológicas recalculadas directamente desde el DEM reveló que la posición topográfica (TPI) es el mejor predictor ambiental de la abundancia, superando al diferencial térmico (ΔAICc = 3,91 a favor de N(tipo+tpi_z)). El coeficiente negativo de tpi_z (</w:t>
      </w:r>
      <w:r>
        <w:rPr>
          <w:rFonts w:ascii="Arial" w:cs="Arial" w:eastAsia="Arial" w:hAnsi="Arial"/>
          <w:b/>
          <w:bCs/>
          <w:sz w:val="22"/>
          <w:szCs w:val="22"/>
        </w:rPr>
        <w:t xml:space="preserve">β = −0,153; p = 0,013</w:t>
      </w:r>
      <w:r>
        <w:rPr>
          <w:rFonts w:ascii="Arial" w:cs="Arial" w:eastAsia="Arial" w:hAnsi="Arial"/>
          <w:sz w:val="22"/>
          <w:szCs w:val="22"/>
        </w:rPr>
        <w:t xml:space="preserve">) indica que guaridas ubicadas en posiciones de quebrada (TPI negativo) tienen significativamente mayor abundancia que las ubicadas en crestas o laderas. Este resultado es coherente con la ecología de la especie: las quebradas proveen mayor disponibilidad de refugios rocosos, menor exposición al viento, temperaturas más estables y posiblemente mayor disponibilidad de recursos alimentarios (gramíneas de los géneros Festuca y Distichia; Muñoz-Pedreros 2009).</w:t>
      </w:r>
    </w:p>
    <w:p>
      <w:pPr>
        <w:spacing w:after="80" w:before="80" w:line="280"/>
        <w:jc w:val="both"/>
      </w:pPr>
      <w:r>
        <w:rPr>
          <w:rFonts w:ascii="Arial" w:cs="Arial" w:eastAsia="Arial" w:hAnsi="Arial"/>
          <w:sz w:val="22"/>
          <w:szCs w:val="22"/>
        </w:rPr>
        <w:t xml:space="preserve">Este hallazgo complementa los resultados previos sobre la función termorreguladora de las guaridas: la especie selecciona microhábitats que combinan posición topográfica protegida (quebradas) con estructuras que proveen refugio térmico (diferencial T interior-exterior). Ambos factores actúan de manera complementaria para maximizar el uso de los refugios disponibles.</w:t>
      </w:r>
    </w:p>
    <w:p>
      <w:pPr>
        <w:pStyle w:val="Heading2"/>
        <w:spacing w:after="120" w:before="260"/>
      </w:pPr>
      <w:r>
        <w:rPr>
          <w:rFonts w:ascii="Arial" w:cs="Arial" w:eastAsia="Arial" w:hAnsi="Arial"/>
          <w:b/>
          <w:bCs/>
          <w:color w:val="000000"/>
          <w:sz w:val="26"/>
          <w:szCs w:val="26"/>
        </w:rPr>
        <w:t xml:space="preserve">5.3 Función de refugio térmico</w:t>
      </w:r>
    </w:p>
    <w:p>
      <w:pPr>
        <w:spacing w:after="80" w:before="80" w:line="280"/>
        <w:jc w:val="both"/>
      </w:pPr>
      <w:r>
        <w:rPr>
          <w:rFonts w:ascii="Arial" w:cs="Arial" w:eastAsia="Arial" w:hAnsi="Arial"/>
          <w:sz w:val="22"/>
          <w:szCs w:val="22"/>
        </w:rPr>
        <w:t xml:space="preserve">La correlación entre DeltaT y ocupación (</w:t>
      </w:r>
      <w:r>
        <w:rPr>
          <w:rFonts w:ascii="Arial" w:cs="Arial" w:eastAsia="Arial" w:hAnsi="Arial"/>
          <w:b/>
          <w:bCs/>
          <w:sz w:val="22"/>
          <w:szCs w:val="22"/>
        </w:rPr>
        <w:t xml:space="preserve">rs = −0,372; p &lt; 0,001</w:t>
      </w:r>
      <w:r>
        <w:rPr>
          <w:rFonts w:ascii="Arial" w:cs="Arial" w:eastAsia="Arial" w:hAnsi="Arial"/>
          <w:sz w:val="22"/>
          <w:szCs w:val="22"/>
        </w:rPr>
        <w:t xml:space="preserve">) respalda la hipótesis termorreguladora. Las guaridas artificiales presentaron mayor diferencial térmico que las naturales (−18,2°C y −17,3°C vs. −15,0°C), indicando que el diseño constructivo logró replicar y superar la función de refugio térmico. Este resultado es consistente con la documentada vulnerabilidad fisiológica de la especie al calor (Cortés et al. 2003) y con estudios en roedores rupícolas (Campos et al. 2013; Nutt 2007). El patrón estacional de mayor ocupación en verano (enero: 0,674) que en invierno (agosto: 0,373) refuerza esta interpretación.</w:t>
      </w:r>
    </w:p>
    <w:p>
      <w:pPr>
        <w:pStyle w:val="Heading2"/>
        <w:spacing w:after="120" w:before="260"/>
      </w:pPr>
      <w:r>
        <w:rPr>
          <w:rFonts w:ascii="Arial" w:cs="Arial" w:eastAsia="Arial" w:hAnsi="Arial"/>
          <w:b/>
          <w:bCs/>
          <w:color w:val="000000"/>
          <w:sz w:val="26"/>
          <w:szCs w:val="26"/>
        </w:rPr>
        <w:t xml:space="preserve">5.4 Movilidad individual y abundancia</w:t>
      </w:r>
    </w:p>
    <w:p>
      <w:pPr>
        <w:spacing w:after="80" w:before="80" w:line="280"/>
        <w:jc w:val="both"/>
      </w:pPr>
      <w:r>
        <w:rPr>
          <w:rFonts w:ascii="Arial" w:cs="Arial" w:eastAsia="Arial" w:hAnsi="Arial"/>
          <w:sz w:val="22"/>
          <w:szCs w:val="22"/>
        </w:rPr>
        <w:t xml:space="preserve">La identificación visual de ~25 individuos por marcas naturales en fotografías de cámara trampa reveló una heterogeneidad notable en el comportamiento de uso de guaridas: desde 3 guaridas (individuo sedentario) hasta 31 guaridas (hembra identificada por mancha bajo el lagrimal derecho). Esta convergencia entre el estimado estadístico del modelo (1.069 ind.-guarida), el factor de corrección observado (17–31 guaridas/individuo) y la estimación visual de campo (~30 individuos) otorga credibilidad al rango de 35–64 individuos únicos como la estimación más plausible para el área.</w:t>
      </w:r>
    </w:p>
    <w:p>
      <w:pPr>
        <w:spacing w:after="80" w:before="80" w:line="280"/>
        <w:jc w:val="both"/>
      </w:pPr>
      <w:r>
        <w:rPr>
          <w:rFonts w:ascii="Arial" w:cs="Arial" w:eastAsia="Arial" w:hAnsi="Arial"/>
          <w:sz w:val="22"/>
          <w:szCs w:val="22"/>
        </w:rPr>
        <w:t xml:space="preserve">La metodología de foto-identificación por marcas naturales, aunque no sistemática, constituye uno de los primeros registros de comportamiento de uso de guaridas a nivel individual para esta especie en Chile, sin requerir captura ni marcaje invasivo — especialmente relevante para una especie Crítica de Amenaza.</w:t>
      </w:r>
    </w:p>
    <w:p>
      <w:pPr>
        <w:pStyle w:val="Heading2"/>
        <w:spacing w:after="120" w:before="260"/>
      </w:pPr>
      <w:r>
        <w:rPr>
          <w:rFonts w:ascii="Arial" w:cs="Arial" w:eastAsia="Arial" w:hAnsi="Arial"/>
          <w:b/>
          <w:bCs/>
          <w:color w:val="000000"/>
          <w:sz w:val="26"/>
          <w:szCs w:val="26"/>
        </w:rPr>
        <w:t xml:space="preserve">5.5 Impacto sobre guaridas naturales</w:t>
      </w:r>
    </w:p>
    <w:p>
      <w:pPr>
        <w:spacing w:after="80" w:before="80" w:line="280"/>
        <w:jc w:val="both"/>
      </w:pPr>
      <w:r>
        <w:rPr>
          <w:rFonts w:ascii="Arial" w:cs="Arial" w:eastAsia="Arial" w:hAnsi="Arial"/>
          <w:sz w:val="22"/>
          <w:szCs w:val="22"/>
        </w:rPr>
        <w:t xml:space="preserve">La ocupación consistentemente baja de las guaridas naturales (0,323–0,438 sin patrón estacional) contrasta con el patrón estacional claro de las artificiales. Tres guaridas (ID10, ID20, ID24) no pudieron monitorearse por impacto directo de la traza. La ausencia de datos de línea base pre-construcción impide cuantificar el efecto neto atribuible al proyecto, lo que constituye una limitación importante para la interpretación de estos resultados.</w:t>
      </w:r>
    </w:p>
    <w:p>
      <w:pPr>
        <w:pStyle w:val="Heading2"/>
        <w:spacing w:after="120" w:before="260"/>
      </w:pPr>
      <w:r>
        <w:rPr>
          <w:rFonts w:ascii="Arial" w:cs="Arial" w:eastAsia="Arial" w:hAnsi="Arial"/>
          <w:b/>
          <w:bCs/>
          <w:color w:val="000000"/>
          <w:sz w:val="26"/>
          <w:szCs w:val="26"/>
        </w:rPr>
        <w:t xml:space="preserve">5.6 Limitaciones y recomendaciones</w:t>
      </w:r>
    </w:p>
    <w:p>
      <w:pPr>
        <w:pStyle w:val="ListParagraph"/>
        <w:numPr>
          <w:ilvl w:val="0"/>
          <w:numId w:val="3"/>
        </w:numPr>
        <w:spacing w:after="60" w:before="60"/>
      </w:pPr>
      <w:r>
        <w:rPr>
          <w:rFonts w:ascii="Arial" w:cs="Arial" w:eastAsia="Arial" w:hAnsi="Arial"/>
          <w:sz w:val="22"/>
          <w:szCs w:val="22"/>
        </w:rPr>
        <w:t xml:space="preserve">Continuar el monitoreo al menos 2–3 años adicionales para evaluar tendencias temporales y la posible recuperación de las guaridas naturales.</w:t>
      </w:r>
    </w:p>
    <w:p>
      <w:pPr>
        <w:pStyle w:val="ListParagraph"/>
        <w:numPr>
          <w:ilvl w:val="0"/>
          <w:numId w:val="3"/>
        </w:numPr>
        <w:spacing w:after="60" w:before="60"/>
      </w:pPr>
      <w:r>
        <w:rPr>
          <w:rFonts w:ascii="Arial" w:cs="Arial" w:eastAsia="Arial" w:hAnsi="Arial"/>
          <w:sz w:val="22"/>
          <w:szCs w:val="22"/>
        </w:rPr>
        <w:t xml:space="preserve">Implementar un protocolo sistemático de foto-identificación individual para obtener estimaciones de abundancia más precisas.</w:t>
      </w:r>
    </w:p>
    <w:p>
      <w:pPr>
        <w:pStyle w:val="ListParagraph"/>
        <w:numPr>
          <w:ilvl w:val="0"/>
          <w:numId w:val="3"/>
        </w:numPr>
        <w:spacing w:after="60" w:before="60"/>
      </w:pPr>
      <w:r>
        <w:rPr>
          <w:rFonts w:ascii="Arial" w:cs="Arial" w:eastAsia="Arial" w:hAnsi="Arial"/>
          <w:sz w:val="22"/>
          <w:szCs w:val="22"/>
        </w:rPr>
        <w:t xml:space="preserve">Incorporar variables de vegetación (NDVI, cobertura de gramíneas) y temperatura de suelo en futuros modelos.</w:t>
      </w:r>
    </w:p>
    <w:p>
      <w:pPr>
        <w:pStyle w:val="ListParagraph"/>
        <w:numPr>
          <w:ilvl w:val="0"/>
          <w:numId w:val="3"/>
        </w:numPr>
        <w:spacing w:after="60" w:before="60"/>
      </w:pPr>
      <w:r>
        <w:rPr>
          <w:rFonts w:ascii="Arial" w:cs="Arial" w:eastAsia="Arial" w:hAnsi="Arial"/>
          <w:sz w:val="22"/>
          <w:szCs w:val="22"/>
        </w:rPr>
        <w:t xml:space="preserve">Corregir errores en coordenadas GPS para mejorar la precisión de la altitud como variable predictora.</w:t>
      </w:r>
    </w:p>
    <w:p>
      <w:pPr>
        <w:pStyle w:val="ListParagraph"/>
        <w:numPr>
          <w:ilvl w:val="0"/>
          <w:numId w:val="3"/>
        </w:numPr>
        <w:spacing w:after="60" w:before="60"/>
      </w:pPr>
      <w:r>
        <w:rPr>
          <w:rFonts w:ascii="Arial" w:cs="Arial" w:eastAsia="Arial" w:hAnsi="Arial"/>
          <w:sz w:val="22"/>
          <w:szCs w:val="22"/>
        </w:rPr>
        <w:t xml:space="preserve">Diseñar el próximo período de monitoreo con un período de muestreo pre-operación como línea base comparativa.</w:t>
      </w:r>
    </w:p>
    <w:p>
      <w:pPr>
        <w:spacing w:after="80" w:before="80"/>
      </w:pPr>
      <w:r>
        <w:t xml:space="preserve"/>
      </w:r>
    </w:p>
    <w:p>
      <w:r>
        <w:br w:type="page"/>
      </w:r>
    </w:p>
    <w:p>
      <w:pPr>
        <w:pStyle w:val="Heading1"/>
        <w:spacing w:after="180" w:before="400"/>
      </w:pPr>
      <w:r>
        <w:rPr>
          <w:rFonts w:ascii="Arial" w:cs="Arial" w:eastAsia="Arial" w:hAnsi="Arial"/>
          <w:b/>
          <w:bCs/>
          <w:color w:val="1D6B3A"/>
          <w:sz w:val="32"/>
          <w:szCs w:val="32"/>
        </w:rPr>
        <w:t xml:space="preserve">6. REFERENCIAS</w:t>
      </w:r>
    </w:p>
    <w:p>
      <w:pPr>
        <w:spacing w:after="80" w:before="80" w:line="280"/>
        <w:jc w:val="both"/>
      </w:pPr>
      <w:r>
        <w:rPr>
          <w:rFonts w:ascii="Arial" w:cs="Arial" w:eastAsia="Arial" w:hAnsi="Arial"/>
          <w:sz w:val="22"/>
          <w:szCs w:val="22"/>
        </w:rPr>
        <w:t xml:space="preserve">Bravo-Naranjo, V. y Zuleta-Ramos, C. (2023). Selección de recursos en colonias de Chinchilla laniger. Gayana, 86(1): 1–9.</w:t>
      </w:r>
    </w:p>
    <w:p>
      <w:pPr>
        <w:spacing w:after="80" w:before="80" w:line="280"/>
        <w:jc w:val="both"/>
      </w:pPr>
      <w:r>
        <w:rPr>
          <w:rFonts w:ascii="Arial" w:cs="Arial" w:eastAsia="Arial" w:hAnsi="Arial"/>
          <w:sz w:val="22"/>
          <w:szCs w:val="22"/>
        </w:rPr>
        <w:t xml:space="preserve">Burnham, K.P. y Anderson, D.R. (2002). Model Selection and Multimodel Inference. 2a ed. Springer, Nueva York.</w:t>
      </w:r>
    </w:p>
    <w:p>
      <w:pPr>
        <w:spacing w:after="80" w:before="80" w:line="280"/>
        <w:jc w:val="both"/>
      </w:pPr>
      <w:r>
        <w:rPr>
          <w:rFonts w:ascii="Arial" w:cs="Arial" w:eastAsia="Arial" w:hAnsi="Arial"/>
          <w:sz w:val="22"/>
          <w:szCs w:val="22"/>
        </w:rPr>
        <w:t xml:space="preserve">Campos, C.M., Tognelli, M.F. y Ojeda, R.A. (2013). Microhabitat selection by Octomys mimax in rocky outcrops of the Monte Desert. Journal of Arid Environments.</w:t>
      </w:r>
    </w:p>
    <w:p>
      <w:pPr>
        <w:spacing w:after="80" w:before="80" w:line="280"/>
        <w:jc w:val="both"/>
      </w:pPr>
      <w:r>
        <w:rPr>
          <w:rFonts w:ascii="Arial" w:cs="Arial" w:eastAsia="Arial" w:hAnsi="Arial"/>
          <w:sz w:val="22"/>
          <w:szCs w:val="22"/>
        </w:rPr>
        <w:t xml:space="preserve">Cortés, A., Rosenmann, M. y Báez, C. (2003). Water economy in Chilean rodents. Revista Chilena de Historia Natural, 76: 449–457.</w:t>
      </w:r>
    </w:p>
    <w:p>
      <w:pPr>
        <w:spacing w:after="80" w:before="80" w:line="280"/>
        <w:jc w:val="both"/>
      </w:pPr>
      <w:r>
        <w:rPr>
          <w:rFonts w:ascii="Arial" w:cs="Arial" w:eastAsia="Arial" w:hAnsi="Arial"/>
          <w:sz w:val="22"/>
          <w:szCs w:val="22"/>
        </w:rPr>
        <w:t xml:space="preserve">Hollister, J. y Shah, T. (2022). elevatr: Access Elevation Data from Various APIs. R package version 0.4.2.</w:t>
      </w:r>
    </w:p>
    <w:p>
      <w:pPr>
        <w:spacing w:after="80" w:before="80" w:line="280"/>
        <w:jc w:val="both"/>
      </w:pPr>
      <w:r>
        <w:rPr>
          <w:rFonts w:ascii="Arial" w:cs="Arial" w:eastAsia="Arial" w:hAnsi="Arial"/>
          <w:sz w:val="22"/>
          <w:szCs w:val="22"/>
        </w:rPr>
        <w:t xml:space="preserve">Kellner, K. et al. (2023). The unmarked R package: Twelve years of advances. Methods in Ecology and Evolution, 14(6): 1408–1415.</w:t>
      </w:r>
    </w:p>
    <w:p>
      <w:pPr>
        <w:spacing w:after="80" w:before="80" w:line="280"/>
        <w:jc w:val="both"/>
      </w:pPr>
      <w:r>
        <w:rPr>
          <w:rFonts w:ascii="Arial" w:cs="Arial" w:eastAsia="Arial" w:hAnsi="Arial"/>
          <w:sz w:val="22"/>
          <w:szCs w:val="22"/>
        </w:rPr>
        <w:t xml:space="preserve">Muñoz-Pedreros, A. (2009). Chinchilla de cola corta. In: Muñoz-Pedreros &amp; Yáñez (eds.), Mamíferos de Chile. CEA Ediciones.</w:t>
      </w:r>
    </w:p>
    <w:p>
      <w:pPr>
        <w:spacing w:after="80" w:before="80" w:line="280"/>
        <w:jc w:val="both"/>
      </w:pPr>
      <w:r>
        <w:rPr>
          <w:rFonts w:ascii="Arial" w:cs="Arial" w:eastAsia="Arial" w:hAnsi="Arial"/>
          <w:sz w:val="22"/>
          <w:szCs w:val="22"/>
        </w:rPr>
        <w:t xml:space="preserve">Nutt, K.J. (2007). Phylogeography and population genetics of rock-dwelling mammals. PhD Thesis, University of California.</w:t>
      </w:r>
    </w:p>
    <w:p>
      <w:pPr>
        <w:spacing w:after="80" w:before="80" w:line="280"/>
        <w:jc w:val="both"/>
      </w:pPr>
      <w:r>
        <w:rPr>
          <w:rFonts w:ascii="Arial" w:cs="Arial" w:eastAsia="Arial" w:hAnsi="Arial"/>
          <w:sz w:val="22"/>
          <w:szCs w:val="22"/>
        </w:rPr>
        <w:t xml:space="preserve">R Core Team (2024). R: A language and environment for statistical computing. R Foundation, Viena.</w:t>
      </w:r>
    </w:p>
    <w:p>
      <w:pPr>
        <w:spacing w:after="80" w:before="80" w:line="280"/>
        <w:jc w:val="both"/>
      </w:pPr>
      <w:r>
        <w:rPr>
          <w:rFonts w:ascii="Arial" w:cs="Arial" w:eastAsia="Arial" w:hAnsi="Arial"/>
          <w:sz w:val="22"/>
          <w:szCs w:val="22"/>
        </w:rPr>
        <w:t xml:space="preserve">Royle, J.A. y Nichols, J.D. (2003). Estimating abundance from repeated presence-absence data. Ecology, 84(3): 777–790.</w:t>
      </w:r>
    </w:p>
    <w:p>
      <w:pPr>
        <w:spacing w:after="80" w:before="80" w:line="280"/>
        <w:jc w:val="both"/>
      </w:pPr>
      <w:r>
        <w:rPr>
          <w:rFonts w:ascii="Arial" w:cs="Arial" w:eastAsia="Arial" w:hAnsi="Arial"/>
          <w:sz w:val="22"/>
          <w:szCs w:val="22"/>
        </w:rPr>
        <w:t xml:space="preserve">Stuhler, J.D. et al. (2020). Habitat suitability modelling for Chinchilla chinchilla. Biodiversity and Conservation.</w:t>
      </w:r>
    </w:p>
    <w:p>
      <w:pPr>
        <w:spacing w:after="80" w:before="80"/>
      </w:pPr>
      <w:r>
        <w:t xml:space="preserve"/>
      </w:r>
    </w:p>
    <w:p>
      <w:r>
        <w:br w:type="page"/>
      </w:r>
    </w:p>
    <w:p>
      <w:pPr>
        <w:pStyle w:val="Heading1"/>
        <w:spacing w:after="180" w:before="400"/>
      </w:pPr>
      <w:r>
        <w:rPr>
          <w:rFonts w:ascii="Arial" w:cs="Arial" w:eastAsia="Arial" w:hAnsi="Arial"/>
          <w:b/>
          <w:bCs/>
          <w:color w:val="1D6B3A"/>
          <w:sz w:val="32"/>
          <w:szCs w:val="32"/>
        </w:rPr>
        <w:t xml:space="preserve">7. GLOSARIO DE TÉRMINOS TÉCNICOS</w:t>
      </w:r>
    </w:p>
    <w:p>
      <w:pPr>
        <w:spacing w:after="80" w:before="80" w:line="280"/>
        <w:jc w:val="both"/>
      </w:pPr>
      <w:r>
        <w:rPr>
          <w:rFonts w:ascii="Arial" w:cs="Arial" w:eastAsia="Arial" w:hAnsi="Arial"/>
          <w:sz w:val="22"/>
          <w:szCs w:val="22"/>
        </w:rPr>
        <w:t xml:space="preserve">A continuación se definen los principales términos técnicos estadísticos, geomorfológicos y ecológicos utilizados en este informe.</w:t>
      </w:r>
    </w:p>
    <w:p>
      <w:pPr>
        <w:spacing w:after="80" w:before="80"/>
      </w:pPr>
      <w:r>
        <w:t xml:space="preserve"/>
      </w:r>
    </w:p>
    <w:p>
      <w:pPr>
        <w:pStyle w:val="Heading2"/>
        <w:spacing w:after="120" w:before="260"/>
      </w:pPr>
      <w:r>
        <w:rPr>
          <w:rFonts w:ascii="Arial" w:cs="Arial" w:eastAsia="Arial" w:hAnsi="Arial"/>
          <w:b/>
          <w:bCs/>
          <w:color w:val="000000"/>
          <w:sz w:val="26"/>
          <w:szCs w:val="26"/>
        </w:rPr>
        <w:t xml:space="preserve">Estadística y modelos</w:t>
      </w:r>
    </w:p>
    <w:p>
      <w:pPr>
        <w:spacing w:after="20" w:before="120"/>
      </w:pPr>
      <w:r>
        <w:rPr>
          <w:rFonts w:ascii="Arial" w:cs="Arial" w:eastAsia="Arial" w:hAnsi="Arial"/>
          <w:b/>
          <w:bCs/>
          <w:color w:val="1D6B3A"/>
          <w:sz w:val="22"/>
          <w:szCs w:val="22"/>
        </w:rPr>
        <w:t xml:space="preserve">AICc (Criterio de Información de Akaike corregido)</w:t>
      </w:r>
    </w:p>
    <w:p>
      <w:pPr>
        <w:spacing w:after="100" w:before="0"/>
        <w:ind w:left="360"/>
        <w:jc w:val="both"/>
      </w:pPr>
      <w:r>
        <w:rPr>
          <w:rFonts w:ascii="Arial" w:cs="Arial" w:eastAsia="Arial" w:hAnsi="Arial"/>
          <w:color w:val="000000"/>
          <w:sz w:val="21"/>
          <w:szCs w:val="21"/>
        </w:rPr>
        <w:t xml:space="preserve">Medida estadística para comparar modelos que balancea el ajuste a los datos con la complejidad del modelo (número de parámetros). El modelo con menor AICc es el más parsimonioso. La versión 'corregida' (AICc) se usa cuando el tamaño de muestra es pequeño respecto al número de parámetros.</w:t>
      </w:r>
    </w:p>
    <w:p>
      <w:pPr>
        <w:spacing w:after="20" w:before="120"/>
      </w:pPr>
      <w:r>
        <w:rPr>
          <w:rFonts w:ascii="Arial" w:cs="Arial" w:eastAsia="Arial" w:hAnsi="Arial"/>
          <w:b/>
          <w:bCs/>
          <w:color w:val="1D6B3A"/>
          <w:sz w:val="22"/>
          <w:szCs w:val="22"/>
        </w:rPr>
        <w:t xml:space="preserve">ΔAICc (Delta AICc)</w:t>
      </w:r>
    </w:p>
    <w:p>
      <w:pPr>
        <w:spacing w:after="100" w:before="0"/>
        <w:ind w:left="360"/>
        <w:jc w:val="both"/>
      </w:pPr>
      <w:r>
        <w:rPr>
          <w:rFonts w:ascii="Arial" w:cs="Arial" w:eastAsia="Arial" w:hAnsi="Arial"/>
          <w:color w:val="000000"/>
          <w:sz w:val="21"/>
          <w:szCs w:val="21"/>
        </w:rPr>
        <w:t xml:space="preserve">Diferencia en AICc respecto al mejor modelo. ΔAICc = 0 en el mejor modelo. Valores &lt; 2 indican modelos igualmente plausibles; 2–6 soporte moderado; &gt; 10 soporte nulo.</w:t>
      </w:r>
    </w:p>
    <w:p>
      <w:pPr>
        <w:spacing w:after="20" w:before="120"/>
      </w:pPr>
      <w:r>
        <w:rPr>
          <w:rFonts w:ascii="Arial" w:cs="Arial" w:eastAsia="Arial" w:hAnsi="Arial"/>
          <w:b/>
          <w:bCs/>
          <w:color w:val="1D6B3A"/>
          <w:sz w:val="22"/>
          <w:szCs w:val="22"/>
        </w:rPr>
        <w:t xml:space="preserve">Peso de evidencia AICc</w:t>
      </w:r>
    </w:p>
    <w:p>
      <w:pPr>
        <w:spacing w:after="100" w:before="0"/>
        <w:ind w:left="360"/>
        <w:jc w:val="both"/>
      </w:pPr>
      <w:r>
        <w:rPr>
          <w:rFonts w:ascii="Arial" w:cs="Arial" w:eastAsia="Arial" w:hAnsi="Arial"/>
          <w:color w:val="000000"/>
          <w:sz w:val="21"/>
          <w:szCs w:val="21"/>
        </w:rPr>
        <w:t xml:space="preserve">Probabilidad relativa de que cada modelo sea el verdadero mejor modelo dado el conjunto evaluado. Los pesos suman 1 entre todos los modelos comparados.</w:t>
      </w:r>
    </w:p>
    <w:p>
      <w:pPr>
        <w:spacing w:after="20" w:before="120"/>
      </w:pPr>
      <w:r>
        <w:rPr>
          <w:rFonts w:ascii="Arial" w:cs="Arial" w:eastAsia="Arial" w:hAnsi="Arial"/>
          <w:b/>
          <w:bCs/>
          <w:color w:val="1D6B3A"/>
          <w:sz w:val="22"/>
          <w:szCs w:val="22"/>
        </w:rPr>
        <w:t xml:space="preserve">Modelo Royle-Nichols (occuRN)</w:t>
      </w:r>
    </w:p>
    <w:p>
      <w:pPr>
        <w:spacing w:after="100" w:before="0"/>
        <w:ind w:left="360"/>
        <w:jc w:val="both"/>
      </w:pPr>
      <w:r>
        <w:rPr>
          <w:rFonts w:ascii="Arial" w:cs="Arial" w:eastAsia="Arial" w:hAnsi="Arial"/>
          <w:color w:val="000000"/>
          <w:sz w:val="21"/>
          <w:szCs w:val="21"/>
        </w:rPr>
        <w:t xml:space="preserve">Modelo estadístico que estima la abundancia local de individuos (N) en cada sitio a partir de historiales de detección/no detección repetidos, sin requerir el marcaje individual. Asume que la heterogeneidad en la probabilidad de detección entre sitios refleja variación en abundancia.</w:t>
      </w:r>
    </w:p>
    <w:p>
      <w:pPr>
        <w:spacing w:after="20" w:before="120"/>
      </w:pPr>
      <w:r>
        <w:rPr>
          <w:rFonts w:ascii="Arial" w:cs="Arial" w:eastAsia="Arial" w:hAnsi="Arial"/>
          <w:b/>
          <w:bCs/>
          <w:color w:val="1D6B3A"/>
          <w:sz w:val="22"/>
          <w:szCs w:val="22"/>
        </w:rPr>
        <w:t xml:space="preserve">Probabilidad de detección (p)</w:t>
      </w:r>
    </w:p>
    <w:p>
      <w:pPr>
        <w:spacing w:after="100" w:before="0"/>
        <w:ind w:left="360"/>
        <w:jc w:val="both"/>
      </w:pPr>
      <w:r>
        <w:rPr>
          <w:rFonts w:ascii="Arial" w:cs="Arial" w:eastAsia="Arial" w:hAnsi="Arial"/>
          <w:color w:val="000000"/>
          <w:sz w:val="21"/>
          <w:szCs w:val="21"/>
        </w:rPr>
        <w:t xml:space="preserve">Probabilidad de registrar a la especie en una ocasión de muestreo dado que está presente en el sitio. En este estudio: p = 0,254, es decir un 25,4% de probabilidad de detectar a la chinchilla en un mes dado si está usando la guarida.</w:t>
      </w:r>
    </w:p>
    <w:p>
      <w:pPr>
        <w:spacing w:after="20" w:before="120"/>
      </w:pPr>
      <w:r>
        <w:rPr>
          <w:rFonts w:ascii="Arial" w:cs="Arial" w:eastAsia="Arial" w:hAnsi="Arial"/>
          <w:b/>
          <w:bCs/>
          <w:color w:val="1D6B3A"/>
          <w:sz w:val="22"/>
          <w:szCs w:val="22"/>
        </w:rPr>
        <w:t xml:space="preserve">Abundancia en escala logarítmica</w:t>
      </w:r>
    </w:p>
    <w:p>
      <w:pPr>
        <w:spacing w:after="100" w:before="0"/>
        <w:ind w:left="360"/>
        <w:jc w:val="both"/>
      </w:pPr>
      <w:r>
        <w:rPr>
          <w:rFonts w:ascii="Arial" w:cs="Arial" w:eastAsia="Arial" w:hAnsi="Arial"/>
          <w:color w:val="000000"/>
          <w:sz w:val="21"/>
          <w:szCs w:val="21"/>
        </w:rPr>
        <w:t xml:space="preserve">Los coeficientes del modelo Royle-Nichols se estiman en escala log. Para obtener el número de individuos se aplica la función exponencial: e^coeficiente. Ejemplo: intercepto = 2,567 → e^2,567 = 13,0 individuos.</w:t>
      </w:r>
    </w:p>
    <w:p>
      <w:pPr>
        <w:spacing w:after="20" w:before="120"/>
      </w:pPr>
      <w:r>
        <w:rPr>
          <w:rFonts w:ascii="Arial" w:cs="Arial" w:eastAsia="Arial" w:hAnsi="Arial"/>
          <w:b/>
          <w:bCs/>
          <w:color w:val="1D6B3A"/>
          <w:sz w:val="22"/>
          <w:szCs w:val="22"/>
        </w:rPr>
        <w:t xml:space="preserve">Z-score (estandarización)</w:t>
      </w:r>
    </w:p>
    <w:p>
      <w:pPr>
        <w:spacing w:after="100" w:before="0"/>
        <w:ind w:left="360"/>
        <w:jc w:val="both"/>
      </w:pPr>
      <w:r>
        <w:rPr>
          <w:rFonts w:ascii="Arial" w:cs="Arial" w:eastAsia="Arial" w:hAnsi="Arial"/>
          <w:color w:val="000000"/>
          <w:sz w:val="21"/>
          <w:szCs w:val="21"/>
        </w:rPr>
        <w:t xml:space="preserve">Transformación que convierte una variable a media = 0 y desviación estándar = 1. Se aplica restando la media y dividiendo por la desviación estándar. Permite comparar variables en distintas escalas. En el código R: scale().</w:t>
      </w:r>
    </w:p>
    <w:p>
      <w:pPr>
        <w:spacing w:after="20" w:before="120"/>
      </w:pPr>
      <w:r>
        <w:rPr>
          <w:rFonts w:ascii="Arial" w:cs="Arial" w:eastAsia="Arial" w:hAnsi="Arial"/>
          <w:b/>
          <w:bCs/>
          <w:color w:val="1D6B3A"/>
          <w:sz w:val="22"/>
          <w:szCs w:val="22"/>
        </w:rPr>
        <w:t xml:space="preserve">Correlación de Spearman (rs)</w:t>
      </w:r>
    </w:p>
    <w:p>
      <w:pPr>
        <w:spacing w:after="100" w:before="0"/>
        <w:ind w:left="360"/>
        <w:jc w:val="both"/>
      </w:pPr>
      <w:r>
        <w:rPr>
          <w:rFonts w:ascii="Arial" w:cs="Arial" w:eastAsia="Arial" w:hAnsi="Arial"/>
          <w:color w:val="000000"/>
          <w:sz w:val="21"/>
          <w:szCs w:val="21"/>
        </w:rPr>
        <w:t xml:space="preserve">Medida de asociación entre dos variables basada en rangos, adecuada para datos que no siguen distribución normal. Varía entre −1 (correlación negativa perfecta) y +1 (positiva perfecta). Se usó para evaluar la relación entre DeltaT y tasa de ocupación.</w:t>
      </w:r>
    </w:p>
    <w:p>
      <w:pPr>
        <w:spacing w:after="20" w:before="120"/>
      </w:pPr>
      <w:r>
        <w:rPr>
          <w:rFonts w:ascii="Arial" w:cs="Arial" w:eastAsia="Arial" w:hAnsi="Arial"/>
          <w:b/>
          <w:bCs/>
          <w:color w:val="1D6B3A"/>
          <w:sz w:val="22"/>
          <w:szCs w:val="22"/>
        </w:rPr>
        <w:t xml:space="preserve">Kruskal-Wallis / Mann-Whitney</w:t>
      </w:r>
    </w:p>
    <w:p>
      <w:pPr>
        <w:spacing w:after="100" w:before="0"/>
        <w:ind w:left="360"/>
        <w:jc w:val="both"/>
      </w:pPr>
      <w:r>
        <w:rPr>
          <w:rFonts w:ascii="Arial" w:cs="Arial" w:eastAsia="Arial" w:hAnsi="Arial"/>
          <w:color w:val="000000"/>
          <w:sz w:val="21"/>
          <w:szCs w:val="21"/>
        </w:rPr>
        <w:t xml:space="preserve">Pruebas estadísticas no paramétricas para comparar distribuciones entre grupos. Kruskal-Wallis compara 3 o más grupos simultáneamente; Mann-Whitney compara 2 grupos. Se usan cuando los datos no siguen distribución normal, como las tasas de ocupación.</w:t>
      </w:r>
    </w:p>
    <w:p>
      <w:pPr>
        <w:spacing w:after="20" w:before="120"/>
      </w:pPr>
      <w:r>
        <w:rPr>
          <w:rFonts w:ascii="Arial" w:cs="Arial" w:eastAsia="Arial" w:hAnsi="Arial"/>
          <w:b/>
          <w:bCs/>
          <w:color w:val="1D6B3A"/>
          <w:sz w:val="22"/>
          <w:szCs w:val="22"/>
        </w:rPr>
        <w:t xml:space="preserve">Intercepto</w:t>
      </w:r>
    </w:p>
    <w:p>
      <w:pPr>
        <w:spacing w:after="100" w:before="0"/>
        <w:ind w:left="360"/>
        <w:jc w:val="both"/>
      </w:pPr>
      <w:r>
        <w:rPr>
          <w:rFonts w:ascii="Arial" w:cs="Arial" w:eastAsia="Arial" w:hAnsi="Arial"/>
          <w:color w:val="000000"/>
          <w:sz w:val="21"/>
          <w:szCs w:val="21"/>
        </w:rPr>
        <w:t xml:space="preserve">En un modelo estadístico, el intercepto es el valor estimado de la variable respuesta cuando todas las variables predictoras son cero (o están en su categoría de referencia). En este estudio, el intercepto corresponde a las guaridas artificiales norte con TPI promedio.</w:t>
      </w:r>
    </w:p>
    <w:p>
      <w:pPr>
        <w:spacing w:after="20" w:before="120"/>
      </w:pPr>
      <w:r>
        <w:rPr>
          <w:rFonts w:ascii="Arial" w:cs="Arial" w:eastAsia="Arial" w:hAnsi="Arial"/>
          <w:b/>
          <w:bCs/>
          <w:color w:val="1D6B3A"/>
          <w:sz w:val="22"/>
          <w:szCs w:val="22"/>
        </w:rPr>
        <w:t xml:space="preserve">Índice de co-ocurrencia</w:t>
      </w:r>
    </w:p>
    <w:p>
      <w:pPr>
        <w:spacing w:after="100" w:before="0"/>
        <w:ind w:left="360"/>
        <w:jc w:val="both"/>
      </w:pPr>
      <w:r>
        <w:rPr>
          <w:rFonts w:ascii="Arial" w:cs="Arial" w:eastAsia="Arial" w:hAnsi="Arial"/>
          <w:color w:val="000000"/>
          <w:sz w:val="21"/>
          <w:szCs w:val="21"/>
        </w:rPr>
        <w:t xml:space="preserve">Proporción de semanas en que dos guaridas cercanas estuvieron ocupadas simultáneamente, respecto al total de semanas en que al menos una estuvo ocupada. Valores cercanos a 1 sugieren uso por los mismos individuos.</w:t>
      </w:r>
    </w:p>
    <w:p>
      <w:pPr>
        <w:pStyle w:val="Heading2"/>
        <w:spacing w:after="120" w:before="260"/>
      </w:pPr>
      <w:r>
        <w:rPr>
          <w:rFonts w:ascii="Arial" w:cs="Arial" w:eastAsia="Arial" w:hAnsi="Arial"/>
          <w:b/>
          <w:bCs/>
          <w:color w:val="000000"/>
          <w:sz w:val="26"/>
          <w:szCs w:val="26"/>
        </w:rPr>
        <w:t xml:space="preserve">Variables geomorfológicas (GIS)</w:t>
      </w:r>
    </w:p>
    <w:p>
      <w:pPr>
        <w:spacing w:after="20" w:before="120"/>
      </w:pPr>
      <w:r>
        <w:rPr>
          <w:rFonts w:ascii="Arial" w:cs="Arial" w:eastAsia="Arial" w:hAnsi="Arial"/>
          <w:b/>
          <w:bCs/>
          <w:color w:val="1D6B3A"/>
          <w:sz w:val="22"/>
          <w:szCs w:val="22"/>
        </w:rPr>
        <w:t xml:space="preserve">DEM (Modelo Digital de Elevación)</w:t>
      </w:r>
    </w:p>
    <w:p>
      <w:pPr>
        <w:spacing w:after="100" w:before="0"/>
        <w:ind w:left="360"/>
        <w:jc w:val="both"/>
      </w:pPr>
      <w:r>
        <w:rPr>
          <w:rFonts w:ascii="Arial" w:cs="Arial" w:eastAsia="Arial" w:hAnsi="Arial"/>
          <w:color w:val="000000"/>
          <w:sz w:val="21"/>
          <w:szCs w:val="21"/>
        </w:rPr>
        <w:t xml:space="preserve">Representación digital de la topografía del terreno, almacenada como una grilla de píxeles donde cada celda contiene un valor de elevación en metros. En este estudio se usó el DEM de AWS Terrain Tiles (basado en SRTM/NASA) descargado con el paquete elevatr de R.</w:t>
      </w:r>
    </w:p>
    <w:p>
      <w:pPr>
        <w:spacing w:after="20" w:before="120"/>
      </w:pPr>
      <w:r>
        <w:rPr>
          <w:rFonts w:ascii="Arial" w:cs="Arial" w:eastAsia="Arial" w:hAnsi="Arial"/>
          <w:b/>
          <w:bCs/>
          <w:color w:val="1D6B3A"/>
          <w:sz w:val="22"/>
          <w:szCs w:val="22"/>
        </w:rPr>
        <w:t xml:space="preserve">SRTM (Shuttle Radar Topography Mission)</w:t>
      </w:r>
    </w:p>
    <w:p>
      <w:pPr>
        <w:spacing w:after="100" w:before="0"/>
        <w:ind w:left="360"/>
        <w:jc w:val="both"/>
      </w:pPr>
      <w:r>
        <w:rPr>
          <w:rFonts w:ascii="Arial" w:cs="Arial" w:eastAsia="Arial" w:hAnsi="Arial"/>
          <w:color w:val="000000"/>
          <w:sz w:val="21"/>
          <w:szCs w:val="21"/>
        </w:rPr>
        <w:t xml:space="preserve">Misión de la NASA/USGS que en 2000 generó el modelo de elevación digital más completo del planeta a resolución de 30 metros, usando radar de apertura sintética desde el transbordador espacial Endeavour.</w:t>
      </w:r>
    </w:p>
    <w:p>
      <w:pPr>
        <w:spacing w:after="20" w:before="120"/>
      </w:pPr>
      <w:r>
        <w:rPr>
          <w:rFonts w:ascii="Arial" w:cs="Arial" w:eastAsia="Arial" w:hAnsi="Arial"/>
          <w:b/>
          <w:bCs/>
          <w:color w:val="1D6B3A"/>
          <w:sz w:val="22"/>
          <w:szCs w:val="22"/>
        </w:rPr>
        <w:t xml:space="preserve">TPI (Topographic Position Index)</w:t>
      </w:r>
    </w:p>
    <w:p>
      <w:pPr>
        <w:spacing w:after="100" w:before="0"/>
        <w:ind w:left="360"/>
        <w:jc w:val="both"/>
      </w:pPr>
      <w:r>
        <w:rPr>
          <w:rFonts w:ascii="Arial" w:cs="Arial" w:eastAsia="Arial" w:hAnsi="Arial"/>
          <w:color w:val="000000"/>
          <w:sz w:val="21"/>
          <w:szCs w:val="21"/>
        </w:rPr>
        <w:t xml:space="preserve">Índice topográfico de posición que mide la diferencia entre la elevación de un punto y la elevación promedio de su entorno inmediato. Valores negativos = quebrada o fondo de valle (punto más bajo que el entorno); valores positivos = cresta o ladera elevada (punto más alto que el entorno); valores cercanos a 0 = ladera plana.</w:t>
      </w:r>
    </w:p>
    <w:p>
      <w:pPr>
        <w:spacing w:after="20" w:before="120"/>
      </w:pPr>
      <w:r>
        <w:rPr>
          <w:rFonts w:ascii="Arial" w:cs="Arial" w:eastAsia="Arial" w:hAnsi="Arial"/>
          <w:b/>
          <w:bCs/>
          <w:color w:val="1D6B3A"/>
          <w:sz w:val="22"/>
          <w:szCs w:val="22"/>
        </w:rPr>
        <w:t xml:space="preserve">tpi_z</w:t>
      </w:r>
    </w:p>
    <w:p>
      <w:pPr>
        <w:spacing w:after="100" w:before="0"/>
        <w:ind w:left="360"/>
        <w:jc w:val="both"/>
      </w:pPr>
      <w:r>
        <w:rPr>
          <w:rFonts w:ascii="Arial" w:cs="Arial" w:eastAsia="Arial" w:hAnsi="Arial"/>
          <w:color w:val="000000"/>
          <w:sz w:val="21"/>
          <w:szCs w:val="21"/>
        </w:rPr>
        <w:t xml:space="preserve">TPI estandarizado mediante z-score para su uso en los modelos estadísticos. Misma información que TPI pero en escala con media = 0 y DE = 1.</w:t>
      </w:r>
    </w:p>
    <w:p>
      <w:pPr>
        <w:spacing w:after="20" w:before="120"/>
      </w:pPr>
      <w:r>
        <w:rPr>
          <w:rFonts w:ascii="Arial" w:cs="Arial" w:eastAsia="Arial" w:hAnsi="Arial"/>
          <w:b/>
          <w:bCs/>
          <w:color w:val="1D6B3A"/>
          <w:sz w:val="22"/>
          <w:szCs w:val="22"/>
        </w:rPr>
        <w:t xml:space="preserve">Rugosidad del terreno</w:t>
      </w:r>
    </w:p>
    <w:p>
      <w:pPr>
        <w:spacing w:after="100" w:before="0"/>
        <w:ind w:left="360"/>
        <w:jc w:val="both"/>
      </w:pPr>
      <w:r>
        <w:rPr>
          <w:rFonts w:ascii="Arial" w:cs="Arial" w:eastAsia="Arial" w:hAnsi="Arial"/>
          <w:color w:val="000000"/>
          <w:sz w:val="21"/>
          <w:szCs w:val="21"/>
        </w:rPr>
        <w:t xml:space="preserve">Medida de la variación de elevación en una ventana de píxeles vecinos (3×3 en este estudio). Valores altos indican terreno irregular con muchos cambios de elevación — característico de quebradas con afloramientos rocosos donde la chinchilla encuentra refugios.</w:t>
      </w:r>
    </w:p>
    <w:p>
      <w:pPr>
        <w:spacing w:after="20" w:before="120"/>
      </w:pPr>
      <w:r>
        <w:rPr>
          <w:rFonts w:ascii="Arial" w:cs="Arial" w:eastAsia="Arial" w:hAnsi="Arial"/>
          <w:b/>
          <w:bCs/>
          <w:color w:val="1D6B3A"/>
          <w:sz w:val="22"/>
          <w:szCs w:val="22"/>
        </w:rPr>
        <w:t xml:space="preserve">Exposición de ladera</w:t>
      </w:r>
    </w:p>
    <w:p>
      <w:pPr>
        <w:spacing w:after="100" w:before="0"/>
        <w:ind w:left="360"/>
        <w:jc w:val="both"/>
      </w:pPr>
      <w:r>
        <w:rPr>
          <w:rFonts w:ascii="Arial" w:cs="Arial" w:eastAsia="Arial" w:hAnsi="Arial"/>
          <w:color w:val="000000"/>
          <w:sz w:val="21"/>
          <w:szCs w:val="21"/>
        </w:rPr>
        <w:t xml:space="preserve">Orientación cardinal hacia la que 'mira' una ladera, derivada del aspecto del terreno (ángulo en grados desde el norte). Norte: 315–360° y 0–45°; Este: 45–135°; Sur: 135–225°; Oeste: 225–315°. Determina la cantidad de radiación solar directa que recibe la superficie.</w:t>
      </w:r>
    </w:p>
    <w:p>
      <w:pPr>
        <w:spacing w:after="20" w:before="120"/>
      </w:pPr>
      <w:r>
        <w:rPr>
          <w:rFonts w:ascii="Arial" w:cs="Arial" w:eastAsia="Arial" w:hAnsi="Arial"/>
          <w:b/>
          <w:bCs/>
          <w:color w:val="1D6B3A"/>
          <w:sz w:val="22"/>
          <w:szCs w:val="22"/>
        </w:rPr>
        <w:t xml:space="preserve">Radiación solar potencial</w:t>
      </w:r>
    </w:p>
    <w:p>
      <w:pPr>
        <w:spacing w:after="100" w:before="0"/>
        <w:ind w:left="360"/>
        <w:jc w:val="both"/>
      </w:pPr>
      <w:r>
        <w:rPr>
          <w:rFonts w:ascii="Arial" w:cs="Arial" w:eastAsia="Arial" w:hAnsi="Arial"/>
          <w:color w:val="000000"/>
          <w:sz w:val="21"/>
          <w:szCs w:val="21"/>
        </w:rPr>
        <w:t xml:space="preserve">Índice de iluminación solar directa (0–1) calculado a partir de la pendiente, el aspecto del terreno y el ángulo solar para la latitud del área de estudio (~23°S). Valores altos indican mayor exposición solar directa.</w:t>
      </w:r>
    </w:p>
    <w:p>
      <w:pPr>
        <w:spacing w:after="20" w:before="120"/>
      </w:pPr>
      <w:r>
        <w:rPr>
          <w:rFonts w:ascii="Arial" w:cs="Arial" w:eastAsia="Arial" w:hAnsi="Arial"/>
          <w:b/>
          <w:bCs/>
          <w:color w:val="1D6B3A"/>
          <w:sz w:val="22"/>
          <w:szCs w:val="22"/>
        </w:rPr>
        <w:t xml:space="preserve">UTM (Universal Transverse Mercator)</w:t>
      </w:r>
    </w:p>
    <w:p>
      <w:pPr>
        <w:spacing w:after="100" w:before="0"/>
        <w:ind w:left="360"/>
        <w:jc w:val="both"/>
      </w:pPr>
      <w:r>
        <w:rPr>
          <w:rFonts w:ascii="Arial" w:cs="Arial" w:eastAsia="Arial" w:hAnsi="Arial"/>
          <w:color w:val="000000"/>
          <w:sz w:val="21"/>
          <w:szCs w:val="21"/>
        </w:rPr>
        <w:t xml:space="preserve">Sistema de proyección cartográfica que divide el mundo en zonas y expresa las coordenadas en metros. El área de estudio se encuentra en la zona UTM 19S (EPSG:32719), que cubre el norte de Chile.</w:t>
      </w:r>
    </w:p>
    <w:p>
      <w:pPr>
        <w:pStyle w:val="Heading2"/>
        <w:spacing w:after="120" w:before="260"/>
      </w:pPr>
      <w:r>
        <w:rPr>
          <w:rFonts w:ascii="Arial" w:cs="Arial" w:eastAsia="Arial" w:hAnsi="Arial"/>
          <w:b/>
          <w:bCs/>
          <w:color w:val="000000"/>
          <w:sz w:val="26"/>
          <w:szCs w:val="26"/>
        </w:rPr>
        <w:t xml:space="preserve">Ecología y diseño del estudio</w:t>
      </w:r>
    </w:p>
    <w:p>
      <w:pPr>
        <w:spacing w:after="20" w:before="120"/>
      </w:pPr>
      <w:r>
        <w:rPr>
          <w:rFonts w:ascii="Arial" w:cs="Arial" w:eastAsia="Arial" w:hAnsi="Arial"/>
          <w:b/>
          <w:bCs/>
          <w:color w:val="1D6B3A"/>
          <w:sz w:val="22"/>
          <w:szCs w:val="22"/>
        </w:rPr>
        <w:t xml:space="preserve">Tasa de ocupación (naive)</w:t>
      </w:r>
    </w:p>
    <w:p>
      <w:pPr>
        <w:spacing w:after="100" w:before="0"/>
        <w:ind w:left="360"/>
        <w:jc w:val="both"/>
      </w:pPr>
      <w:r>
        <w:rPr>
          <w:rFonts w:ascii="Arial" w:cs="Arial" w:eastAsia="Arial" w:hAnsi="Arial"/>
          <w:color w:val="000000"/>
          <w:sz w:val="21"/>
          <w:szCs w:val="21"/>
        </w:rPr>
        <w:t xml:space="preserve">Proporción de semanas de muestreo en que se registró presencia de la especie en una guarida. Calculada como: semanas con presencia / 34 semanas totales. Es una medida directa del uso de la guarida, sin corrección por detectabilidad imperfecta.</w:t>
      </w:r>
    </w:p>
    <w:p>
      <w:pPr>
        <w:spacing w:after="20" w:before="120"/>
      </w:pPr>
      <w:r>
        <w:rPr>
          <w:rFonts w:ascii="Arial" w:cs="Arial" w:eastAsia="Arial" w:hAnsi="Arial"/>
          <w:b/>
          <w:bCs/>
          <w:color w:val="1D6B3A"/>
          <w:sz w:val="22"/>
          <w:szCs w:val="22"/>
        </w:rPr>
        <w:t xml:space="preserve">DeltaT (Diferencial térmico)</w:t>
      </w:r>
    </w:p>
    <w:p>
      <w:pPr>
        <w:spacing w:after="100" w:before="0"/>
        <w:ind w:left="360"/>
        <w:jc w:val="both"/>
      </w:pPr>
      <w:r>
        <w:rPr>
          <w:rFonts w:ascii="Arial" w:cs="Arial" w:eastAsia="Arial" w:hAnsi="Arial"/>
          <w:color w:val="000000"/>
          <w:sz w:val="21"/>
          <w:szCs w:val="21"/>
        </w:rPr>
        <w:t xml:space="preserve">Diferencia entre la temperatura interna de la guarida y la temperatura externa ambiental (T_Int − T_Ext, en °C). Valores negativos indican que el interior es más fresco que el exterior — medida directa de la función de refugio térmico de la guarida.</w:t>
      </w:r>
    </w:p>
    <w:p>
      <w:pPr>
        <w:spacing w:after="20" w:before="120"/>
      </w:pPr>
      <w:r>
        <w:rPr>
          <w:rFonts w:ascii="Arial" w:cs="Arial" w:eastAsia="Arial" w:hAnsi="Arial"/>
          <w:b/>
          <w:bCs/>
          <w:color w:val="1D6B3A"/>
          <w:sz w:val="22"/>
          <w:szCs w:val="22"/>
        </w:rPr>
        <w:t xml:space="preserve">Guarida artificial</w:t>
      </w:r>
    </w:p>
    <w:p>
      <w:pPr>
        <w:spacing w:after="100" w:before="0"/>
        <w:ind w:left="360"/>
        <w:jc w:val="both"/>
      </w:pPr>
      <w:r>
        <w:rPr>
          <w:rFonts w:ascii="Arial" w:cs="Arial" w:eastAsia="Arial" w:hAnsi="Arial"/>
          <w:color w:val="000000"/>
          <w:sz w:val="21"/>
          <w:szCs w:val="21"/>
        </w:rPr>
        <w:t xml:space="preserve">Estructura de refugio construida artificialmente como medida de compensación ambiental del Proyecto SADDN, diseñada para proveer hábitat equivalente al de las guaridas naturales afectadas por la construcción de la tubería.</w:t>
      </w:r>
    </w:p>
    <w:p>
      <w:pPr>
        <w:spacing w:after="20" w:before="120"/>
      </w:pPr>
      <w:r>
        <w:rPr>
          <w:rFonts w:ascii="Arial" w:cs="Arial" w:eastAsia="Arial" w:hAnsi="Arial"/>
          <w:b/>
          <w:bCs/>
          <w:color w:val="1D6B3A"/>
          <w:sz w:val="22"/>
          <w:szCs w:val="22"/>
        </w:rPr>
        <w:t xml:space="preserve">Guarida natural</w:t>
      </w:r>
    </w:p>
    <w:p>
      <w:pPr>
        <w:spacing w:after="100" w:before="0"/>
        <w:ind w:left="360"/>
        <w:jc w:val="both"/>
      </w:pPr>
      <w:r>
        <w:rPr>
          <w:rFonts w:ascii="Arial" w:cs="Arial" w:eastAsia="Arial" w:hAnsi="Arial"/>
          <w:color w:val="000000"/>
          <w:sz w:val="21"/>
          <w:szCs w:val="21"/>
        </w:rPr>
        <w:t xml:space="preserve">Cavidad o refugio rocoso pre-existente usado naturalmente por la chinchilla de cola corta antes de la construcción del proyecto. Sirve como grupo control o línea de referencia para evaluar la efectividad de las guaridas artificiales.</w:t>
      </w:r>
    </w:p>
    <w:p>
      <w:pPr>
        <w:spacing w:after="20" w:before="120"/>
      </w:pPr>
      <w:r>
        <w:rPr>
          <w:rFonts w:ascii="Arial" w:cs="Arial" w:eastAsia="Arial" w:hAnsi="Arial"/>
          <w:b/>
          <w:bCs/>
          <w:color w:val="1D6B3A"/>
          <w:sz w:val="22"/>
          <w:szCs w:val="22"/>
        </w:rPr>
        <w:t xml:space="preserve">Cluster</w:t>
      </w:r>
    </w:p>
    <w:p>
      <w:pPr>
        <w:spacing w:after="100" w:before="0"/>
        <w:ind w:left="360"/>
        <w:jc w:val="both"/>
      </w:pPr>
      <w:r>
        <w:rPr>
          <w:rFonts w:ascii="Arial" w:cs="Arial" w:eastAsia="Arial" w:hAnsi="Arial"/>
          <w:color w:val="000000"/>
          <w:sz w:val="21"/>
          <w:szCs w:val="21"/>
        </w:rPr>
        <w:t xml:space="preserve">Agrupación espacial de guaridas que comparten el mismo número identificador G[n]. Cada cluster incluye una guarida natural de referencia (ID[n]) y sus guaridas artificiales asociadas, ubicadas a ambos lados de la traza de la tubería.</w:t>
      </w:r>
    </w:p>
    <w:p>
      <w:pPr>
        <w:spacing w:after="20" w:before="120"/>
      </w:pPr>
      <w:r>
        <w:rPr>
          <w:rFonts w:ascii="Arial" w:cs="Arial" w:eastAsia="Arial" w:hAnsi="Arial"/>
          <w:b/>
          <w:bCs/>
          <w:color w:val="1D6B3A"/>
          <w:sz w:val="22"/>
          <w:szCs w:val="22"/>
        </w:rPr>
        <w:t xml:space="preserve">Co-ocurrencia espaciotemporal</w:t>
      </w:r>
    </w:p>
    <w:p>
      <w:pPr>
        <w:spacing w:after="100" w:before="0"/>
        <w:ind w:left="360"/>
        <w:jc w:val="both"/>
      </w:pPr>
      <w:r>
        <w:rPr>
          <w:rFonts w:ascii="Arial" w:cs="Arial" w:eastAsia="Arial" w:hAnsi="Arial"/>
          <w:color w:val="000000"/>
          <w:sz w:val="21"/>
          <w:szCs w:val="21"/>
        </w:rPr>
        <w:t xml:space="preserve">Análisis que evalúa si dos guaridas cercanas son ocupadas simultáneamente con mayor frecuencia de la esperada por azar, lo que sugiere que el mismo individuo las usa como parte de su territorio o rango de hogar.</w:t>
      </w:r>
    </w:p>
    <w:p>
      <w:pPr>
        <w:spacing w:after="20" w:before="120"/>
      </w:pPr>
      <w:r>
        <w:rPr>
          <w:rFonts w:ascii="Arial" w:cs="Arial" w:eastAsia="Arial" w:hAnsi="Arial"/>
          <w:b/>
          <w:bCs/>
          <w:color w:val="1D6B3A"/>
          <w:sz w:val="22"/>
          <w:szCs w:val="22"/>
        </w:rPr>
        <w:t xml:space="preserve">Home range (rango de hogar)</w:t>
      </w:r>
    </w:p>
    <w:p>
      <w:pPr>
        <w:spacing w:after="100" w:before="0"/>
        <w:ind w:left="360"/>
        <w:jc w:val="both"/>
      </w:pPr>
      <w:r>
        <w:rPr>
          <w:rFonts w:ascii="Arial" w:cs="Arial" w:eastAsia="Arial" w:hAnsi="Arial"/>
          <w:color w:val="000000"/>
          <w:sz w:val="21"/>
          <w:szCs w:val="21"/>
        </w:rPr>
        <w:t xml:space="preserve">Área que un individuo utiliza regularmente para sus actividades de alimentación, refugio y reproducción. En chinchilla de cola corta se estima entre 0,5 y 2 hectáreas, equivalente a un radio de 40–80 metros.</w:t>
      </w:r>
    </w:p>
    <w:p>
      <w:pPr>
        <w:spacing w:after="20" w:before="120"/>
      </w:pPr>
      <w:r>
        <w:rPr>
          <w:rFonts w:ascii="Arial" w:cs="Arial" w:eastAsia="Arial" w:hAnsi="Arial"/>
          <w:b/>
          <w:bCs/>
          <w:color w:val="1D6B3A"/>
          <w:sz w:val="22"/>
          <w:szCs w:val="22"/>
        </w:rPr>
        <w:t xml:space="preserve">Foto-identificación</w:t>
      </w:r>
    </w:p>
    <w:p>
      <w:pPr>
        <w:spacing w:after="100" w:before="0"/>
        <w:ind w:left="360"/>
        <w:jc w:val="both"/>
      </w:pPr>
      <w:r>
        <w:rPr>
          <w:rFonts w:ascii="Arial" w:cs="Arial" w:eastAsia="Arial" w:hAnsi="Arial"/>
          <w:color w:val="000000"/>
          <w:sz w:val="21"/>
          <w:szCs w:val="21"/>
        </w:rPr>
        <w:t xml:space="preserve">Técnica no invasiva para identificar individuos de una especie mediante marcas naturales únicas visibles en fotografías (cicatrices, manchas de pelaje, deformaciones). No requiere captura ni marcaje físico del animal.</w:t>
      </w:r>
    </w:p>
    <w:p>
      <w:pPr>
        <w:spacing w:after="20" w:before="120"/>
      </w:pPr>
      <w:r>
        <w:rPr>
          <w:rFonts w:ascii="Arial" w:cs="Arial" w:eastAsia="Arial" w:hAnsi="Arial"/>
          <w:b/>
          <w:bCs/>
          <w:color w:val="1D6B3A"/>
          <w:sz w:val="22"/>
          <w:szCs w:val="22"/>
        </w:rPr>
        <w:t xml:space="preserve">Análisis intra-cluster</w:t>
      </w:r>
    </w:p>
    <w:p>
      <w:pPr>
        <w:spacing w:after="100" w:before="0"/>
        <w:ind w:left="360"/>
        <w:jc w:val="both"/>
      </w:pPr>
      <w:r>
        <w:rPr>
          <w:rFonts w:ascii="Arial" w:cs="Arial" w:eastAsia="Arial" w:hAnsi="Arial"/>
          <w:color w:val="000000"/>
          <w:sz w:val="21"/>
          <w:szCs w:val="21"/>
        </w:rPr>
        <w:t xml:space="preserve">Comparación de la tasa de ocupación entre la guarida natural de referencia y las guaridas artificiales del mismo cluster espacial, para evaluar si las artificiales están siendo usadas al menos tanto como la natural que reemplazan.</w:t>
      </w:r>
    </w:p>
    <w:sectPr>
      <w:footerReference w:type="default" r:id="rId7"/>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Estudio Ecológico Guaridas — Chinchilla chinchilla — SADDN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D6B3A"/>
      <w:sz w:val="32"/>
      <w:szCs w:val="32"/>
    </w:rPr>
  </w:style>
  <w:style w:type="paragraph" w:styleId="Heading2">
    <w:name w:val="Heading 2"/>
    <w:basedOn w:val="Normal"/>
    <w:next w:val="Normal"/>
    <w:qFormat/>
    <w:pPr>
      <w:spacing w:after="120" w:before="26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2026-04-14T16:54:35.586Z</dcterms:created>
  <dcterms:modified xsi:type="dcterms:W3CDTF">2026-04-14T16:54:35.586Z</dcterms:modified>
</cp:coreProperties>
</file>

<file path=docProps/custom.xml><?xml version="1.0" encoding="utf-8"?>
<Properties xmlns="http://schemas.openxmlformats.org/officeDocument/2006/custom-properties" xmlns:vt="http://schemas.openxmlformats.org/officeDocument/2006/docPropsVTypes"/>
</file>