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5C5E18" w14:paraId="3784692C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4423C42" w14:textId="0BC8E75E" w:rsidR="005C5E18" w:rsidRDefault="005C5E18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Horses</w:t>
            </w:r>
          </w:p>
        </w:tc>
        <w:tc>
          <w:tcPr>
            <w:tcW w:w="5760" w:type="dxa"/>
            <w:vAlign w:val="center"/>
          </w:tcPr>
          <w:p w14:paraId="2FAEB85F" w14:textId="58D0D339" w:rsidR="005C5E18" w:rsidRDefault="005C5E1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Spontaneous ovulators</w:t>
            </w:r>
            <w:r w:rsidR="003E1880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 w:rsidR="003E1880" w:rsidRPr="003E1880">
              <w:rPr>
                <w:rFonts w:ascii="Times New Roman" w:hAnsi="Times New Roman" w:cs="Times New Roman"/>
                <w:sz w:val="22"/>
                <w:szCs w:val="22"/>
              </w:rPr>
              <w:t>breeding is early spring to late summer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501A82DF" w14:textId="77777777" w:rsidR="005C5E18" w:rsidRDefault="005C5E1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C5E18">
              <w:rPr>
                <w:rFonts w:ascii="Times New Roman" w:hAnsi="Times New Roman" w:cs="Times New Roman"/>
                <w:sz w:val="22"/>
                <w:szCs w:val="22"/>
              </w:rPr>
              <w:t xml:space="preserve">The thoracic vertebrae have large spinous processes in which T4–T9 make up the withers </w:t>
            </w:r>
          </w:p>
          <w:p w14:paraId="38A7208F" w14:textId="77777777" w:rsidR="00420C07" w:rsidRDefault="00420C0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</w:t>
            </w:r>
            <w:r w:rsidRPr="00420C07">
              <w:rPr>
                <w:rFonts w:ascii="Times New Roman" w:hAnsi="Times New Roman" w:cs="Times New Roman"/>
                <w:sz w:val="22"/>
                <w:szCs w:val="22"/>
              </w:rPr>
              <w:t>ormal urine pH is alkaline–greater than 9 because of the high potassium content of fresh vegetation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</w:t>
            </w:r>
            <w:r w:rsidRPr="00420C07">
              <w:rPr>
                <w:rFonts w:ascii="Times New Roman" w:hAnsi="Times New Roman" w:cs="Times New Roman"/>
                <w:sz w:val="22"/>
                <w:szCs w:val="22"/>
              </w:rPr>
              <w:t xml:space="preserve"> pH less than 6 is acidic</w:t>
            </w:r>
          </w:p>
          <w:p w14:paraId="5C0E9C06" w14:textId="584B4F06" w:rsidR="00C75865" w:rsidRDefault="00C75865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Walk on a single (third) digit</w:t>
            </w:r>
          </w:p>
        </w:tc>
      </w:tr>
      <w:tr w:rsidR="00A33E2D" w14:paraId="44BF33C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DD9F615" w14:textId="7EB57C6E" w:rsidR="00A33E2D" w:rsidRPr="00AC5591" w:rsidRDefault="00213BA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 equine care</w:t>
            </w:r>
          </w:p>
        </w:tc>
        <w:tc>
          <w:tcPr>
            <w:tcW w:w="5760" w:type="dxa"/>
            <w:vAlign w:val="center"/>
          </w:tcPr>
          <w:p w14:paraId="7478967F" w14:textId="77777777" w:rsidR="00A33E2D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Deworming schedule depending on location</w:t>
            </w:r>
          </w:p>
          <w:p w14:paraId="7D288383" w14:textId="77777777" w:rsidR="00213BAB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Hoof care important—pick daily, farrier work every 6-8 weeks</w:t>
            </w:r>
          </w:p>
          <w:p w14:paraId="1DC25EE5" w14:textId="610E47F2" w:rsidR="00213BAB" w:rsidRPr="00213BAB" w:rsidRDefault="00213BAB" w:rsidP="00213B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Teeth may need floating, i.e. rasping down sharp edges (buccal side on upper teeth, lingual side on lower teeth due to side to side grinding motion)</w:t>
            </w:r>
          </w:p>
        </w:tc>
      </w:tr>
      <w:tr w:rsidR="0036064A" w14:paraId="4F838EC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2F5A45E" w14:textId="68173009" w:rsidR="0036064A" w:rsidRDefault="0036064A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nutrition</w:t>
            </w:r>
          </w:p>
        </w:tc>
        <w:tc>
          <w:tcPr>
            <w:tcW w:w="5760" w:type="dxa"/>
            <w:vAlign w:val="center"/>
          </w:tcPr>
          <w:p w14:paraId="50D349CC" w14:textId="77777777" w:rsidR="0036064A" w:rsidRDefault="0036064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Hindgut fermenters, meaning most of digestion occurs in the cecum and continues in the large intestine</w:t>
            </w:r>
          </w:p>
          <w:p w14:paraId="48D75EBB" w14:textId="77777777" w:rsidR="0036064A" w:rsidRDefault="0036064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Access to roughage helps optimal digestion</w:t>
            </w:r>
          </w:p>
          <w:p w14:paraId="1B0CB456" w14:textId="36DFD245" w:rsidR="0036064A" w:rsidRDefault="0036064A" w:rsidP="0036064A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Roughage includes grass hays, pasture; feed that is </w:t>
            </w:r>
            <w:r w:rsidRPr="0036064A">
              <w:rPr>
                <w:rFonts w:ascii="Times New Roman" w:hAnsi="Times New Roman" w:cs="Times New Roman"/>
                <w:sz w:val="22"/>
                <w:szCs w:val="22"/>
              </w:rPr>
              <w:t>high in fiber, low in energy and protein, and coarse and bulky in nature</w:t>
            </w:r>
          </w:p>
          <w:p w14:paraId="73C7058B" w14:textId="77777777" w:rsidR="0036064A" w:rsidRDefault="0036064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eat protein, but most of their energy is from carbs</w:t>
            </w:r>
          </w:p>
          <w:p w14:paraId="7B0A2071" w14:textId="77777777" w:rsidR="0036064A" w:rsidRDefault="0036064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Concentrates like cereal grains should be given in small quantities to avoid health issues like obesity and laminitis</w:t>
            </w:r>
          </w:p>
          <w:p w14:paraId="34AF98BE" w14:textId="6E94AC52" w:rsidR="0036064A" w:rsidRDefault="0036064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Straw hay has little nutritional value and can be overconsumed, so avoiding is best</w:t>
            </w:r>
          </w:p>
        </w:tc>
      </w:tr>
      <w:tr w:rsidR="000530ED" w14:paraId="314A871F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9CCA3E8" w14:textId="38F3402E" w:rsidR="000530ED" w:rsidRDefault="000530E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Repetitive behavior in horses</w:t>
            </w:r>
          </w:p>
        </w:tc>
        <w:tc>
          <w:tcPr>
            <w:tcW w:w="5760" w:type="dxa"/>
            <w:vAlign w:val="center"/>
          </w:tcPr>
          <w:p w14:paraId="241DFFD8" w14:textId="0081EAF3" w:rsidR="000530ED" w:rsidRDefault="000530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Displacement-type behaviors common in confined horses, may be called stable vices</w:t>
            </w:r>
          </w:p>
          <w:p w14:paraId="25DA2605" w14:textId="142AEA44" w:rsidR="000530ED" w:rsidRDefault="000530ED" w:rsidP="000530E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Pawing at the stall, door, or ground (also when hungry or thirsty)</w:t>
            </w:r>
          </w:p>
          <w:p w14:paraId="72C2F38A" w14:textId="7AC21E03" w:rsidR="000530ED" w:rsidRDefault="000530ED" w:rsidP="000530E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Wood chewing</w:t>
            </w:r>
          </w:p>
          <w:p w14:paraId="0290FB71" w14:textId="07F5DAB0" w:rsidR="000530ED" w:rsidRDefault="000530ED" w:rsidP="000530E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Stall walking or weaving</w:t>
            </w:r>
          </w:p>
          <w:p w14:paraId="2BE17347" w14:textId="7F0DF44E" w:rsidR="000530ED" w:rsidRDefault="000530ED" w:rsidP="000530E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Kicking at the stall</w:t>
            </w:r>
          </w:p>
          <w:p w14:paraId="4AB8DEDC" w14:textId="3BEA861F" w:rsidR="000530ED" w:rsidRDefault="000530E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Cribbing is a s</w:t>
            </w:r>
            <w:r w:rsidRPr="000530ED">
              <w:rPr>
                <w:rFonts w:ascii="Times New Roman" w:hAnsi="Times New Roman" w:cs="Times New Roman"/>
                <w:sz w:val="22"/>
                <w:szCs w:val="22"/>
              </w:rPr>
              <w:t>tereotypy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—a </w:t>
            </w:r>
            <w:r w:rsidRPr="000530ED">
              <w:rPr>
                <w:rFonts w:ascii="Times New Roman" w:hAnsi="Times New Roman" w:cs="Times New Roman"/>
                <w:sz w:val="22"/>
                <w:szCs w:val="22"/>
              </w:rPr>
              <w:t>persistent, often purposeless movements to self-stimulate or cope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; common in wild horses in captivity; involves grasping objects w incisors, arching the neck, leaning back, and gulping </w:t>
            </w:r>
            <w:r w:rsidR="005F773C">
              <w:rPr>
                <w:rFonts w:ascii="Times New Roman" w:hAnsi="Times New Roman" w:cs="Times New Roman"/>
                <w:sz w:val="22"/>
                <w:szCs w:val="22"/>
              </w:rPr>
              <w:t>air which causes a grunting noise</w:t>
            </w:r>
          </w:p>
        </w:tc>
      </w:tr>
      <w:tr w:rsidR="00A33E2D" w14:paraId="31802D4B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EB429F3" w14:textId="32ED07A5" w:rsidR="00A33E2D" w:rsidRPr="00AC5591" w:rsidRDefault="00213BA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Routes of medication administration in horses</w:t>
            </w:r>
          </w:p>
        </w:tc>
        <w:tc>
          <w:tcPr>
            <w:tcW w:w="5760" w:type="dxa"/>
            <w:vAlign w:val="center"/>
          </w:tcPr>
          <w:p w14:paraId="50FD638A" w14:textId="77777777" w:rsidR="00A33E2D" w:rsidRPr="00974733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Oral route</w:t>
            </w:r>
          </w:p>
          <w:p w14:paraId="030889E0" w14:textId="77777777" w:rsidR="00213BAB" w:rsidRPr="00974733" w:rsidRDefault="00213BAB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Nasogastric tube: 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>Common route for administering water, electrolytes, dewormer, mineral oil, antigas meds, or refluxing stomach contents when assessing for colic; p</w:t>
            </w: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laced in the medial ventral meatus and passed into the esophagus when horse swallows (passing confirmed by observing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 and palpating</w:t>
            </w: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 xml:space="preserve"> it along the left jugular groove</w:t>
            </w:r>
            <w:r w:rsidR="00F8568C" w:rsidRPr="00974733">
              <w:rPr>
                <w:rFonts w:ascii="Times New Roman" w:hAnsi="Times New Roman" w:cs="Times New Roman"/>
                <w:sz w:val="22"/>
                <w:szCs w:val="22"/>
              </w:rPr>
              <w:t>, and listening to gurgling from the open end and smelling for stomach contents once in the stomach)</w:t>
            </w:r>
          </w:p>
          <w:p w14:paraId="70BA2DE9" w14:textId="2C4E04B9" w:rsidR="00974733" w:rsidRPr="00974733" w:rsidRDefault="00F8568C" w:rsidP="0097473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974733">
              <w:rPr>
                <w:rFonts w:ascii="Times New Roman" w:hAnsi="Times New Roman" w:cs="Times New Roman"/>
                <w:sz w:val="22"/>
                <w:szCs w:val="22"/>
              </w:rPr>
              <w:t>IV injection: Jugular most common, thoracic, ceph, saph can be used for small amounts; perivascular inj leads to damage, esp. w common NSAID banamine</w:t>
            </w:r>
            <w:r w:rsidRPr="00974733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A33E2D" w14:paraId="165D9D9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D567495" w14:textId="3F4B0ED3" w:rsidR="00A33E2D" w:rsidRPr="00AC5591" w:rsidRDefault="00974733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Routes of medication administration in horses (cont).</w:t>
            </w:r>
          </w:p>
        </w:tc>
        <w:tc>
          <w:tcPr>
            <w:tcW w:w="5760" w:type="dxa"/>
            <w:vAlign w:val="center"/>
          </w:tcPr>
          <w:p w14:paraId="373E995C" w14:textId="54BF680A" w:rsidR="001B0FC8" w:rsidRPr="001B0FC8" w:rsidRDefault="0097473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 xml:space="preserve">IM injection: </w:t>
            </w:r>
            <w:r w:rsidR="001B0FC8" w:rsidRPr="001B0FC8">
              <w:rPr>
                <w:rFonts w:ascii="Times New Roman" w:hAnsi="Times New Roman" w:cs="Times New Roman"/>
                <w:sz w:val="22"/>
                <w:szCs w:val="22"/>
              </w:rPr>
              <w:t>Tap area a few times, insert the needle only, wait until horse stops reacting, then attach syringe, draw back, inject</w:t>
            </w:r>
          </w:p>
          <w:p w14:paraId="07C24A96" w14:textId="77777777" w:rsidR="001B0FC8" w:rsidRPr="001B0FC8" w:rsidRDefault="00974733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Base of the neck (triangle: nuchal ligament at the top of the neck-cervical vertebrae at the bottom of the neck-in front of shoulder blade, where heel of hand is placed)</w:t>
            </w:r>
          </w:p>
          <w:p w14:paraId="579A7EF7" w14:textId="77777777" w:rsidR="001B0FC8" w:rsidRP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="00974733" w:rsidRPr="001B0FC8">
              <w:rPr>
                <w:rFonts w:ascii="Times New Roman" w:hAnsi="Times New Roman" w:cs="Times New Roman"/>
                <w:sz w:val="22"/>
                <w:szCs w:val="22"/>
              </w:rPr>
              <w:t>emitendinosus muscle 1-2 inches below the tuber ischii (buttocks) (stand on the opposite end, inject by reaching to the other side since horse will kick towards the side its stuck)</w:t>
            </w:r>
          </w:p>
          <w:p w14:paraId="5E212D08" w14:textId="77777777" w:rsidR="00A33E2D" w:rsidRP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G</w:t>
            </w:r>
            <w:r w:rsidR="00974733" w:rsidRPr="001B0FC8">
              <w:rPr>
                <w:rFonts w:ascii="Times New Roman" w:hAnsi="Times New Roman" w:cs="Times New Roman"/>
                <w:sz w:val="22"/>
                <w:szCs w:val="22"/>
              </w:rPr>
              <w:t>luteal muscle (top of rump) not recommended due to poor drainage, which can lead to abscess</w:t>
            </w:r>
          </w:p>
          <w:p w14:paraId="18C345E8" w14:textId="369FA19A" w:rsidR="001B0FC8" w:rsidRDefault="001B0FC8" w:rsidP="001B0FC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1B0FC8">
              <w:rPr>
                <w:rFonts w:ascii="Times New Roman" w:hAnsi="Times New Roman" w:cs="Times New Roman"/>
                <w:sz w:val="22"/>
                <w:szCs w:val="22"/>
              </w:rPr>
              <w:t>Pectoral muscle only for small volumes, not common due to soreness</w:t>
            </w:r>
          </w:p>
        </w:tc>
      </w:tr>
      <w:tr w:rsidR="00A33E2D" w14:paraId="3D9D8FC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0736833" w14:textId="3CED9E33" w:rsidR="00A33E2D" w:rsidRPr="00AC5591" w:rsidRDefault="001B0FC8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Routes of medication administration in horses (cont).</w:t>
            </w:r>
          </w:p>
        </w:tc>
        <w:tc>
          <w:tcPr>
            <w:tcW w:w="5760" w:type="dxa"/>
            <w:vAlign w:val="center"/>
          </w:tcPr>
          <w:p w14:paraId="368ABEDA" w14:textId="77777777" w:rsidR="00A33E2D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SC injection: Neck</w:t>
            </w:r>
          </w:p>
          <w:p w14:paraId="60BA1454" w14:textId="77777777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Intranasal route: Strangles (Streptococcus equi) and influenza vaccines, allows direct application onto mucosa, area of concern</w:t>
            </w:r>
          </w:p>
          <w:p w14:paraId="4F5A4726" w14:textId="77777777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Inhalation route: Nebulizers and AeroMasks deliver micro-droplets, used for asthma and respiratory disease</w:t>
            </w:r>
          </w:p>
          <w:p w14:paraId="067124CD" w14:textId="5A6F56CE" w:rsidR="001B0FC8" w:rsidRDefault="001B0FC8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Topical route</w:t>
            </w:r>
          </w:p>
        </w:tc>
      </w:tr>
      <w:tr w:rsidR="00A33E2D" w14:paraId="2765AE2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0A0E3A9" w14:textId="37D8A2D1" w:rsidR="00A33E2D" w:rsidRPr="00AC5591" w:rsidRDefault="00F86B2B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Catheter placement in horses </w:t>
            </w:r>
          </w:p>
        </w:tc>
        <w:tc>
          <w:tcPr>
            <w:tcW w:w="5760" w:type="dxa"/>
            <w:vAlign w:val="center"/>
          </w:tcPr>
          <w:p w14:paraId="57DA5ECF" w14:textId="4D541398" w:rsidR="0051005C" w:rsidRDefault="0051005C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Into the jugular</w:t>
            </w:r>
            <w:r w:rsidR="00A84632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except long-term Mila, which goes into lateral thoracic vein</w:t>
            </w:r>
            <w:r w:rsidR="00A84632">
              <w:rPr>
                <w:rFonts w:ascii="Times New Roman" w:hAnsi="Times New Roman" w:cs="Times New Roman"/>
                <w:sz w:val="22"/>
                <w:szCs w:val="22"/>
              </w:rPr>
              <w:t xml:space="preserve">;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sterile gloves</w:t>
            </w:r>
          </w:p>
          <w:p w14:paraId="661A0216" w14:textId="218A75EA" w:rsidR="00A33E2D" w:rsidRDefault="00415376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Catheter types: </w:t>
            </w:r>
          </w:p>
          <w:p w14:paraId="350E3648" w14:textId="4B8212F5" w:rsidR="00415376" w:rsidRDefault="00415376" w:rsidP="0041537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Angiocath for short-term (1-2 days), catheter-over-stylet style</w:t>
            </w:r>
          </w:p>
          <w:p w14:paraId="15044D23" w14:textId="1E023B32" w:rsidR="00415376" w:rsidRDefault="00415376" w:rsidP="00415376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Mila and Arrow for long-term (3-4 weeks), catheter-over-guidewire style w butterfly extensions</w:t>
            </w:r>
          </w:p>
          <w:p w14:paraId="36BBD1CA" w14:textId="4326D5E6" w:rsidR="00415376" w:rsidRDefault="00415376" w:rsidP="0051005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Butterfly</w:t>
            </w:r>
            <w:r w:rsidR="0051005C">
              <w:rPr>
                <w:rFonts w:ascii="Times New Roman" w:hAnsi="Times New Roman" w:cs="Times New Roman"/>
                <w:sz w:val="22"/>
                <w:szCs w:val="22"/>
              </w:rPr>
              <w:t xml:space="preserve"> for regional perfusions of antibiotics</w:t>
            </w:r>
          </w:p>
          <w:p w14:paraId="506CC5BC" w14:textId="6AD5A792" w:rsidR="0051005C" w:rsidRPr="0051005C" w:rsidRDefault="0051005C" w:rsidP="0051005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Insyte catheter w wings for arterial blood gas sample collection during anesthesia</w:t>
            </w:r>
          </w:p>
          <w:p w14:paraId="20A502A2" w14:textId="77777777" w:rsidR="00415376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Flushed w saline every 6 hours</w:t>
            </w:r>
          </w:p>
          <w:p w14:paraId="174AB099" w14:textId="383B7EA7" w:rsidR="00A84632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Heparin 1 mL per 100 mL of saline may be used for patency</w:t>
            </w:r>
          </w:p>
        </w:tc>
      </w:tr>
      <w:tr w:rsidR="006B6E7F" w14:paraId="26F57A7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ADA1002" w14:textId="6EB4DA48" w:rsidR="006B6E7F" w:rsidRDefault="006B6E7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Blood donation in horses</w:t>
            </w:r>
          </w:p>
        </w:tc>
        <w:tc>
          <w:tcPr>
            <w:tcW w:w="5760" w:type="dxa"/>
            <w:vAlign w:val="center"/>
          </w:tcPr>
          <w:p w14:paraId="6ED5ED70" w14:textId="77777777" w:rsidR="006B6E7F" w:rsidRDefault="006B6E7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Recommended volume is 20% or 16 mL/kg (some texts say 33%)</w:t>
            </w:r>
          </w:p>
          <w:p w14:paraId="7AA4FFC7" w14:textId="4C7B96B8" w:rsidR="006B6E7F" w:rsidRDefault="006B6E7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Replacement w crystalloids recommended after venipuncture</w:t>
            </w:r>
          </w:p>
        </w:tc>
      </w:tr>
      <w:tr w:rsidR="00A33E2D" w14:paraId="3783579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2D60BF2" w14:textId="460AA33D" w:rsidR="00A33E2D" w:rsidRPr="00AC5591" w:rsidRDefault="00A84632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Equine vaccines </w:t>
            </w:r>
          </w:p>
        </w:tc>
        <w:tc>
          <w:tcPr>
            <w:tcW w:w="5760" w:type="dxa"/>
            <w:vAlign w:val="center"/>
          </w:tcPr>
          <w:p w14:paraId="6A94C2D9" w14:textId="77777777" w:rsidR="00A84632" w:rsidRPr="00B3560A" w:rsidRDefault="00A8463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Core vaccines</w:t>
            </w:r>
          </w:p>
          <w:p w14:paraId="381058EC" w14:textId="580431CC" w:rsidR="00A33E2D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Tetanus toxoid (annual)</w:t>
            </w:r>
          </w:p>
          <w:p w14:paraId="535AA3B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Tetanus antitoxin (post-exposure in not vaccinated)</w:t>
            </w:r>
          </w:p>
          <w:p w14:paraId="30479D5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Rabies (annual) </w:t>
            </w:r>
          </w:p>
          <w:p w14:paraId="7E5D315F" w14:textId="14B356E9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Equine encephalomyelitis (annual before vector season, </w:t>
            </w:r>
            <w:r w:rsidR="00B3560A" w:rsidRPr="00B3560A">
              <w:rPr>
                <w:rFonts w:ascii="Times New Roman" w:hAnsi="Times New Roman" w:cs="Times New Roman"/>
                <w:sz w:val="21"/>
                <w:szCs w:val="21"/>
              </w:rPr>
              <w:t>6 mo in high risk areas)</w:t>
            </w:r>
          </w:p>
          <w:p w14:paraId="059A7F5B" w14:textId="5858D63F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West Nile virus (annual in spring before vector season)</w:t>
            </w:r>
          </w:p>
          <w:p w14:paraId="13F303D5" w14:textId="244B1D33" w:rsidR="00A84632" w:rsidRPr="00B3560A" w:rsidRDefault="00A84632" w:rsidP="00A8463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Risk-based vaccines</w:t>
            </w:r>
          </w:p>
          <w:p w14:paraId="4634950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Equine herpesvirus (6 mo)</w:t>
            </w:r>
          </w:p>
          <w:p w14:paraId="605A6932" w14:textId="77777777" w:rsidR="00A84632" w:rsidRPr="00B3560A" w:rsidRDefault="00A84632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Influenza (6 mo if at risk, annual otherwise) (only reduces severity of illness, doesn’t prevent it)</w:t>
            </w:r>
          </w:p>
          <w:p w14:paraId="5687F974" w14:textId="77777777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Strangles (6-12 mo depending on risk)</w:t>
            </w:r>
          </w:p>
          <w:p w14:paraId="5F0FB856" w14:textId="77777777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Potomac horse fever (6-12 mo, 3-4 if in endemic area)</w:t>
            </w:r>
          </w:p>
          <w:p w14:paraId="6895023A" w14:textId="47C52922" w:rsidR="00B3560A" w:rsidRPr="00B3560A" w:rsidRDefault="00B3560A" w:rsidP="00A8463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Botulism toxoid (3 dose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s </w:t>
            </w: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>at 4-week intervals,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 then</w:t>
            </w:r>
            <w:r w:rsidRPr="00B3560A">
              <w:rPr>
                <w:rFonts w:ascii="Times New Roman" w:hAnsi="Times New Roman" w:cs="Times New Roman"/>
                <w:sz w:val="21"/>
                <w:szCs w:val="21"/>
              </w:rPr>
              <w:t xml:space="preserve"> annual)</w:t>
            </w:r>
          </w:p>
        </w:tc>
      </w:tr>
      <w:tr w:rsidR="00A33E2D" w14:paraId="25499B1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4C3471E" w14:textId="3D4E21D6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Common signs of 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 xml:space="preserve">GI ailments in horses </w:t>
            </w:r>
          </w:p>
        </w:tc>
        <w:tc>
          <w:tcPr>
            <w:tcW w:w="5760" w:type="dxa"/>
            <w:vAlign w:val="center"/>
          </w:tcPr>
          <w:p w14:paraId="5435435C" w14:textId="17613EEB" w:rsidR="00041BCF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signs are r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>estlessness, anxiety, agitation, pawing, pacing, stall walking, flank watching/biting, kicking at abdomen, sweating, getting up and down, rolling, grinding teeth, distended abdomen increased HR and RR</w:t>
            </w:r>
          </w:p>
          <w:p w14:paraId="128C23E4" w14:textId="1943B59E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</w:t>
            </w:r>
            <w:r w:rsidR="0023164C">
              <w:rPr>
                <w:rFonts w:ascii="Times New Roman" w:hAnsi="Times New Roman" w:cs="Times New Roman"/>
                <w:sz w:val="22"/>
                <w:szCs w:val="22"/>
              </w:rPr>
              <w:t>ossible other signs are MM color change, increased CRT, toxic line on gums, motility changes, bounding digital pulses w increased heat in hoof wall, sawhorse stance, dog sitting, decreased appetite, reflux</w:t>
            </w:r>
          </w:p>
        </w:tc>
      </w:tr>
      <w:tr w:rsidR="00A33E2D" w14:paraId="428035BD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13CEF90D" w14:textId="1623B854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signs of neuromuscular disorders in horses</w:t>
            </w:r>
          </w:p>
        </w:tc>
        <w:tc>
          <w:tcPr>
            <w:tcW w:w="5760" w:type="dxa"/>
            <w:vAlign w:val="center"/>
          </w:tcPr>
          <w:p w14:paraId="063536B3" w14:textId="449DBFF0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Ataxia, depression, circling, head tilt, head pressing, nystagmus, facial paralysis, drooling, incoordination, limb knuckling and toe dragging, muscle wasting, prolapsed third eyelid, seizures, altered behavior</w:t>
            </w:r>
          </w:p>
        </w:tc>
      </w:tr>
      <w:tr w:rsidR="00A33E2D" w14:paraId="5815C8C1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B9A5CCA" w14:textId="649EEDE4" w:rsidR="00A33E2D" w:rsidRPr="00AC5591" w:rsidRDefault="00041BC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Common signs of respiratory diseases in horses</w:t>
            </w:r>
          </w:p>
        </w:tc>
        <w:tc>
          <w:tcPr>
            <w:tcW w:w="5760" w:type="dxa"/>
            <w:vAlign w:val="center"/>
          </w:tcPr>
          <w:p w14:paraId="7BE69602" w14:textId="17E932D9" w:rsidR="00A33E2D" w:rsidRDefault="00041BCF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Coughing, clear runny nasal discharge, purulent discharge in the presence of secondary bacterial infection, depression, anorexia, dyspnea, tachypnea, pyrexia</w:t>
            </w:r>
          </w:p>
        </w:tc>
      </w:tr>
      <w:tr w:rsidR="005A0A87" w14:paraId="76CDDAAE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307B312" w14:textId="4D4E9725" w:rsidR="005A0A87" w:rsidRDefault="005A0A87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 nose</w:t>
            </w:r>
          </w:p>
        </w:tc>
        <w:tc>
          <w:tcPr>
            <w:tcW w:w="5760" w:type="dxa"/>
            <w:vAlign w:val="center"/>
          </w:tcPr>
          <w:p w14:paraId="6CB532FD" w14:textId="7555BE13" w:rsidR="005A0A87" w:rsidRPr="005A0A87" w:rsidRDefault="005A0A87" w:rsidP="005A0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A0A87">
              <w:rPr>
                <w:noProof/>
                <w:sz w:val="22"/>
                <w:szCs w:val="22"/>
              </w:rPr>
              <w:drawing>
                <wp:inline distT="0" distB="0" distL="0" distR="0" wp14:anchorId="79AFA9B4" wp14:editId="4D977BFB">
                  <wp:extent cx="514991" cy="677118"/>
                  <wp:effectExtent l="0" t="0" r="0" b="8890"/>
                  <wp:docPr id="2144505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50544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748" cy="689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A0A87">
              <w:rPr>
                <w:rFonts w:ascii="Times New Roman" w:hAnsi="Times New Roman" w:cs="Times New Roman"/>
                <w:sz w:val="22"/>
                <w:szCs w:val="22"/>
              </w:rPr>
              <w:t xml:space="preserve"> Alar fold: Bulb located inside the nostril; forms the ventral margin of each nostril</w:t>
            </w:r>
          </w:p>
          <w:p w14:paraId="666B7FBE" w14:textId="61586E9D" w:rsidR="005A0A87" w:rsidRPr="005A0A87" w:rsidRDefault="005A0A87" w:rsidP="005A0A8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A0A87">
              <w:rPr>
                <w:rFonts w:ascii="Times New Roman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1898645D" wp14:editId="1C0C56CC">
                  <wp:extent cx="480350" cy="495721"/>
                  <wp:effectExtent l="0" t="0" r="0" b="0"/>
                  <wp:docPr id="1716691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66915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298" cy="50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A0A87">
              <w:rPr>
                <w:rFonts w:ascii="Times New Roman" w:hAnsi="Times New Roman" w:cs="Times New Roman"/>
                <w:sz w:val="22"/>
                <w:szCs w:val="22"/>
              </w:rPr>
              <w:t>False nostrils: Blind ending pouch on the dorsal end</w:t>
            </w:r>
          </w:p>
          <w:p w14:paraId="2A84D09D" w14:textId="77777777" w:rsidR="00EA77B2" w:rsidRPr="005A0A87" w:rsidRDefault="00EA77B2" w:rsidP="00EA77B2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A0A87">
              <w:rPr>
                <w:rFonts w:ascii="Times New Roman" w:hAnsi="Times New Roman" w:cs="Times New Roman"/>
                <w:sz w:val="22"/>
                <w:szCs w:val="22"/>
              </w:rPr>
              <w:t>External nares: Nostrils</w:t>
            </w:r>
          </w:p>
          <w:p w14:paraId="796D727B" w14:textId="27BB3232" w:rsidR="005A0A87" w:rsidRPr="005A0A87" w:rsidRDefault="005A0A87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A0A87">
              <w:rPr>
                <w:rFonts w:ascii="Times New Roman" w:hAnsi="Times New Roman" w:cs="Times New Roman"/>
                <w:sz w:val="22"/>
                <w:szCs w:val="22"/>
              </w:rPr>
              <w:t>Ethmoturbinates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C</w:t>
            </w:r>
            <w:r w:rsidRPr="005A0A87">
              <w:rPr>
                <w:rFonts w:ascii="Times New Roman" w:hAnsi="Times New Roman" w:cs="Times New Roman"/>
                <w:sz w:val="22"/>
                <w:szCs w:val="22"/>
              </w:rPr>
              <w:t>oiled bones covered by olfactory mucosa</w:t>
            </w:r>
          </w:p>
        </w:tc>
      </w:tr>
      <w:tr w:rsidR="00A33E2D" w14:paraId="7C35E02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6C38208" w14:textId="17A09F04" w:rsidR="00A33E2D" w:rsidRPr="00AC5591" w:rsidRDefault="00050FAE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Foot ailments in horses </w:t>
            </w:r>
          </w:p>
        </w:tc>
        <w:tc>
          <w:tcPr>
            <w:tcW w:w="5760" w:type="dxa"/>
            <w:vAlign w:val="center"/>
          </w:tcPr>
          <w:p w14:paraId="280BFA31" w14:textId="77777777" w:rsidR="00A33E2D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Thrush: Fungal infection caused by Spherophorus neaphorus affecting the frog and causing black slime and bad odor; treated w farrier trimming of frog, cleaning w warm water, applying thrush product, keeping dry</w:t>
            </w:r>
          </w:p>
          <w:p w14:paraId="154FE9C2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Abscess: Bacteria bw laminae and hoof wall due to moisture or cracks in dry hoof; drained </w:t>
            </w:r>
          </w:p>
          <w:p w14:paraId="310D156A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Foreign body: Antibiotics and bandage may be necessary</w:t>
            </w:r>
          </w:p>
          <w:p w14:paraId="2489D25F" w14:textId="7777777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Laminitis</w:t>
            </w:r>
          </w:p>
          <w:p w14:paraId="256058A8" w14:textId="27837757" w:rsidR="007F08F9" w:rsidRDefault="007F08F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Navicular syndrome</w:t>
            </w:r>
          </w:p>
        </w:tc>
      </w:tr>
      <w:tr w:rsidR="00A33E2D" w14:paraId="2FEDFAD3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9E4F7B5" w14:textId="7F9F81C6" w:rsidR="00A33E2D" w:rsidRPr="00AC5591" w:rsidRDefault="007F08F9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therapeutic modalities</w:t>
            </w:r>
          </w:p>
        </w:tc>
        <w:tc>
          <w:tcPr>
            <w:tcW w:w="5760" w:type="dxa"/>
            <w:vAlign w:val="center"/>
          </w:tcPr>
          <w:p w14:paraId="338865BC" w14:textId="77777777" w:rsidR="007F08F9" w:rsidRDefault="007F08F9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Extracorporeal shock-wave therapy: Speeds up healing time by increasing blood flow to injured ligament, shin, bone</w:t>
            </w:r>
          </w:p>
          <w:p w14:paraId="6A9E7B0D" w14:textId="6B0F7E0C" w:rsidR="007F08F9" w:rsidRDefault="007F08F9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Interleukin receptor antagonist protein</w:t>
            </w:r>
            <w:r w:rsidR="00F20693">
              <w:rPr>
                <w:rFonts w:ascii="Times New Roman" w:hAnsi="Times New Roman" w:cs="Times New Roman"/>
                <w:sz w:val="22"/>
                <w:szCs w:val="22"/>
              </w:rPr>
              <w:t xml:space="preserve"> (autologous therapy)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: IRAP is a protein that binds to receptors in injured joint; IRAP is collected from whole blood incubated and centrifuged and injected into joint for the purposes of reducing/stopping inflammation cascade in joint inflammation caused by injury or osteoarthritis</w:t>
            </w:r>
          </w:p>
          <w:p w14:paraId="1FFFB5CB" w14:textId="16CDFD69" w:rsidR="00F20693" w:rsidRDefault="00F20693" w:rsidP="007F08F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Platelet-rich plasma (autologous therapy): Whole blood centrifuged to separate plasma; used to treat tendon, ligament, and some joint injuries</w:t>
            </w:r>
          </w:p>
        </w:tc>
      </w:tr>
      <w:tr w:rsidR="00A33E2D" w14:paraId="2ACD5CB2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57BC2E78" w14:textId="3611736F" w:rsidR="00A33E2D" w:rsidRPr="00AC5591" w:rsidRDefault="005603C9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Equine surgery and anesthesia</w:t>
            </w:r>
          </w:p>
        </w:tc>
        <w:tc>
          <w:tcPr>
            <w:tcW w:w="5760" w:type="dxa"/>
            <w:vAlign w:val="center"/>
          </w:tcPr>
          <w:p w14:paraId="6682AC11" w14:textId="722DF83F" w:rsidR="00A33E2D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Standing sedation for short surgeries (IV bolus under, CRI above 15-20 min); common meds are alpha 2 agonists like dexmedetomidine, xylazine, or these followed by an opioid butorphanol, morphine</w:t>
            </w:r>
          </w:p>
          <w:p w14:paraId="051CFA1C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Preinduction sedation w above alpha 2 agonists w or w/out opioids </w:t>
            </w:r>
          </w:p>
          <w:p w14:paraId="6140C274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Induction w ketamine (w benzodiazepine and/or guaifenesin), thiopental (w benzodiazepine and/or guaifenesin), tiletamine and zolazepam </w:t>
            </w:r>
          </w:p>
          <w:p w14:paraId="20B6BF2C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Total IV anesthesia (TIVA) extends anesthesia after induction; short-term w ketamine and alpha 2 agonist, long-term w ketamine plus [xylazine and guaifenesin OR dexmedetomidine OR benzodiazepine]</w:t>
            </w:r>
          </w:p>
          <w:p w14:paraId="404314FB" w14:textId="77777777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>Maintenance w iso, sevo, or halothane</w:t>
            </w:r>
          </w:p>
          <w:p w14:paraId="694F85D0" w14:textId="559529A3" w:rsidR="005603C9" w:rsidRPr="0067689D" w:rsidRDefault="005603C9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9"/>
                <w:szCs w:val="19"/>
              </w:rPr>
            </w:pPr>
            <w:r w:rsidRPr="0067689D">
              <w:rPr>
                <w:rFonts w:ascii="Times New Roman" w:hAnsi="Times New Roman" w:cs="Times New Roman"/>
                <w:sz w:val="19"/>
                <w:szCs w:val="19"/>
              </w:rPr>
              <w:t xml:space="preserve">Partial IV anesthesia (PIVA) lowers amount of general anesthetic; dexmedetomidine, xylazine, ketamine, lidocaine 2%, or combinations (ketamine and an alpha 2 agonist, lidocaine and ketamine w or w/out </w:t>
            </w:r>
            <w:r w:rsidR="0067689D" w:rsidRPr="0067689D">
              <w:rPr>
                <w:rFonts w:ascii="Times New Roman" w:hAnsi="Times New Roman" w:cs="Times New Roman"/>
                <w:sz w:val="19"/>
                <w:szCs w:val="19"/>
              </w:rPr>
              <w:t>xylazine OR dexmedetomidine</w:t>
            </w:r>
          </w:p>
        </w:tc>
      </w:tr>
      <w:tr w:rsidR="00AA0AFD" w14:paraId="428F7616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C436CDE" w14:textId="22CB24AB" w:rsidR="00AA0AFD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Ruminants </w:t>
            </w:r>
          </w:p>
        </w:tc>
        <w:tc>
          <w:tcPr>
            <w:tcW w:w="5760" w:type="dxa"/>
            <w:vAlign w:val="center"/>
          </w:tcPr>
          <w:p w14:paraId="180B1A8A" w14:textId="7D05CC0A" w:rsidR="00AA0AFD" w:rsidRDefault="00AA0AFD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AA0AFD">
              <w:rPr>
                <w:rFonts w:ascii="Times New Roman" w:hAnsi="Times New Roman" w:cs="Times New Roman"/>
                <w:sz w:val="22"/>
                <w:szCs w:val="22"/>
              </w:rPr>
              <w:t>Cattle, sheep, goa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216560BD" w14:textId="77777777" w:rsidR="00AA0AFD" w:rsidRDefault="00AA0AFD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Herbivores; diet mainly consists of plants w high fiber (cellulose) conten</w:t>
            </w:r>
            <w:r w:rsidRPr="00AA0AFD"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47774E23" w14:textId="77777777" w:rsidR="000255FA" w:rsidRDefault="00AA0AFD" w:rsidP="000255F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Symbiotic relationship w protozoa and bacteria allow digestion of </w:t>
            </w:r>
            <w:r w:rsidR="000255FA">
              <w:rPr>
                <w:rFonts w:ascii="Times New Roman" w:hAnsi="Times New Roman" w:cs="Times New Roman"/>
                <w:sz w:val="22"/>
                <w:szCs w:val="22"/>
              </w:rPr>
              <w:t>indigestible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0255FA">
              <w:rPr>
                <w:rFonts w:ascii="Times New Roman" w:hAnsi="Times New Roman" w:cs="Times New Roman"/>
                <w:sz w:val="22"/>
                <w:szCs w:val="22"/>
              </w:rPr>
              <w:t>feed; byproducts of anaerobic fermentation are volatile fatty acids, amino acids, and vitamins, which are used for body maintenance, and methane and carbon dioxide, which are eructated</w:t>
            </w:r>
          </w:p>
          <w:p w14:paraId="17E1360B" w14:textId="77777777" w:rsidR="000255FA" w:rsidRDefault="000255FA" w:rsidP="000255F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True ruminants like cattle have prehensile tongues to gather food </w:t>
            </w:r>
          </w:p>
          <w:p w14:paraId="41B4723D" w14:textId="1A0158B7" w:rsidR="007047F0" w:rsidRPr="000255FA" w:rsidRDefault="00C75865" w:rsidP="007047F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</w:rPr>
              <w:t xml:space="preserve">The hoof (aka ungula):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 hooves per foot, two are weight-bearing (3rd and 4th digits)</w:t>
            </w:r>
          </w:p>
        </w:tc>
      </w:tr>
      <w:tr w:rsidR="007047F0" w14:paraId="0247526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7FEB102" w14:textId="34427D9F" w:rsidR="007047F0" w:rsidRDefault="007047F0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access in ruminants</w:t>
            </w:r>
          </w:p>
        </w:tc>
        <w:tc>
          <w:tcPr>
            <w:tcW w:w="5760" w:type="dxa"/>
            <w:vAlign w:val="center"/>
          </w:tcPr>
          <w:p w14:paraId="7112D88B" w14:textId="40D2C859" w:rsidR="007047F0" w:rsidRDefault="007047F0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Jugular is most used for IV catheterization in small ruminants</w:t>
            </w:r>
          </w:p>
          <w:p w14:paraId="74B7BEDC" w14:textId="7518D0E6" w:rsidR="007047F0" w:rsidRDefault="007047F0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Tail vein is used for blood draws or injecting non-irritating, small-volume drugs</w:t>
            </w:r>
          </w:p>
          <w:p w14:paraId="551C1B11" w14:textId="32474F3E" w:rsidR="007047F0" w:rsidRDefault="007047F0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Caudal auricular vein can be used for small blood draws</w:t>
            </w:r>
          </w:p>
          <w:p w14:paraId="10D97AC3" w14:textId="25BEE974" w:rsidR="007047F0" w:rsidRPr="00AA0AFD" w:rsidRDefault="007047F0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Milk vein isn’t used—it is under high pressure, meaning hematomas easily form</w:t>
            </w:r>
          </w:p>
        </w:tc>
      </w:tr>
      <w:tr w:rsidR="00AA0AFD" w14:paraId="50E3EE5A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3067C8CF" w14:textId="5A806210" w:rsidR="00AA0AFD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Ruminant digestion </w:t>
            </w:r>
          </w:p>
        </w:tc>
        <w:tc>
          <w:tcPr>
            <w:tcW w:w="5760" w:type="dxa"/>
            <w:vAlign w:val="center"/>
          </w:tcPr>
          <w:p w14:paraId="08F6B09C" w14:textId="77777777" w:rsidR="00AA0AFD" w:rsidRDefault="000255FA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0255FA">
              <w:rPr>
                <w:rFonts w:ascii="Times New Roman" w:hAnsi="Times New Roman" w:cs="Times New Roman"/>
                <w:sz w:val="22"/>
                <w:szCs w:val="22"/>
              </w:rPr>
              <w:t>Four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0255FA">
              <w:rPr>
                <w:rFonts w:ascii="Times New Roman" w:hAnsi="Times New Roman" w:cs="Times New Roman"/>
                <w:sz w:val="22"/>
                <w:szCs w:val="22"/>
              </w:rPr>
              <w:t>cham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ber stomach: </w:t>
            </w:r>
          </w:p>
          <w:p w14:paraId="4B449D4C" w14:textId="3D4B4D34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Rumen/paunch is the main fermentation vat; microbial products are available for digestion</w:t>
            </w:r>
          </w:p>
          <w:p w14:paraId="29D404D1" w14:textId="3290447F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Reticulum/honeycomb forces material into the rumen or omasum, or regurgitates ingesta during rumination</w:t>
            </w:r>
          </w:p>
          <w:p w14:paraId="1F22B1F9" w14:textId="58CB155B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Omasum/many plies is filled w muscular laminae that squeezes fluid out of ingesta</w:t>
            </w:r>
          </w:p>
          <w:p w14:paraId="59FAEBB7" w14:textId="104A886B" w:rsidR="000255FA" w:rsidRDefault="000255FA" w:rsidP="000255F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Abomasum/true (grandular) stomach corresponds to stomachs of monogastrics; site for peptic digestion of proteins</w:t>
            </w:r>
          </w:p>
          <w:p w14:paraId="188F6A0B" w14:textId="60D13190" w:rsidR="000255FA" w:rsidRPr="000255FA" w:rsidRDefault="000255FA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Camelids are functional ruminants; have 3 chambers </w:t>
            </w:r>
          </w:p>
        </w:tc>
      </w:tr>
      <w:tr w:rsidR="00B468CE" w14:paraId="250D30C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61F473B7" w14:textId="1D1352C7" w:rsidR="00B468CE" w:rsidRDefault="00B468CE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Orf </w:t>
            </w:r>
          </w:p>
        </w:tc>
        <w:tc>
          <w:tcPr>
            <w:tcW w:w="5760" w:type="dxa"/>
            <w:vAlign w:val="center"/>
          </w:tcPr>
          <w:p w14:paraId="48E92BB3" w14:textId="77777777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small ruminant disease</w:t>
            </w:r>
          </w:p>
          <w:p w14:paraId="6A9BD9C4" w14:textId="77777777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Viral; caused by poxvirus</w:t>
            </w:r>
          </w:p>
          <w:p w14:paraId="50CCFC12" w14:textId="77777777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crusty lesions around the nose and mouth of nurshing juvenile and udders and teats; older adults may have lesions around coronary bands, conjunctiva, eyelids</w:t>
            </w:r>
          </w:p>
          <w:p w14:paraId="3577BAD6" w14:textId="77777777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Resolves w/in 3-6 weeks w/out intervention</w:t>
            </w:r>
          </w:p>
          <w:p w14:paraId="27FAD3E1" w14:textId="77777777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Secondary bacterial infections must be addressed, if any</w:t>
            </w:r>
          </w:p>
          <w:p w14:paraId="3B099CF5" w14:textId="2F4B9BD6" w:rsidR="00B468CE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Zoonotic</w:t>
            </w:r>
          </w:p>
          <w:p w14:paraId="7A0821FF" w14:textId="79DF34A8" w:rsidR="00B468CE" w:rsidRPr="000255FA" w:rsidRDefault="00B468CE" w:rsidP="005603C9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Vaccines available</w:t>
            </w:r>
          </w:p>
        </w:tc>
      </w:tr>
      <w:tr w:rsidR="00A33E2D" w14:paraId="379FB4A5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369F43A" w14:textId="071A10B4" w:rsidR="00A33E2D" w:rsidRPr="00AC5591" w:rsidRDefault="00C7202F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Abomasopexy</w:t>
            </w:r>
          </w:p>
        </w:tc>
        <w:tc>
          <w:tcPr>
            <w:tcW w:w="5760" w:type="dxa"/>
            <w:vAlign w:val="center"/>
          </w:tcPr>
          <w:p w14:paraId="655CD2B1" w14:textId="77777777" w:rsidR="00C7202F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Abomasal displacement is common in dairy cows fed high-concentration, low-roughage diets, esp. 6 weeks after calving</w:t>
            </w:r>
          </w:p>
          <w:p w14:paraId="0E2362B9" w14:textId="77777777" w:rsidR="00C7202F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Hypocalcemia, mastitis, metritis, ketosis, lack of exercise can also lead to displacement </w:t>
            </w:r>
          </w:p>
          <w:p w14:paraId="442BA6D8" w14:textId="77777777" w:rsidR="00AA0AFD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Signs include reluctance to eat, reduced manure output and milk production, elevated HR, dehydration, and gas and fluid accumulation on the right side</w:t>
            </w:r>
            <w:r w:rsidR="00AA0AFD"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60B6AB0" w14:textId="77777777" w:rsidR="00AA0AFD" w:rsidRPr="00AA0AFD" w:rsidRDefault="00AA0AFD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A distinct “ping” on the right or left will tell if it’s right or left displaced abomasum (LDA more common)</w:t>
            </w:r>
          </w:p>
          <w:p w14:paraId="1B9FBA5B" w14:textId="77777777" w:rsidR="00AA0AFD" w:rsidRPr="00AA0AFD" w:rsidRDefault="00AA0AFD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Physical rolling of patient can temporarily correct it, but it will recur; blind tacking or toggle pinning is also possible, but complications (infection, damage to organs) common</w:t>
            </w:r>
          </w:p>
          <w:p w14:paraId="32CB2D90" w14:textId="255F119D" w:rsidR="00A33E2D" w:rsidRPr="00AA0AFD" w:rsidRDefault="00C7202F" w:rsidP="00C7202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AA0AFD">
              <w:rPr>
                <w:rFonts w:ascii="Times New Roman" w:hAnsi="Times New Roman" w:cs="Times New Roman"/>
                <w:sz w:val="20"/>
                <w:szCs w:val="20"/>
              </w:rPr>
              <w:t>Surgical fixation of abomasum to the body wall</w:t>
            </w:r>
            <w:r w:rsidR="00AA0AFD" w:rsidRPr="00AA0AFD">
              <w:rPr>
                <w:rFonts w:ascii="Times New Roman" w:hAnsi="Times New Roman" w:cs="Times New Roman"/>
                <w:sz w:val="20"/>
                <w:szCs w:val="20"/>
              </w:rPr>
              <w:t xml:space="preserve"> (abomasopexy) </w:t>
            </w:r>
            <w:r w:rsidR="00AA0AFD">
              <w:rPr>
                <w:rFonts w:ascii="Times New Roman" w:hAnsi="Times New Roman" w:cs="Times New Roman"/>
                <w:sz w:val="20"/>
                <w:szCs w:val="20"/>
              </w:rPr>
              <w:t xml:space="preserve">is best, followed by only roughage diet </w:t>
            </w:r>
          </w:p>
        </w:tc>
      </w:tr>
      <w:tr w:rsidR="00A33E2D" w14:paraId="0A66354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04E1F4CA" w14:textId="449BF276" w:rsidR="00A33E2D" w:rsidRPr="00AC5591" w:rsidRDefault="00AA0AFD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Celiotomy </w:t>
            </w:r>
          </w:p>
        </w:tc>
        <w:tc>
          <w:tcPr>
            <w:tcW w:w="5760" w:type="dxa"/>
            <w:vAlign w:val="center"/>
          </w:tcPr>
          <w:p w14:paraId="3480774C" w14:textId="77777777" w:rsidR="00A33E2D" w:rsidRDefault="00AA0AF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Exploratory abdominal surgery; performed for generalized abdominal disease, including colic</w:t>
            </w:r>
          </w:p>
          <w:p w14:paraId="6B788A80" w14:textId="17591774" w:rsidR="00AA0AFD" w:rsidRDefault="00AA0AFD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performed via a ventral midline incision under full anesthesia, but flank incision on a standing, sedate patient possible as well</w:t>
            </w:r>
          </w:p>
        </w:tc>
      </w:tr>
      <w:tr w:rsidR="00A20A2A" w14:paraId="3ADDB84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43783E3E" w14:textId="01B5AE9C" w:rsidR="00A20A2A" w:rsidRDefault="00A20A2A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Blood collection in swine</w:t>
            </w:r>
          </w:p>
        </w:tc>
        <w:tc>
          <w:tcPr>
            <w:tcW w:w="5760" w:type="dxa"/>
            <w:vAlign w:val="center"/>
          </w:tcPr>
          <w:p w14:paraId="0BB43EBD" w14:textId="13A69236" w:rsidR="00A20A2A" w:rsidRDefault="00A20A2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 g, 1.5-inch needles used for blood collection and IV injections</w:t>
            </w:r>
          </w:p>
          <w:p w14:paraId="7FFF633C" w14:textId="731748BB" w:rsidR="00A20A2A" w:rsidRDefault="00A20A2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Jugular and anterior</w:t>
            </w:r>
            <w:r w:rsidR="0036064A">
              <w:rPr>
                <w:rFonts w:ascii="Times New Roman" w:hAnsi="Times New Roman" w:cs="Times New Roman"/>
                <w:sz w:val="22"/>
                <w:szCs w:val="22"/>
              </w:rPr>
              <w:t xml:space="preserve"> (cranial)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vena cava preferred</w:t>
            </w:r>
          </w:p>
          <w:p w14:paraId="52C37556" w14:textId="77777777" w:rsidR="00A20A2A" w:rsidRDefault="00A20A2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Right side of the neck preferred to avoid the phrenic nerve (motor nerve for diaphragm, essential for breathing)</w:t>
            </w:r>
          </w:p>
          <w:p w14:paraId="478E04AB" w14:textId="77777777" w:rsidR="00A20A2A" w:rsidRDefault="00A20A2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Marginal ear vein, cephalic, coccygeal, and milk veins can also be used</w:t>
            </w:r>
          </w:p>
          <w:p w14:paraId="76F89E4C" w14:textId="47D9B009" w:rsidR="00A20A2A" w:rsidRDefault="00A20A2A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Pigs younger than 8 weeks should be placed in dorsal recumbency in a trough; older animals should be standing w the head restrained</w:t>
            </w:r>
          </w:p>
        </w:tc>
      </w:tr>
      <w:tr w:rsidR="00810B09" w14:paraId="33CC8F28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2CA3B877" w14:textId="0DAD6C31" w:rsidR="00810B09" w:rsidRDefault="00810B09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Swine nutrition</w:t>
            </w:r>
          </w:p>
        </w:tc>
        <w:tc>
          <w:tcPr>
            <w:tcW w:w="5760" w:type="dxa"/>
            <w:vAlign w:val="center"/>
          </w:tcPr>
          <w:p w14:paraId="0F65ADB3" w14:textId="77777777" w:rsidR="00810B09" w:rsidRDefault="00810B0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Diet usually consists of sorghum, oats, wheat, corn, barley, soybeans, and other grains</w:t>
            </w:r>
          </w:p>
          <w:p w14:paraId="1F2CECFB" w14:textId="77777777" w:rsidR="00810B09" w:rsidRDefault="00810B0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Protein is also important</w:t>
            </w:r>
          </w:p>
          <w:p w14:paraId="1FE87491" w14:textId="5093D001" w:rsidR="00810B09" w:rsidRDefault="00810B09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Lysine (amino acid) needs to be supplemented</w:t>
            </w:r>
          </w:p>
        </w:tc>
      </w:tr>
      <w:tr w:rsidR="00D94403" w14:paraId="576D84B7" w14:textId="77777777" w:rsidTr="00A33E2D">
        <w:trPr>
          <w:trHeight w:hRule="exact" w:val="3600"/>
        </w:trPr>
        <w:tc>
          <w:tcPr>
            <w:tcW w:w="5670" w:type="dxa"/>
            <w:vAlign w:val="center"/>
          </w:tcPr>
          <w:p w14:paraId="71494DB1" w14:textId="346EF1B8" w:rsidR="00D94403" w:rsidRDefault="00D94403" w:rsidP="007A6BC0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Swine diseases</w:t>
            </w:r>
          </w:p>
        </w:tc>
        <w:tc>
          <w:tcPr>
            <w:tcW w:w="5760" w:type="dxa"/>
            <w:vAlign w:val="center"/>
          </w:tcPr>
          <w:p w14:paraId="5D406A80" w14:textId="77777777" w:rsidR="00D94403" w:rsidRDefault="00D9440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Porcine stress syndrome: Affects the musculoskeletal system</w:t>
            </w:r>
          </w:p>
          <w:p w14:paraId="1FE727A7" w14:textId="77777777" w:rsidR="00D94403" w:rsidRDefault="00D9440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Leptospirosis: Affects the reproductive system</w:t>
            </w:r>
          </w:p>
          <w:p w14:paraId="79CA0F0C" w14:textId="77777777" w:rsidR="00D94403" w:rsidRDefault="00D9440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Erysipelas: Multisystemic disease</w:t>
            </w:r>
          </w:p>
          <w:p w14:paraId="5620A8A4" w14:textId="77777777" w:rsidR="00D94403" w:rsidRDefault="00D94403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Sodium ion toxicosis: Salt poisoning or water depravation; affects the nervous system</w:t>
            </w:r>
          </w:p>
          <w:p w14:paraId="24366FD8" w14:textId="5E63B0D2" w:rsidR="009F6B92" w:rsidRDefault="009F6B92" w:rsidP="007A6BC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Iron deficiency anemia: Piglets born in confinement w/out access to dirt must be given an iron dextran injection (200 mg) in the neck within 3 days of birth </w:t>
            </w:r>
          </w:p>
        </w:tc>
      </w:tr>
    </w:tbl>
    <w:p w14:paraId="2F814DAB" w14:textId="77777777" w:rsidR="00C51C90" w:rsidRDefault="00C51C90"/>
    <w:sectPr w:rsidR="00C51C90" w:rsidSect="00A33E2D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1A14"/>
    <w:multiLevelType w:val="hybridMultilevel"/>
    <w:tmpl w:val="60AE6558"/>
    <w:lvl w:ilvl="0" w:tplc="4E0CA892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abstractNum w:abstractNumId="1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F3ABA"/>
    <w:multiLevelType w:val="hybridMultilevel"/>
    <w:tmpl w:val="E19E05D8"/>
    <w:lvl w:ilvl="0" w:tplc="04B03F0A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num w:numId="1" w16cid:durableId="1671373213">
    <w:abstractNumId w:val="1"/>
  </w:num>
  <w:num w:numId="2" w16cid:durableId="838233302">
    <w:abstractNumId w:val="0"/>
  </w:num>
  <w:num w:numId="3" w16cid:durableId="19422526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0BC"/>
    <w:rsid w:val="000255FA"/>
    <w:rsid w:val="00034D92"/>
    <w:rsid w:val="00041BCF"/>
    <w:rsid w:val="00050FAE"/>
    <w:rsid w:val="000530ED"/>
    <w:rsid w:val="001B0FC8"/>
    <w:rsid w:val="00213BAB"/>
    <w:rsid w:val="0023164C"/>
    <w:rsid w:val="00293698"/>
    <w:rsid w:val="00341796"/>
    <w:rsid w:val="0036064A"/>
    <w:rsid w:val="003C441E"/>
    <w:rsid w:val="003E1880"/>
    <w:rsid w:val="00415376"/>
    <w:rsid w:val="00420C07"/>
    <w:rsid w:val="0051005C"/>
    <w:rsid w:val="005603C9"/>
    <w:rsid w:val="005A0A87"/>
    <w:rsid w:val="005C5E18"/>
    <w:rsid w:val="005F773C"/>
    <w:rsid w:val="0067689D"/>
    <w:rsid w:val="006B6E7F"/>
    <w:rsid w:val="007047F0"/>
    <w:rsid w:val="007F08F9"/>
    <w:rsid w:val="00810B09"/>
    <w:rsid w:val="008D60BC"/>
    <w:rsid w:val="008E7EF0"/>
    <w:rsid w:val="00974733"/>
    <w:rsid w:val="009F6B92"/>
    <w:rsid w:val="00A20A2A"/>
    <w:rsid w:val="00A33E2D"/>
    <w:rsid w:val="00A35360"/>
    <w:rsid w:val="00A84632"/>
    <w:rsid w:val="00AA0AFD"/>
    <w:rsid w:val="00B3560A"/>
    <w:rsid w:val="00B468CE"/>
    <w:rsid w:val="00C51C90"/>
    <w:rsid w:val="00C5621E"/>
    <w:rsid w:val="00C7202F"/>
    <w:rsid w:val="00C75865"/>
    <w:rsid w:val="00CA0ED0"/>
    <w:rsid w:val="00D340E1"/>
    <w:rsid w:val="00D94403"/>
    <w:rsid w:val="00DD6C0E"/>
    <w:rsid w:val="00EA77B2"/>
    <w:rsid w:val="00F20693"/>
    <w:rsid w:val="00F55579"/>
    <w:rsid w:val="00F8568C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6CE6"/>
  <w15:chartTrackingRefBased/>
  <w15:docId w15:val="{DA238356-C514-4775-AA44-88F83180D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2D"/>
  </w:style>
  <w:style w:type="paragraph" w:styleId="Heading1">
    <w:name w:val="heading 1"/>
    <w:basedOn w:val="Normal"/>
    <w:next w:val="Normal"/>
    <w:link w:val="Heading1Char"/>
    <w:uiPriority w:val="9"/>
    <w:qFormat/>
    <w:rsid w:val="008D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0B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E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7</Pages>
  <Words>1687</Words>
  <Characters>9622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31</cp:revision>
  <dcterms:created xsi:type="dcterms:W3CDTF">2025-11-19T19:10:00Z</dcterms:created>
  <dcterms:modified xsi:type="dcterms:W3CDTF">2025-12-20T20:04:00Z</dcterms:modified>
</cp:coreProperties>
</file>