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5670"/>
        <w:gridCol w:w="5760"/>
      </w:tblGrid>
      <w:tr w:rsidR="005C5E18" w14:paraId="3784692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4423C42" w14:textId="0BC8E75E" w:rsidR="005C5E18" w:rsidRDefault="005C5E18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Horses</w:t>
            </w:r>
          </w:p>
        </w:tc>
        <w:tc>
          <w:tcPr>
            <w:tcW w:w="5760" w:type="dxa"/>
            <w:vAlign w:val="center"/>
          </w:tcPr>
          <w:p w14:paraId="2FAEB85F" w14:textId="58D0D339" w:rsidR="005C5E18" w:rsidRDefault="005C5E1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Spontaneous ovulators</w:t>
            </w:r>
            <w:r w:rsidR="003E1880"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="003E1880" w:rsidRPr="003E1880">
              <w:rPr>
                <w:rFonts w:ascii="Times New Roman" w:hAnsi="Times New Roman" w:cs="Times New Roman"/>
                <w:sz w:val="22"/>
                <w:szCs w:val="22"/>
              </w:rPr>
              <w:t>breeding is early spring to late summer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501A82DF" w14:textId="77777777" w:rsidR="005C5E18" w:rsidRDefault="005C5E1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C5E18">
              <w:rPr>
                <w:rFonts w:ascii="Times New Roman" w:hAnsi="Times New Roman" w:cs="Times New Roman"/>
                <w:sz w:val="22"/>
                <w:szCs w:val="22"/>
              </w:rPr>
              <w:t xml:space="preserve">The thoracic vertebrae have large spinous processes in which T4–T9 make up the withers </w:t>
            </w:r>
          </w:p>
          <w:p w14:paraId="38A7208F" w14:textId="77777777" w:rsidR="00420C07" w:rsidRDefault="00420C0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420C07">
              <w:rPr>
                <w:rFonts w:ascii="Times New Roman" w:hAnsi="Times New Roman" w:cs="Times New Roman"/>
                <w:sz w:val="22"/>
                <w:szCs w:val="22"/>
              </w:rPr>
              <w:t>ormal urine pH is alkaline–greater than 9 because of the high potassium content of fresh vegetation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r w:rsidRPr="00420C07">
              <w:rPr>
                <w:rFonts w:ascii="Times New Roman" w:hAnsi="Times New Roman" w:cs="Times New Roman"/>
                <w:sz w:val="22"/>
                <w:szCs w:val="22"/>
              </w:rPr>
              <w:t xml:space="preserve"> pH less than 6 is acidic</w:t>
            </w:r>
          </w:p>
          <w:p w14:paraId="5C0E9C06" w14:textId="584B4F06" w:rsidR="00C75865" w:rsidRDefault="00C7586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Walk on a single (third) digit</w:t>
            </w:r>
          </w:p>
        </w:tc>
      </w:tr>
      <w:tr w:rsidR="00A33E2D" w14:paraId="44BF33CF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DD9F615" w14:textId="7EB57C6E" w:rsidR="00A33E2D" w:rsidRPr="00AC5591" w:rsidRDefault="00213BAB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Basic equine care</w:t>
            </w:r>
          </w:p>
        </w:tc>
        <w:tc>
          <w:tcPr>
            <w:tcW w:w="5760" w:type="dxa"/>
            <w:vAlign w:val="center"/>
          </w:tcPr>
          <w:p w14:paraId="7478967F" w14:textId="77777777" w:rsidR="00A33E2D" w:rsidRDefault="00213BA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Deworming schedule depending on location</w:t>
            </w:r>
          </w:p>
          <w:p w14:paraId="7D288383" w14:textId="77777777" w:rsidR="00213BAB" w:rsidRDefault="00213BA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Hoof care important—pick daily, farrier work every 6-8 weeks</w:t>
            </w:r>
          </w:p>
          <w:p w14:paraId="1DC25EE5" w14:textId="610E47F2" w:rsidR="00213BAB" w:rsidRPr="00213BAB" w:rsidRDefault="00213BAB" w:rsidP="00213BA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Teeth may need floating, i.e. rasping down sharp edges (buccal side on upper teeth, lingual side on lower teeth due to side to side grinding motion)</w:t>
            </w:r>
          </w:p>
        </w:tc>
      </w:tr>
      <w:tr w:rsidR="00A33E2D" w14:paraId="31802D4B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EB429F3" w14:textId="32ED07A5" w:rsidR="00A33E2D" w:rsidRPr="00AC5591" w:rsidRDefault="00213BAB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Routes of medication administration in horses</w:t>
            </w:r>
          </w:p>
        </w:tc>
        <w:tc>
          <w:tcPr>
            <w:tcW w:w="5760" w:type="dxa"/>
            <w:vAlign w:val="center"/>
          </w:tcPr>
          <w:p w14:paraId="50FD638A" w14:textId="77777777" w:rsidR="00A33E2D" w:rsidRPr="00974733" w:rsidRDefault="00213BA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74733">
              <w:rPr>
                <w:rFonts w:ascii="Times New Roman" w:hAnsi="Times New Roman" w:cs="Times New Roman"/>
                <w:sz w:val="22"/>
                <w:szCs w:val="22"/>
              </w:rPr>
              <w:t>Oral route</w:t>
            </w:r>
          </w:p>
          <w:p w14:paraId="030889E0" w14:textId="77777777" w:rsidR="00213BAB" w:rsidRPr="00974733" w:rsidRDefault="00213BA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74733">
              <w:rPr>
                <w:rFonts w:ascii="Times New Roman" w:hAnsi="Times New Roman" w:cs="Times New Roman"/>
                <w:sz w:val="22"/>
                <w:szCs w:val="22"/>
              </w:rPr>
              <w:t xml:space="preserve">Nasogastric tube: </w:t>
            </w:r>
            <w:r w:rsidR="00F8568C" w:rsidRPr="00974733">
              <w:rPr>
                <w:rFonts w:ascii="Times New Roman" w:hAnsi="Times New Roman" w:cs="Times New Roman"/>
                <w:sz w:val="22"/>
                <w:szCs w:val="22"/>
              </w:rPr>
              <w:t>Common route for administering water, electrolytes, dewormer, mineral oil, antigas meds, or refluxing stomach contents when assessing for colic; p</w:t>
            </w:r>
            <w:r w:rsidRPr="00974733">
              <w:rPr>
                <w:rFonts w:ascii="Times New Roman" w:hAnsi="Times New Roman" w:cs="Times New Roman"/>
                <w:sz w:val="22"/>
                <w:szCs w:val="22"/>
              </w:rPr>
              <w:t>laced in the medial ventral meatus and passed into the esophagus when horse swallows (passing confirmed by observing</w:t>
            </w:r>
            <w:r w:rsidR="00F8568C" w:rsidRPr="00974733">
              <w:rPr>
                <w:rFonts w:ascii="Times New Roman" w:hAnsi="Times New Roman" w:cs="Times New Roman"/>
                <w:sz w:val="22"/>
                <w:szCs w:val="22"/>
              </w:rPr>
              <w:t xml:space="preserve"> and palpating</w:t>
            </w:r>
            <w:r w:rsidRPr="00974733">
              <w:rPr>
                <w:rFonts w:ascii="Times New Roman" w:hAnsi="Times New Roman" w:cs="Times New Roman"/>
                <w:sz w:val="22"/>
                <w:szCs w:val="22"/>
              </w:rPr>
              <w:t xml:space="preserve"> it along the left jugular groove</w:t>
            </w:r>
            <w:r w:rsidR="00F8568C" w:rsidRPr="00974733">
              <w:rPr>
                <w:rFonts w:ascii="Times New Roman" w:hAnsi="Times New Roman" w:cs="Times New Roman"/>
                <w:sz w:val="22"/>
                <w:szCs w:val="22"/>
              </w:rPr>
              <w:t>, and listening to gurgling from the open end and smelling for stomach contents once in the stomach)</w:t>
            </w:r>
          </w:p>
          <w:p w14:paraId="70BA2DE9" w14:textId="2C4E04B9" w:rsidR="00974733" w:rsidRPr="00974733" w:rsidRDefault="00F8568C" w:rsidP="0097473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974733">
              <w:rPr>
                <w:rFonts w:ascii="Times New Roman" w:hAnsi="Times New Roman" w:cs="Times New Roman"/>
                <w:sz w:val="22"/>
                <w:szCs w:val="22"/>
              </w:rPr>
              <w:t>IV injection: Jugular most common, thoracic, ceph, saph can be used for small amounts; perivascular inj leads to damage, esp. w common NSAID banamine</w:t>
            </w:r>
            <w:r w:rsidRPr="0097473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A33E2D" w14:paraId="165D9D9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D567495" w14:textId="3F4B0ED3" w:rsidR="00A33E2D" w:rsidRPr="00AC5591" w:rsidRDefault="00974733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Routes of medication administration in horses (cont).</w:t>
            </w:r>
          </w:p>
        </w:tc>
        <w:tc>
          <w:tcPr>
            <w:tcW w:w="5760" w:type="dxa"/>
            <w:vAlign w:val="center"/>
          </w:tcPr>
          <w:p w14:paraId="373E995C" w14:textId="54BF680A" w:rsidR="001B0FC8" w:rsidRPr="001B0FC8" w:rsidRDefault="00974733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B0FC8">
              <w:rPr>
                <w:rFonts w:ascii="Times New Roman" w:hAnsi="Times New Roman" w:cs="Times New Roman"/>
                <w:sz w:val="22"/>
                <w:szCs w:val="22"/>
              </w:rPr>
              <w:t xml:space="preserve">IM injection: </w:t>
            </w:r>
            <w:r w:rsidR="001B0FC8" w:rsidRPr="001B0FC8">
              <w:rPr>
                <w:rFonts w:ascii="Times New Roman" w:hAnsi="Times New Roman" w:cs="Times New Roman"/>
                <w:sz w:val="22"/>
                <w:szCs w:val="22"/>
              </w:rPr>
              <w:t>Tap area a few times, insert the needle only, wait until horse stops reacting, then attach syringe, draw back, inject</w:t>
            </w:r>
          </w:p>
          <w:p w14:paraId="07C24A96" w14:textId="77777777" w:rsidR="001B0FC8" w:rsidRPr="001B0FC8" w:rsidRDefault="00974733" w:rsidP="001B0FC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1B0FC8">
              <w:rPr>
                <w:rFonts w:ascii="Times New Roman" w:hAnsi="Times New Roman" w:cs="Times New Roman"/>
                <w:sz w:val="22"/>
                <w:szCs w:val="22"/>
              </w:rPr>
              <w:t>Base of the neck (triangle: nuchal ligament at the top of the neck-cervical vertebrae at the bottom of the neck-in front of shoulder blade, where heel of hand is placed)</w:t>
            </w:r>
          </w:p>
          <w:p w14:paraId="579A7EF7" w14:textId="77777777" w:rsidR="001B0FC8" w:rsidRPr="001B0FC8" w:rsidRDefault="001B0FC8" w:rsidP="001B0FC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1B0FC8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974733" w:rsidRPr="001B0FC8">
              <w:rPr>
                <w:rFonts w:ascii="Times New Roman" w:hAnsi="Times New Roman" w:cs="Times New Roman"/>
                <w:sz w:val="22"/>
                <w:szCs w:val="22"/>
              </w:rPr>
              <w:t>emitendinosus muscle 1-2 inches below the tuber ischii (buttocks) (stand on the opposite end, inject by reaching to the other side since horse will kick towards the side its stuck)</w:t>
            </w:r>
          </w:p>
          <w:p w14:paraId="5E212D08" w14:textId="77777777" w:rsidR="00A33E2D" w:rsidRPr="001B0FC8" w:rsidRDefault="001B0FC8" w:rsidP="001B0FC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1B0FC8"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="00974733" w:rsidRPr="001B0FC8">
              <w:rPr>
                <w:rFonts w:ascii="Times New Roman" w:hAnsi="Times New Roman" w:cs="Times New Roman"/>
                <w:sz w:val="22"/>
                <w:szCs w:val="22"/>
              </w:rPr>
              <w:t>luteal muscle (top of rump) not recommended due to poor drainage, which can lead to abscess</w:t>
            </w:r>
          </w:p>
          <w:p w14:paraId="18C345E8" w14:textId="369FA19A" w:rsidR="001B0FC8" w:rsidRDefault="001B0FC8" w:rsidP="001B0FC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1B0FC8">
              <w:rPr>
                <w:rFonts w:ascii="Times New Roman" w:hAnsi="Times New Roman" w:cs="Times New Roman"/>
                <w:sz w:val="22"/>
                <w:szCs w:val="22"/>
              </w:rPr>
              <w:t>Pectoral muscle only for small volumes, not common due to soreness</w:t>
            </w:r>
          </w:p>
        </w:tc>
      </w:tr>
      <w:tr w:rsidR="00A33E2D" w14:paraId="3D9D8FC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0736833" w14:textId="3CED9E33" w:rsidR="00A33E2D" w:rsidRPr="00AC5591" w:rsidRDefault="001B0FC8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Routes of medication administration in horses (cont).</w:t>
            </w:r>
          </w:p>
        </w:tc>
        <w:tc>
          <w:tcPr>
            <w:tcW w:w="5760" w:type="dxa"/>
            <w:vAlign w:val="center"/>
          </w:tcPr>
          <w:p w14:paraId="368ABEDA" w14:textId="77777777" w:rsidR="00A33E2D" w:rsidRDefault="001B0FC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SC injection: Neck</w:t>
            </w:r>
          </w:p>
          <w:p w14:paraId="60BA1454" w14:textId="77777777" w:rsidR="001B0FC8" w:rsidRDefault="001B0FC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Intranasal route: Strangles (Streptococcus equi) and influenza vaccines, allows direct application onto mucosa, area of concern</w:t>
            </w:r>
          </w:p>
          <w:p w14:paraId="4F5A4726" w14:textId="77777777" w:rsidR="001B0FC8" w:rsidRDefault="001B0FC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Inhalation route: Nebulizers and AeroMasks deliver micro-droplets, used for asthma and respiratory disease</w:t>
            </w:r>
          </w:p>
          <w:p w14:paraId="067124CD" w14:textId="5A6F56CE" w:rsidR="001B0FC8" w:rsidRDefault="001B0FC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Topical route</w:t>
            </w:r>
          </w:p>
        </w:tc>
      </w:tr>
      <w:tr w:rsidR="00A33E2D" w14:paraId="2765AE2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0A0E3A9" w14:textId="37D8A2D1" w:rsidR="00A33E2D" w:rsidRPr="00AC5591" w:rsidRDefault="00F86B2B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Catheter placement in horses </w:t>
            </w:r>
          </w:p>
        </w:tc>
        <w:tc>
          <w:tcPr>
            <w:tcW w:w="5760" w:type="dxa"/>
            <w:vAlign w:val="center"/>
          </w:tcPr>
          <w:p w14:paraId="57DA5ECF" w14:textId="4D541398" w:rsidR="0051005C" w:rsidRDefault="0051005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Into the jugular</w:t>
            </w:r>
            <w:r w:rsidR="00A8463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except long-term Mila, which goes into lateral thoracic vein</w:t>
            </w:r>
            <w:r w:rsidR="00A84632"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sterile gloves</w:t>
            </w:r>
          </w:p>
          <w:p w14:paraId="661A0216" w14:textId="218A75EA" w:rsidR="00A33E2D" w:rsidRDefault="00415376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Catheter types: </w:t>
            </w:r>
          </w:p>
          <w:p w14:paraId="350E3648" w14:textId="4B8212F5" w:rsidR="00415376" w:rsidRDefault="00415376" w:rsidP="0041537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Angiocath for short-term (1-2 days), catheter-over-stylet style</w:t>
            </w:r>
          </w:p>
          <w:p w14:paraId="15044D23" w14:textId="1E023B32" w:rsidR="00415376" w:rsidRDefault="00415376" w:rsidP="0041537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Mila and Arrow for long-term (3-4 weeks), catheter-over-guidewire style w butterfly extensions</w:t>
            </w:r>
          </w:p>
          <w:p w14:paraId="36BBD1CA" w14:textId="4326D5E6" w:rsidR="00415376" w:rsidRDefault="00415376" w:rsidP="0051005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Butterfly</w:t>
            </w:r>
            <w:r w:rsidR="0051005C">
              <w:rPr>
                <w:rFonts w:ascii="Times New Roman" w:hAnsi="Times New Roman" w:cs="Times New Roman"/>
                <w:sz w:val="22"/>
                <w:szCs w:val="22"/>
              </w:rPr>
              <w:t xml:space="preserve"> for regional perfusions of antibiotics</w:t>
            </w:r>
          </w:p>
          <w:p w14:paraId="506CC5BC" w14:textId="6AD5A792" w:rsidR="0051005C" w:rsidRPr="0051005C" w:rsidRDefault="0051005C" w:rsidP="0051005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Insyte catheter w wings for arterial blood gas sample collection during anesthesia</w:t>
            </w:r>
          </w:p>
          <w:p w14:paraId="20A502A2" w14:textId="77777777" w:rsidR="00415376" w:rsidRDefault="00A84632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Flushed w saline every 6 hours</w:t>
            </w:r>
          </w:p>
          <w:p w14:paraId="174AB099" w14:textId="383B7EA7" w:rsidR="00A84632" w:rsidRDefault="00A84632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Heparin 1 mL per 100 mL of saline may be used for patency</w:t>
            </w:r>
          </w:p>
        </w:tc>
      </w:tr>
      <w:tr w:rsidR="00A33E2D" w14:paraId="3783579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2D60BF2" w14:textId="460AA33D" w:rsidR="00A33E2D" w:rsidRPr="00AC5591" w:rsidRDefault="00A84632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Equine vaccines </w:t>
            </w:r>
          </w:p>
        </w:tc>
        <w:tc>
          <w:tcPr>
            <w:tcW w:w="5760" w:type="dxa"/>
            <w:vAlign w:val="center"/>
          </w:tcPr>
          <w:p w14:paraId="6A94C2D9" w14:textId="77777777" w:rsidR="00A84632" w:rsidRPr="00B3560A" w:rsidRDefault="00A84632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Core vaccines</w:t>
            </w:r>
          </w:p>
          <w:p w14:paraId="381058EC" w14:textId="580431CC" w:rsidR="00A33E2D" w:rsidRPr="00B3560A" w:rsidRDefault="00A84632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Tetanus toxoid (annual)</w:t>
            </w:r>
          </w:p>
          <w:p w14:paraId="535AA3B2" w14:textId="77777777" w:rsidR="00A84632" w:rsidRPr="00B3560A" w:rsidRDefault="00A84632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Tetanus antitoxin (post-exposure in not vaccinated)</w:t>
            </w:r>
          </w:p>
          <w:p w14:paraId="30479D52" w14:textId="77777777" w:rsidR="00A84632" w:rsidRPr="00B3560A" w:rsidRDefault="00A84632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 xml:space="preserve">Rabies (annual) </w:t>
            </w:r>
          </w:p>
          <w:p w14:paraId="7E5D315F" w14:textId="14B356E9" w:rsidR="00A84632" w:rsidRPr="00B3560A" w:rsidRDefault="00A84632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 xml:space="preserve">Equine encephalomyelitis (annual before vector season, </w:t>
            </w:r>
            <w:r w:rsidR="00B3560A" w:rsidRPr="00B3560A">
              <w:rPr>
                <w:rFonts w:ascii="Times New Roman" w:hAnsi="Times New Roman" w:cs="Times New Roman"/>
                <w:sz w:val="21"/>
                <w:szCs w:val="21"/>
              </w:rPr>
              <w:t>6 mo in high risk areas)</w:t>
            </w:r>
          </w:p>
          <w:p w14:paraId="059A7F5B" w14:textId="5858D63F" w:rsidR="00B3560A" w:rsidRPr="00B3560A" w:rsidRDefault="00B3560A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West Nile virus (annual in spring before vector season)</w:t>
            </w:r>
          </w:p>
          <w:p w14:paraId="13F303D5" w14:textId="244B1D33" w:rsidR="00A84632" w:rsidRPr="00B3560A" w:rsidRDefault="00A84632" w:rsidP="00A846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Risk-based vaccines</w:t>
            </w:r>
          </w:p>
          <w:p w14:paraId="46349502" w14:textId="77777777" w:rsidR="00A84632" w:rsidRPr="00B3560A" w:rsidRDefault="00A84632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Equine herpesvirus (6 mo)</w:t>
            </w:r>
          </w:p>
          <w:p w14:paraId="605A6932" w14:textId="77777777" w:rsidR="00A84632" w:rsidRPr="00B3560A" w:rsidRDefault="00A84632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Influenza (6 mo if at risk, annual otherwise) (only reduces severity of illness, doesn’t prevent it)</w:t>
            </w:r>
          </w:p>
          <w:p w14:paraId="5687F974" w14:textId="77777777" w:rsidR="00B3560A" w:rsidRPr="00B3560A" w:rsidRDefault="00B3560A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Strangles (6-12 mo depending on risk)</w:t>
            </w:r>
          </w:p>
          <w:p w14:paraId="5F0FB856" w14:textId="77777777" w:rsidR="00B3560A" w:rsidRPr="00B3560A" w:rsidRDefault="00B3560A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Potomac horse fever (6-12 mo, 3-4 if in endemic area)</w:t>
            </w:r>
          </w:p>
          <w:p w14:paraId="6895023A" w14:textId="47C52922" w:rsidR="00B3560A" w:rsidRPr="00B3560A" w:rsidRDefault="00B3560A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Botulism toxoid (3 dose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 </w:t>
            </w: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at 4-week intervals,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then</w:t>
            </w: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 xml:space="preserve"> annual)</w:t>
            </w:r>
          </w:p>
        </w:tc>
      </w:tr>
      <w:tr w:rsidR="00A33E2D" w14:paraId="25499B13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4C3471E" w14:textId="3D4E21D6" w:rsidR="00A33E2D" w:rsidRPr="00AC5591" w:rsidRDefault="00041BCF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Common signs of </w:t>
            </w:r>
            <w:r w:rsidR="0023164C">
              <w:rPr>
                <w:rFonts w:ascii="Times New Roman" w:hAnsi="Times New Roman" w:cs="Times New Roman"/>
                <w:sz w:val="22"/>
                <w:szCs w:val="22"/>
              </w:rPr>
              <w:t xml:space="preserve">GI ailments in horses </w:t>
            </w:r>
          </w:p>
        </w:tc>
        <w:tc>
          <w:tcPr>
            <w:tcW w:w="5760" w:type="dxa"/>
            <w:vAlign w:val="center"/>
          </w:tcPr>
          <w:p w14:paraId="5435435C" w14:textId="17613EEB" w:rsidR="00041BCF" w:rsidRDefault="00041BCF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Common signs are r</w:t>
            </w:r>
            <w:r w:rsidR="0023164C">
              <w:rPr>
                <w:rFonts w:ascii="Times New Roman" w:hAnsi="Times New Roman" w:cs="Times New Roman"/>
                <w:sz w:val="22"/>
                <w:szCs w:val="22"/>
              </w:rPr>
              <w:t>estlessness, anxiety, agitation, pawing, pacing, stall walking, flank watching/biting, kicking at abdomen, sweating, getting up and down, rolling, grinding teeth, distended abdomen increased HR and RR</w:t>
            </w:r>
          </w:p>
          <w:p w14:paraId="128C23E4" w14:textId="1943B59E" w:rsidR="00A33E2D" w:rsidRDefault="00041BCF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="0023164C">
              <w:rPr>
                <w:rFonts w:ascii="Times New Roman" w:hAnsi="Times New Roman" w:cs="Times New Roman"/>
                <w:sz w:val="22"/>
                <w:szCs w:val="22"/>
              </w:rPr>
              <w:t>ossible other signs are MM color change, increased CRT, toxic line on gums, motility changes, bounding digital pulses w increased heat in hoof wall, sawhorse stance, dog sitting, decreased appetite, reflux</w:t>
            </w:r>
          </w:p>
        </w:tc>
      </w:tr>
      <w:tr w:rsidR="00A33E2D" w14:paraId="428035B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3CEF90D" w14:textId="1623B854" w:rsidR="00A33E2D" w:rsidRPr="00AC5591" w:rsidRDefault="00041BCF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Common signs of neuromuscular disorders in horses</w:t>
            </w:r>
          </w:p>
        </w:tc>
        <w:tc>
          <w:tcPr>
            <w:tcW w:w="5760" w:type="dxa"/>
            <w:vAlign w:val="center"/>
          </w:tcPr>
          <w:p w14:paraId="063536B3" w14:textId="449DBFF0" w:rsidR="00A33E2D" w:rsidRDefault="00041BCF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Ataxia, depression, circling, head tilt, head pressing, nystagmus, facial paralysis, drooling, incoordination, limb knuckling and toe dragging, muscle wasting, prolapsed third eyelid, seizures, altered behavior</w:t>
            </w:r>
          </w:p>
        </w:tc>
      </w:tr>
      <w:tr w:rsidR="00A33E2D" w14:paraId="5815C8C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B9A5CCA" w14:textId="649EEDE4" w:rsidR="00A33E2D" w:rsidRPr="00AC5591" w:rsidRDefault="00041BCF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Common signs of respiratory diseases in horses</w:t>
            </w:r>
          </w:p>
        </w:tc>
        <w:tc>
          <w:tcPr>
            <w:tcW w:w="5760" w:type="dxa"/>
            <w:vAlign w:val="center"/>
          </w:tcPr>
          <w:p w14:paraId="7BE69602" w14:textId="17E932D9" w:rsidR="00A33E2D" w:rsidRDefault="00041BCF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Coughing, clear runny nasal discharge, purulent discharge in the presence of secondary bacterial infection, depression, anorexia, dyspnea, tachypnea, pyrexia</w:t>
            </w:r>
          </w:p>
        </w:tc>
      </w:tr>
      <w:tr w:rsidR="00A33E2D" w14:paraId="7C35E02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6C38208" w14:textId="17A09F04" w:rsidR="00A33E2D" w:rsidRPr="00AC5591" w:rsidRDefault="00050FAE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Foot ailments in horses </w:t>
            </w:r>
          </w:p>
        </w:tc>
        <w:tc>
          <w:tcPr>
            <w:tcW w:w="5760" w:type="dxa"/>
            <w:vAlign w:val="center"/>
          </w:tcPr>
          <w:p w14:paraId="280BFA31" w14:textId="77777777" w:rsidR="00A33E2D" w:rsidRDefault="007F08F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Thrush: Fungal infection caused by Spherophorus neaphorus affecting the frog and causing black slime and bad odor; treated w farrier trimming of frog, cleaning w warm water, applying thrush product, keeping dry</w:t>
            </w:r>
          </w:p>
          <w:p w14:paraId="154FE9C2" w14:textId="77777777" w:rsidR="007F08F9" w:rsidRDefault="007F08F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Abscess: Bacteria bw laminae and hoof wall due to moisture or cracks in dry hoof; drained </w:t>
            </w:r>
          </w:p>
          <w:p w14:paraId="310D156A" w14:textId="77777777" w:rsidR="007F08F9" w:rsidRDefault="007F08F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Foreign body: Antibiotics and bandage may be necessary</w:t>
            </w:r>
          </w:p>
          <w:p w14:paraId="2489D25F" w14:textId="77777777" w:rsidR="007F08F9" w:rsidRDefault="007F08F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Laminitis</w:t>
            </w:r>
          </w:p>
          <w:p w14:paraId="256058A8" w14:textId="27837757" w:rsidR="007F08F9" w:rsidRDefault="007F08F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Navicular syndrome</w:t>
            </w:r>
          </w:p>
        </w:tc>
      </w:tr>
      <w:tr w:rsidR="00A33E2D" w14:paraId="2FEDFAD3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9E4F7B5" w14:textId="7F9F81C6" w:rsidR="00A33E2D" w:rsidRPr="00AC5591" w:rsidRDefault="007F08F9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Equine therapeutic modalities</w:t>
            </w:r>
          </w:p>
        </w:tc>
        <w:tc>
          <w:tcPr>
            <w:tcW w:w="5760" w:type="dxa"/>
            <w:vAlign w:val="center"/>
          </w:tcPr>
          <w:p w14:paraId="338865BC" w14:textId="77777777" w:rsidR="007F08F9" w:rsidRDefault="007F08F9" w:rsidP="007F08F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Extracorporeal shock-wave therapy: Speeds up healing time by increasing blood flow to injured ligament, shin, bone</w:t>
            </w:r>
          </w:p>
          <w:p w14:paraId="6A9E7B0D" w14:textId="6B0F7E0C" w:rsidR="007F08F9" w:rsidRDefault="007F08F9" w:rsidP="007F08F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Interleukin receptor antagonist protein</w:t>
            </w:r>
            <w:r w:rsidR="00F20693">
              <w:rPr>
                <w:rFonts w:ascii="Times New Roman" w:hAnsi="Times New Roman" w:cs="Times New Roman"/>
                <w:sz w:val="22"/>
                <w:szCs w:val="22"/>
              </w:rPr>
              <w:t xml:space="preserve"> (autologous therapy)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IRAP is a protein that binds to receptors in injured joint; IRAP is collected from whole blood incubated and centrifuged and injected into joint for the purposes of reducing/stopping inflammation cascade in joint inflammation caused by injury or osteoarthritis</w:t>
            </w:r>
          </w:p>
          <w:p w14:paraId="1FFFB5CB" w14:textId="16CDFD69" w:rsidR="00F20693" w:rsidRDefault="00F20693" w:rsidP="007F08F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Platelet-rich plasma (autologous therapy): Whole blood centrifuged to separate plasma; used to treat tendon, ligament, and some joint injuries</w:t>
            </w:r>
          </w:p>
        </w:tc>
      </w:tr>
      <w:tr w:rsidR="00A33E2D" w14:paraId="2ACD5CB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7BC2E78" w14:textId="3611736F" w:rsidR="00A33E2D" w:rsidRPr="00AC5591" w:rsidRDefault="005603C9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Equine surgery and anesthesia</w:t>
            </w:r>
          </w:p>
        </w:tc>
        <w:tc>
          <w:tcPr>
            <w:tcW w:w="5760" w:type="dxa"/>
            <w:vAlign w:val="center"/>
          </w:tcPr>
          <w:p w14:paraId="6682AC11" w14:textId="722DF83F" w:rsidR="00A33E2D" w:rsidRPr="0067689D" w:rsidRDefault="005603C9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7689D">
              <w:rPr>
                <w:rFonts w:ascii="Times New Roman" w:hAnsi="Times New Roman" w:cs="Times New Roman"/>
                <w:sz w:val="19"/>
                <w:szCs w:val="19"/>
              </w:rPr>
              <w:t>Standing sedation for short surgeries (IV bolus under, CRI above 15-20 min); common meds are alpha 2 agonists like dexmedetomidine, xylazine, or these followed by an opioid butorphanol, morphine</w:t>
            </w:r>
          </w:p>
          <w:p w14:paraId="051CFA1C" w14:textId="77777777" w:rsidR="005603C9" w:rsidRPr="0067689D" w:rsidRDefault="005603C9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7689D">
              <w:rPr>
                <w:rFonts w:ascii="Times New Roman" w:hAnsi="Times New Roman" w:cs="Times New Roman"/>
                <w:sz w:val="19"/>
                <w:szCs w:val="19"/>
              </w:rPr>
              <w:t xml:space="preserve">Preinduction sedation w above alpha 2 agonists w or w/out opioids </w:t>
            </w:r>
          </w:p>
          <w:p w14:paraId="6140C274" w14:textId="77777777" w:rsidR="005603C9" w:rsidRPr="0067689D" w:rsidRDefault="005603C9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7689D">
              <w:rPr>
                <w:rFonts w:ascii="Times New Roman" w:hAnsi="Times New Roman" w:cs="Times New Roman"/>
                <w:sz w:val="19"/>
                <w:szCs w:val="19"/>
              </w:rPr>
              <w:t xml:space="preserve">Induction w ketamine (w benzodiazepine and/or guaifenesin), thiopental (w benzodiazepine and/or guaifenesin), tiletamine and zolazepam </w:t>
            </w:r>
          </w:p>
          <w:p w14:paraId="20B6BF2C" w14:textId="77777777" w:rsidR="005603C9" w:rsidRPr="0067689D" w:rsidRDefault="005603C9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7689D">
              <w:rPr>
                <w:rFonts w:ascii="Times New Roman" w:hAnsi="Times New Roman" w:cs="Times New Roman"/>
                <w:sz w:val="19"/>
                <w:szCs w:val="19"/>
              </w:rPr>
              <w:t>Total IV anesthesia (TIVA) extends anesthesia after induction; short-term w ketamine and alpha 2 agonist, long-term w ketamine plus [xylazine and guaifenesin OR dexmedetomidine OR benzodiazepine]</w:t>
            </w:r>
          </w:p>
          <w:p w14:paraId="404314FB" w14:textId="77777777" w:rsidR="005603C9" w:rsidRPr="0067689D" w:rsidRDefault="005603C9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7689D">
              <w:rPr>
                <w:rFonts w:ascii="Times New Roman" w:hAnsi="Times New Roman" w:cs="Times New Roman"/>
                <w:sz w:val="19"/>
                <w:szCs w:val="19"/>
              </w:rPr>
              <w:t>Maintenance w iso, sevo, or halothane</w:t>
            </w:r>
          </w:p>
          <w:p w14:paraId="694F85D0" w14:textId="559529A3" w:rsidR="005603C9" w:rsidRPr="0067689D" w:rsidRDefault="005603C9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7689D">
              <w:rPr>
                <w:rFonts w:ascii="Times New Roman" w:hAnsi="Times New Roman" w:cs="Times New Roman"/>
                <w:sz w:val="19"/>
                <w:szCs w:val="19"/>
              </w:rPr>
              <w:t xml:space="preserve">Partial IV anesthesia (PIVA) lowers amount of general anesthetic; dexmedetomidine, xylazine, ketamine, lidocaine 2%, or combinations (ketamine and an alpha 2 agonist, lidocaine and ketamine w or w/out </w:t>
            </w:r>
            <w:r w:rsidR="0067689D" w:rsidRPr="0067689D">
              <w:rPr>
                <w:rFonts w:ascii="Times New Roman" w:hAnsi="Times New Roman" w:cs="Times New Roman"/>
                <w:sz w:val="19"/>
                <w:szCs w:val="19"/>
              </w:rPr>
              <w:t>xylazine OR dexmedetomidine</w:t>
            </w:r>
          </w:p>
        </w:tc>
      </w:tr>
      <w:tr w:rsidR="00AA0AFD" w14:paraId="428F761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C436CDE" w14:textId="22CB24AB" w:rsidR="00AA0AFD" w:rsidRDefault="00AA0AFD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Ruminants </w:t>
            </w:r>
          </w:p>
        </w:tc>
        <w:tc>
          <w:tcPr>
            <w:tcW w:w="5760" w:type="dxa"/>
            <w:vAlign w:val="center"/>
          </w:tcPr>
          <w:p w14:paraId="180B1A8A" w14:textId="7D05CC0A" w:rsidR="00AA0AFD" w:rsidRDefault="00AA0AFD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A0AFD">
              <w:rPr>
                <w:rFonts w:ascii="Times New Roman" w:hAnsi="Times New Roman" w:cs="Times New Roman"/>
                <w:sz w:val="22"/>
                <w:szCs w:val="22"/>
              </w:rPr>
              <w:t>Cattle, sheep, goa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</w:p>
          <w:p w14:paraId="216560BD" w14:textId="77777777" w:rsidR="00AA0AFD" w:rsidRDefault="00AA0AFD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Herbivores; diet mainly consists of plants w high fiber (cellulose) conten</w:t>
            </w:r>
            <w:r w:rsidRPr="00AA0AFD">
              <w:rPr>
                <w:rFonts w:ascii="Times New Roman" w:hAnsi="Times New Roman" w:cs="Times New Roman"/>
                <w:sz w:val="22"/>
                <w:szCs w:val="22"/>
              </w:rPr>
              <w:t>t</w:t>
            </w:r>
          </w:p>
          <w:p w14:paraId="47774E23" w14:textId="77777777" w:rsidR="000255FA" w:rsidRDefault="00AA0AFD" w:rsidP="000255F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Symbiotic relationship w protozoa and bacteria allow digestion of </w:t>
            </w:r>
            <w:r w:rsidR="000255FA">
              <w:rPr>
                <w:rFonts w:ascii="Times New Roman" w:hAnsi="Times New Roman" w:cs="Times New Roman"/>
                <w:sz w:val="22"/>
                <w:szCs w:val="22"/>
              </w:rPr>
              <w:t>indigestible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255FA">
              <w:rPr>
                <w:rFonts w:ascii="Times New Roman" w:hAnsi="Times New Roman" w:cs="Times New Roman"/>
                <w:sz w:val="22"/>
                <w:szCs w:val="22"/>
              </w:rPr>
              <w:t>feed; byproducts of anaerobic fermentation are volatile fatty acids, amino acids, and vitamins, which are used for body maintenance, and methane and carbon dioxide, which are eructated</w:t>
            </w:r>
          </w:p>
          <w:p w14:paraId="17E1360B" w14:textId="77777777" w:rsidR="000255FA" w:rsidRDefault="000255FA" w:rsidP="000255F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True ruminants like cattle have prehensile tongues to gather food </w:t>
            </w:r>
          </w:p>
          <w:p w14:paraId="41B4723D" w14:textId="5CF6A51F" w:rsidR="00C75865" w:rsidRPr="000255FA" w:rsidRDefault="00C75865" w:rsidP="000255F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w:t>The hoof (aka ungula)</w:t>
            </w: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w:t xml:space="preserve">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 hooves per foot, two are weight-bearing (3rd and 4th digits) </w:t>
            </w:r>
          </w:p>
        </w:tc>
      </w:tr>
      <w:tr w:rsidR="00AA0AFD" w14:paraId="50E3EE5A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067C8CF" w14:textId="5A806210" w:rsidR="00AA0AFD" w:rsidRDefault="00AA0AFD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Ruminant digestion </w:t>
            </w:r>
          </w:p>
        </w:tc>
        <w:tc>
          <w:tcPr>
            <w:tcW w:w="5760" w:type="dxa"/>
            <w:vAlign w:val="center"/>
          </w:tcPr>
          <w:p w14:paraId="08F6B09C" w14:textId="77777777" w:rsidR="00AA0AFD" w:rsidRDefault="000255FA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255FA">
              <w:rPr>
                <w:rFonts w:ascii="Times New Roman" w:hAnsi="Times New Roman" w:cs="Times New Roman"/>
                <w:sz w:val="22"/>
                <w:szCs w:val="22"/>
              </w:rPr>
              <w:t>Four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255FA">
              <w:rPr>
                <w:rFonts w:ascii="Times New Roman" w:hAnsi="Times New Roman" w:cs="Times New Roman"/>
                <w:sz w:val="22"/>
                <w:szCs w:val="22"/>
              </w:rPr>
              <w:t>cham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ber stomach: </w:t>
            </w:r>
          </w:p>
          <w:p w14:paraId="4B449D4C" w14:textId="3D4B4D34" w:rsidR="000255FA" w:rsidRDefault="000255FA" w:rsidP="000255F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Rumen/paunch is the main fermentation vat; microbial products are available for digestion</w:t>
            </w:r>
          </w:p>
          <w:p w14:paraId="29D404D1" w14:textId="3290447F" w:rsidR="000255FA" w:rsidRDefault="000255FA" w:rsidP="000255F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Reticulum/honeycomb forces material into the rumen or omasum, or regurgitates ingesta during rumination</w:t>
            </w:r>
          </w:p>
          <w:p w14:paraId="1F22B1F9" w14:textId="58CB155B" w:rsidR="000255FA" w:rsidRDefault="000255FA" w:rsidP="000255F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Omasum/many plies is filled w muscular laminae that squeezes fluid out of ingesta</w:t>
            </w:r>
          </w:p>
          <w:p w14:paraId="59FAEBB7" w14:textId="104A886B" w:rsidR="000255FA" w:rsidRDefault="000255FA" w:rsidP="000255F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Abomasum/true (grandular) stomach corresponds to stomachs of monogastrics; site for peptic digestion of proteins</w:t>
            </w:r>
          </w:p>
          <w:p w14:paraId="188F6A0B" w14:textId="60D13190" w:rsidR="000255FA" w:rsidRPr="000255FA" w:rsidRDefault="000255FA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Camelids are functional ruminants; have 3 chambers </w:t>
            </w:r>
          </w:p>
        </w:tc>
      </w:tr>
      <w:tr w:rsidR="00A33E2D" w14:paraId="379FB4A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369F43A" w14:textId="071A10B4" w:rsidR="00A33E2D" w:rsidRPr="00AC5591" w:rsidRDefault="00C7202F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Abomasopexy</w:t>
            </w:r>
          </w:p>
        </w:tc>
        <w:tc>
          <w:tcPr>
            <w:tcW w:w="5760" w:type="dxa"/>
            <w:vAlign w:val="center"/>
          </w:tcPr>
          <w:p w14:paraId="655CD2B1" w14:textId="77777777" w:rsidR="00C7202F" w:rsidRPr="00AA0AFD" w:rsidRDefault="00C7202F" w:rsidP="00C720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A0AFD">
              <w:rPr>
                <w:rFonts w:ascii="Times New Roman" w:hAnsi="Times New Roman" w:cs="Times New Roman"/>
                <w:sz w:val="20"/>
                <w:szCs w:val="20"/>
              </w:rPr>
              <w:t>Abomasal displacement is common in dairy cows fed high-concentration, low-roughage diets, esp. 6 weeks after calving</w:t>
            </w:r>
          </w:p>
          <w:p w14:paraId="0E2362B9" w14:textId="77777777" w:rsidR="00C7202F" w:rsidRPr="00AA0AFD" w:rsidRDefault="00C7202F" w:rsidP="00C720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A0AFD">
              <w:rPr>
                <w:rFonts w:ascii="Times New Roman" w:hAnsi="Times New Roman" w:cs="Times New Roman"/>
                <w:sz w:val="20"/>
                <w:szCs w:val="20"/>
              </w:rPr>
              <w:t xml:space="preserve">Hypocalcemia, mastitis, metritis, ketosis, lack of exercise can also lead to displacement </w:t>
            </w:r>
          </w:p>
          <w:p w14:paraId="442BA6D8" w14:textId="77777777" w:rsidR="00AA0AFD" w:rsidRPr="00AA0AFD" w:rsidRDefault="00C7202F" w:rsidP="00C720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A0AFD">
              <w:rPr>
                <w:rFonts w:ascii="Times New Roman" w:hAnsi="Times New Roman" w:cs="Times New Roman"/>
                <w:sz w:val="20"/>
                <w:szCs w:val="20"/>
              </w:rPr>
              <w:t>Signs include reluctance to eat, reduced manure output and milk production, elevated HR, dehydration, and gas and fluid accumulation on the right side</w:t>
            </w:r>
            <w:r w:rsidR="00AA0AFD" w:rsidRPr="00AA0AF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60B6AB0" w14:textId="77777777" w:rsidR="00AA0AFD" w:rsidRPr="00AA0AFD" w:rsidRDefault="00AA0AFD" w:rsidP="00C720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A0AFD">
              <w:rPr>
                <w:rFonts w:ascii="Times New Roman" w:hAnsi="Times New Roman" w:cs="Times New Roman"/>
                <w:sz w:val="20"/>
                <w:szCs w:val="20"/>
              </w:rPr>
              <w:t>A distinct “ping” on the right or left will tell if it’s right or left displaced abomasum (LDA more common)</w:t>
            </w:r>
          </w:p>
          <w:p w14:paraId="1B9FBA5B" w14:textId="77777777" w:rsidR="00AA0AFD" w:rsidRPr="00AA0AFD" w:rsidRDefault="00AA0AFD" w:rsidP="00C720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A0AFD">
              <w:rPr>
                <w:rFonts w:ascii="Times New Roman" w:hAnsi="Times New Roman" w:cs="Times New Roman"/>
                <w:sz w:val="20"/>
                <w:szCs w:val="20"/>
              </w:rPr>
              <w:t>Physical rolling of patient can temporarily correct it, but it will recur; blind tacking or toggle pinning is also possible, but complications (infection, damage to organs) common</w:t>
            </w:r>
          </w:p>
          <w:p w14:paraId="32CB2D90" w14:textId="255F119D" w:rsidR="00A33E2D" w:rsidRPr="00AA0AFD" w:rsidRDefault="00C7202F" w:rsidP="00C720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A0AFD">
              <w:rPr>
                <w:rFonts w:ascii="Times New Roman" w:hAnsi="Times New Roman" w:cs="Times New Roman"/>
                <w:sz w:val="20"/>
                <w:szCs w:val="20"/>
              </w:rPr>
              <w:t>Surgical fixation of abomasum to the body wall</w:t>
            </w:r>
            <w:r w:rsidR="00AA0AFD" w:rsidRPr="00AA0AFD">
              <w:rPr>
                <w:rFonts w:ascii="Times New Roman" w:hAnsi="Times New Roman" w:cs="Times New Roman"/>
                <w:sz w:val="20"/>
                <w:szCs w:val="20"/>
              </w:rPr>
              <w:t xml:space="preserve"> (abomasopexy) </w:t>
            </w:r>
            <w:r w:rsidR="00AA0AFD">
              <w:rPr>
                <w:rFonts w:ascii="Times New Roman" w:hAnsi="Times New Roman" w:cs="Times New Roman"/>
                <w:sz w:val="20"/>
                <w:szCs w:val="20"/>
              </w:rPr>
              <w:t xml:space="preserve">is best, followed by only roughage diet </w:t>
            </w:r>
          </w:p>
        </w:tc>
      </w:tr>
      <w:tr w:rsidR="00A33E2D" w14:paraId="0A66354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4E1F4CA" w14:textId="449BF276" w:rsidR="00A33E2D" w:rsidRPr="00AC5591" w:rsidRDefault="00AA0AFD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Celiotomy </w:t>
            </w:r>
          </w:p>
        </w:tc>
        <w:tc>
          <w:tcPr>
            <w:tcW w:w="5760" w:type="dxa"/>
            <w:vAlign w:val="center"/>
          </w:tcPr>
          <w:p w14:paraId="3480774C" w14:textId="77777777" w:rsidR="00A33E2D" w:rsidRDefault="00AA0AF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Exploratory abdominal surgery; performed for generalized abdominal disease, including colic</w:t>
            </w:r>
          </w:p>
          <w:p w14:paraId="6B788A80" w14:textId="17591774" w:rsidR="00AA0AFD" w:rsidRDefault="00AA0AF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Mostly performed via a ventral midline incision under full anesthesia, but flank incision on a standing, sedate patient possible as well</w:t>
            </w:r>
          </w:p>
        </w:tc>
      </w:tr>
    </w:tbl>
    <w:p w14:paraId="2F814DAB" w14:textId="77777777" w:rsidR="00C51C90" w:rsidRDefault="00C51C90"/>
    <w:sectPr w:rsidR="00C51C90" w:rsidSect="00A33E2D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C1A14"/>
    <w:multiLevelType w:val="hybridMultilevel"/>
    <w:tmpl w:val="60AE6558"/>
    <w:lvl w:ilvl="0" w:tplc="4E0CA892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1" w15:restartNumberingAfterBreak="0">
    <w:nsid w:val="3C0D01F3"/>
    <w:multiLevelType w:val="hybridMultilevel"/>
    <w:tmpl w:val="D214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373213">
    <w:abstractNumId w:val="1"/>
  </w:num>
  <w:num w:numId="2" w16cid:durableId="83823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BC"/>
    <w:rsid w:val="000255FA"/>
    <w:rsid w:val="00041BCF"/>
    <w:rsid w:val="00050FAE"/>
    <w:rsid w:val="001B0FC8"/>
    <w:rsid w:val="00213BAB"/>
    <w:rsid w:val="0023164C"/>
    <w:rsid w:val="00341796"/>
    <w:rsid w:val="003C441E"/>
    <w:rsid w:val="003E1880"/>
    <w:rsid w:val="00415376"/>
    <w:rsid w:val="00420C07"/>
    <w:rsid w:val="0051005C"/>
    <w:rsid w:val="005603C9"/>
    <w:rsid w:val="005C5E18"/>
    <w:rsid w:val="0067689D"/>
    <w:rsid w:val="007F08F9"/>
    <w:rsid w:val="008D60BC"/>
    <w:rsid w:val="008E7EF0"/>
    <w:rsid w:val="00974733"/>
    <w:rsid w:val="00A33E2D"/>
    <w:rsid w:val="00A35360"/>
    <w:rsid w:val="00A84632"/>
    <w:rsid w:val="00AA0AFD"/>
    <w:rsid w:val="00B3560A"/>
    <w:rsid w:val="00C51C90"/>
    <w:rsid w:val="00C5621E"/>
    <w:rsid w:val="00C7202F"/>
    <w:rsid w:val="00C75865"/>
    <w:rsid w:val="00CA0ED0"/>
    <w:rsid w:val="00D340E1"/>
    <w:rsid w:val="00DD6C0E"/>
    <w:rsid w:val="00F20693"/>
    <w:rsid w:val="00F55579"/>
    <w:rsid w:val="00F8568C"/>
    <w:rsid w:val="00F8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6CE6"/>
  <w15:chartTrackingRefBased/>
  <w15:docId w15:val="{DA238356-C514-4775-AA44-88F83180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2D"/>
  </w:style>
  <w:style w:type="paragraph" w:styleId="Heading1">
    <w:name w:val="heading 1"/>
    <w:basedOn w:val="Normal"/>
    <w:next w:val="Normal"/>
    <w:link w:val="Heading1Char"/>
    <w:uiPriority w:val="9"/>
    <w:qFormat/>
    <w:rsid w:val="008D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Kavusturan</dc:creator>
  <cp:keywords/>
  <dc:description/>
  <cp:lastModifiedBy>Elif Kavusturan</cp:lastModifiedBy>
  <cp:revision>20</cp:revision>
  <dcterms:created xsi:type="dcterms:W3CDTF">2025-11-19T19:10:00Z</dcterms:created>
  <dcterms:modified xsi:type="dcterms:W3CDTF">2025-11-22T23:47:00Z</dcterms:modified>
</cp:coreProperties>
</file>