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octubre de 2026</w:t>
      </w:r>
    </w:p>
    <w:p>
      <w:pPr>
        <w:spacing w:after="80"/>
        <w:jc w:val="center"/>
      </w:pPr>
      <w:r>
        <w:rPr>
          <w:b/>
          <w:bCs/>
          <w:sz w:val="24"/>
          <w:szCs w:val="24"/>
        </w:rPr>
        <w:t xml:space="preserve">Repositorio: </w:t>
      </w:r>
      <w:hyperlink w:history="1" r:id="rId9uyv1yyimkilq3zghwh2z">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wujbsd4yl4fmlqxj3gsj0">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6</w:t>
      </w:r>
    </w:p>
    <w:p>
      <w:pPr>
        <w:tabs>
          <w:tab w:val="right" w:pos="9350" w:leader="dot"/>
        </w:tabs>
        <w:spacing w:after="110"/>
      </w:pPr>
      <w:r>
        <w:rPr>
          <w:sz w:val="23"/>
          <w:szCs w:val="23"/>
        </w:rPr>
        <w:t xml:space="preserve">4. SQL Server y Northwind</w:t>
      </w:r>
      <w:r>
        <w:rPr>
          <w:sz w:val="23"/>
          <w:szCs w:val="23"/>
        </w:rPr>
        <w:t xml:space="preserve">	10</w:t>
      </w:r>
    </w:p>
    <w:p>
      <w:pPr>
        <w:tabs>
          <w:tab w:val="right" w:pos="9350" w:leader="dot"/>
        </w:tabs>
        <w:spacing w:after="110"/>
      </w:pPr>
      <w:r>
        <w:rPr>
          <w:sz w:val="23"/>
          <w:szCs w:val="23"/>
        </w:rPr>
        <w:t xml:space="preserve">5. Oracle y recursos humanos</w:t>
      </w:r>
      <w:r>
        <w:rPr>
          <w:sz w:val="23"/>
          <w:szCs w:val="23"/>
        </w:rPr>
        <w:t xml:space="preserve">	23</w:t>
      </w:r>
    </w:p>
    <w:p>
      <w:pPr>
        <w:tabs>
          <w:tab w:val="right" w:pos="9350" w:leader="dot"/>
        </w:tabs>
        <w:spacing w:after="110"/>
      </w:pPr>
      <w:r>
        <w:rPr>
          <w:sz w:val="23"/>
          <w:szCs w:val="23"/>
        </w:rPr>
        <w:t xml:space="preserve">6. MongoDB y sensores</w:t>
      </w:r>
      <w:r>
        <w:rPr>
          <w:sz w:val="23"/>
          <w:szCs w:val="23"/>
        </w:rPr>
        <w:t xml:space="preserve">	36</w:t>
      </w:r>
    </w:p>
    <w:p>
      <w:pPr>
        <w:tabs>
          <w:tab w:val="right" w:pos="9350" w:leader="dot"/>
        </w:tabs>
        <w:spacing w:after="110"/>
      </w:pPr>
      <w:r>
        <w:rPr>
          <w:sz w:val="23"/>
          <w:szCs w:val="23"/>
        </w:rPr>
        <w:t xml:space="preserve">7. Extracción integrada, validación y dashboard</w:t>
      </w:r>
      <w:r>
        <w:rPr>
          <w:sz w:val="23"/>
          <w:szCs w:val="23"/>
        </w:rPr>
        <w:t xml:space="preserve">	49</w:t>
      </w:r>
    </w:p>
    <w:p>
      <w:pPr>
        <w:tabs>
          <w:tab w:val="right" w:pos="9350" w:leader="dot"/>
        </w:tabs>
        <w:spacing w:after="110"/>
      </w:pPr>
      <w:r>
        <w:rPr>
          <w:sz w:val="23"/>
          <w:szCs w:val="23"/>
        </w:rPr>
        <w:t xml:space="preserve">8. Discusión y recomendaciones</w:t>
      </w:r>
      <w:r>
        <w:rPr>
          <w:sz w:val="23"/>
          <w:szCs w:val="23"/>
        </w:rPr>
        <w:t xml:space="preserve">	52</w:t>
      </w:r>
    </w:p>
    <w:p>
      <w:pPr>
        <w:tabs>
          <w:tab w:val="right" w:pos="9350" w:leader="dot"/>
        </w:tabs>
        <w:spacing w:after="110"/>
      </w:pPr>
      <w:r>
        <w:rPr>
          <w:sz w:val="23"/>
          <w:szCs w:val="23"/>
        </w:rPr>
        <w:t xml:space="preserve">9. Conclusiones</w:t>
      </w:r>
      <w:r>
        <w:rPr>
          <w:sz w:val="23"/>
          <w:szCs w:val="23"/>
        </w:rPr>
        <w:t xml:space="preserve">	53</w:t>
      </w:r>
    </w:p>
    <w:p>
      <w:pPr>
        <w:tabs>
          <w:tab w:val="right" w:pos="9350" w:leader="dot"/>
        </w:tabs>
        <w:spacing w:after="110"/>
      </w:pPr>
      <w:r>
        <w:rPr>
          <w:sz w:val="23"/>
          <w:szCs w:val="23"/>
        </w:rPr>
        <w:t xml:space="preserve">Referencias</w:t>
      </w:r>
      <w:r>
        <w:rPr>
          <w:sz w:val="23"/>
          <w:szCs w:val="23"/>
        </w:rPr>
        <w:t xml:space="preserve">	54</w:t>
      </w:r>
    </w:p>
    <w:p>
      <w:pPr>
        <w:tabs>
          <w:tab w:val="right" w:pos="9350" w:leader="dot"/>
        </w:tabs>
        <w:spacing w:after="110"/>
      </w:pPr>
      <w:r>
        <w:rPr>
          <w:sz w:val="23"/>
          <w:szCs w:val="23"/>
        </w:rPr>
        <w:t xml:space="preserve">Anexo A. Reproducción del laboratorio</w:t>
      </w:r>
      <w:r>
        <w:rPr>
          <w:sz w:val="23"/>
          <w:szCs w:val="23"/>
        </w:rPr>
        <w:t xml:space="preserve">	55</w:t>
      </w:r>
    </w:p>
    <w:p>
      <w:pPr>
        <w:tabs>
          <w:tab w:val="right" w:pos="9350" w:leader="dot"/>
        </w:tabs>
        <w:spacing w:after="110"/>
      </w:pPr>
      <w:r>
        <w:rPr>
          <w:sz w:val="23"/>
          <w:szCs w:val="23"/>
        </w:rPr>
        <w:t xml:space="preserve">Anexo B. Código fuente y configuración</w:t>
      </w:r>
      <w:r>
        <w:rPr>
          <w:sz w:val="23"/>
          <w:szCs w:val="23"/>
        </w:rPr>
        <w:t xml:space="preserve">	56</w:t>
      </w:r>
    </w:p>
    <w:p>
      <w:pPr>
        <w:tabs>
          <w:tab w:val="right" w:pos="9350" w:leader="dot"/>
        </w:tabs>
        <w:spacing w:after="110"/>
      </w:pPr>
      <w:r>
        <w:rPr>
          <w:sz w:val="23"/>
          <w:szCs w:val="23"/>
        </w:rPr>
        <w:t xml:space="preserve">Anexo C. Capturas del dashboard</w:t>
      </w:r>
      <w:r>
        <w:rPr>
          <w:sz w:val="23"/>
          <w:szCs w:val="23"/>
        </w:rPr>
        <w:t xml:space="preserve">	57</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se acompaña de su construcción, el resultado observado, la decisión que apoya, su límite de interpretación y el código utilizado.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y las herramientas.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resume las conclusiones. Los anexos contienen los pasos de reproducción, el inventario del código fuente, los enlaces al repositorio y al dashboard,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gpsf4b0kfzgzuduqvpilu">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3"/>
        <w:keepNext/>
        <w:spacing w:before="180" w:after="80"/>
      </w:pPr>
      <w:r>
        <w:t xml:space="preserve">Dashboard interactivo</w:t>
      </w:r>
    </w:p>
    <w:p>
      <w:pPr>
        <w:spacing w:after="120" w:line="276"/>
        <w:jc w:val="left"/>
      </w:pPr>
      <w:r>
        <w:t xml:space="preserve">El dashboard está publicado en </w:t>
      </w:r>
      <w:hyperlink w:history="1" r:id="rIdrsiblyjahc5kby76gku_p">
        <w:r>
          <w:rPr>
            <w:rStyle w:val="Hyperlink"/>
          </w:rPr>
          <w:t xml:space="preserve">https://dcarrioncordones.github.io/proyecto-final-db/dashboard/</w:t>
        </w:r>
      </w:hyperlink>
      <w:r>
        <w:t xml:space="preserve"> y se abre en cualquier navegador, sin instalar nada. Permite elegir la base de datos y cada una de sus diez visualizaciones, aplicar filtros, hacer zoom, inspeccionar valores al pasar el cursor y reproducir el monitoreo simulado de S10 (sección 7.2).</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pStyle w:val="Heading2"/>
        <w:keepNext/>
        <w:spacing w:before="280" w:after="120"/>
      </w:pPr>
      <w:r>
        <w:t xml:space="preserve">2.2 Definiciones y criterios de calidad</w:t>
      </w:r>
    </w:p>
    <w:p>
      <w:pPr>
        <w:spacing w:after="120" w:line="276"/>
        <w:jc w:val="both"/>
      </w:pPr>
      <w:r>
        <w:t xml:space="preserve">Las métricas se definieron antes de construir las figuras para evitar ambigüedades entre fuentes:</w:t>
      </w:r>
    </w:p>
    <w:p>
      <w:pPr>
        <w:pStyle w:val="ListParagraph"/>
        <w:numPr>
          <w:ilvl w:val="0"/>
          <w:numId w:val="2"/>
        </w:numPr>
        <w:spacing w:after="60" w:line="264"/>
        <w:jc w:val="both"/>
      </w:pPr>
      <w:r>
        <w:rPr>
          <w:b/>
          <w:bCs/>
        </w:rPr>
        <w:t xml:space="preserve">Venta neta de línea</w:t>
      </w:r>
      <w:r>
        <w:t xml:space="preserve"> = UnitPrice × Quantity × (1 − Discount), con el precio histórico de </w:t>
      </w:r>
      <w:r>
        <w:rPr>
          <w:i/>
          <w:iCs/>
        </w:rPr>
        <w:t xml:space="preserve">Order Details</w:t>
      </w:r>
      <w:r>
        <w:t xml:space="preserve"> y no el precio actual del catálogo. La venta bruta total es 1,354,458.59 y la reducción por descuentos, 88,665.55.</w:t>
      </w:r>
    </w:p>
    <w:p>
      <w:pPr>
        <w:pStyle w:val="ListParagraph"/>
        <w:numPr>
          <w:ilvl w:val="0"/>
          <w:numId w:val="2"/>
        </w:numPr>
        <w:spacing w:after="60" w:line="264"/>
        <w:jc w:val="both"/>
      </w:pPr>
      <w:r>
        <w:rPr>
          <w:b/>
          <w:bCs/>
        </w:rPr>
        <w:t xml:space="preserve">Antigüedad</w:t>
      </w:r>
      <w:r>
        <w:t xml:space="preserve"> = (fecha de referencia 08/10/2026 − hire_date) / 365.25 años. Las uniones izquierdas conservan al empleado sin departamento.</w:t>
      </w:r>
    </w:p>
    <w:p>
      <w:pPr>
        <w:pStyle w:val="ListParagraph"/>
        <w:numPr>
          <w:ilvl w:val="0"/>
          <w:numId w:val="2"/>
        </w:numPr>
        <w:spacing w:after="60" w:line="264"/>
        <w:jc w:val="both"/>
      </w:pPr>
      <w:r>
        <w:rPr>
          <w:b/>
          <w:bCs/>
        </w:rPr>
        <w:t xml:space="preserve">Fechas de sensores</w:t>
      </w:r>
      <w:r>
        <w:t xml:space="preserve">: se almacenan como BSON Date en UTC y se agrupan en la zona America/Santo_Domingo.</w:t>
      </w:r>
    </w:p>
    <w:p>
      <w:pPr>
        <w:pStyle w:val="ListParagraph"/>
        <w:numPr>
          <w:ilvl w:val="0"/>
          <w:numId w:val="2"/>
        </w:numPr>
        <w:spacing w:after="60" w:line="264"/>
        <w:jc w:val="both"/>
      </w:pPr>
      <w:r>
        <w:rPr>
          <w:b/>
          <w:bCs/>
        </w:rPr>
        <w:t xml:space="preserve">Atípicos</w:t>
      </w:r>
      <w:r>
        <w:t xml:space="preserve">: una lectura es alerta si |valor − mediana| / (1.4826 × MAD) &gt; 3.5, con mediana y MAD calculadas por sensor y hora del día [11].</w:t>
      </w:r>
    </w:p>
    <w:p>
      <w:pPr>
        <w:pStyle w:val="ListParagraph"/>
        <w:numPr>
          <w:ilvl w:val="0"/>
          <w:numId w:val="2"/>
        </w:numPr>
        <w:spacing w:after="60" w:line="264"/>
        <w:jc w:val="both"/>
      </w:pPr>
      <w:r>
        <w:rPr>
          <w:b/>
          <w:bCs/>
        </w:rPr>
        <w:t xml:space="preserve">Claves sin duplicación</w:t>
      </w:r>
      <w:r>
        <w:t xml:space="preserve">: línea de venta = OrderID + ProductID; lectura = sensor_id + timestamp.</w:t>
      </w:r>
    </w:p>
    <w:p>
      <w:pPr>
        <w:spacing w:after="120" w:line="276"/>
        <w:jc w:val="left"/>
      </w:pPr>
      <w:r>
        <w:t xml:space="preserve">La precisión de las visualizaciones se valida con 17 comprobaciones automáticas (</w:t>
      </w:r>
      <w:r>
        <w:rPr>
          <w:rFonts w:ascii="Consolas" w:cs="Consolas" w:eastAsia="Consolas" w:hAnsi="Consolas"/>
          <w:sz w:val="19"/>
          <w:szCs w:val="19"/>
        </w:rPr>
        <w:t xml:space="preserve">src/validar.py</w:t>
      </w:r>
      <w:r>
        <w:t xml:space="preserve">): conciliación de ventas por mes, cliente, categoría y empleado; conservación de los 107 empleados; existencia de supervisores sin ciclos; unicidad temporal por sensor; cobertura de 720 lecturas por sensor; reproducción de la regla MAD y de su matriz de confusión. Las 17 resultaron correctas sobre los datos extraídos.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1"/>
        <w:pageBreakBefore/>
        <w:spacing w:after="240"/>
      </w:pPr>
      <w:bookmarkStart w:name="h3" w:id="1"/>
      <w:r>
        <w:t xml:space="preserve">3. Laboratorio en Docker y conexiones</w:t>
      </w:r>
      <w:bookmarkEnd w:id="1"/>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a partir de la imagen oficial de SQL Server para Linux [8]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pageBreakBefore/>
        <w:spacing w:before="1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pageBreakBefore/>
        <w:spacing w:before="1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pageBreakBefore/>
        <w:spacing w:before="1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pageBreakBefore/>
        <w:spacing w:before="1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pageBreakBefore/>
        <w:spacing w:before="1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pageBreakBefore/>
        <w:spacing w:before="1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pageBreakBefore/>
        <w:spacing w:before="1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pageBreakBefore/>
        <w:spacing w:before="1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pageBreakBefore/>
        <w:spacing w:before="1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employees se relaciona con departments y jobs; departments con locations; locations con countries, y countries con regions. job_history guarda los puestos y departamentos anteriores de algunos empleados [2]. Se utilizó la versión oficial del repositorio oracle-samples, que contiene cinco regiones.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del registro oficial de Oracle [9]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pageBreakBefore/>
        <w:spacing w:before="1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pageBreakBefore/>
        <w:spacing w:before="1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pageBreakBefore/>
        <w:spacing w:before="1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pageBreakBefore/>
        <w:spacing w:before="1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pageBreakBefore/>
        <w:spacing w:before="1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pageBreakBefore/>
        <w:spacing w:before="1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pageBreakBefore/>
        <w:spacing w:before="1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pageBreakBefore/>
        <w:spacing w:before="1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pageBreakBefore/>
        <w:spacing w:before="1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tres niveles por debajo del presidente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pageBreakBefore/>
        <w:spacing w:before="1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pageBreakBefore/>
        <w:spacing w:before="1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pageBreakBefore/>
        <w:spacing w:before="1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pageBreakBefore/>
        <w:spacing w:before="1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pageBreakBefore/>
        <w:spacing w:before="1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pageBreakBefore/>
        <w:spacing w:before="1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pageBreakBefore/>
        <w:spacing w:before="1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pageBreakBefore/>
        <w:spacing w:before="1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pageBreakBefore/>
        <w:spacing w:before="1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7715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7715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3ikg_gunht8si526hqnug">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comparaciones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xb3smztoewv9dk4ltsdcs">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mbgkqb_gxfgjoxjsgyrie">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nipbefvs969kivfwdjf43">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gbx0fnav_pg7gin5ztwws">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zhy5z8qelr6ryvr8xblt_">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2fddrabx_ssvlcbwwlezc">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cnuu38fttf8hs8ntzidux">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aftelutcsil8jmaxrpoju">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tig0orugjksc1mde3gjpf">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hvs2dln2egeffngjliyug">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uc22erq1d3akyx1o5laxi">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pStyle w:val="Heading2"/>
        <w:keepNext/>
        <w:spacing w:before="280" w:after="120"/>
      </w:pPr>
      <w:r>
        <w:t xml:space="preserve">B.1 Repositorio</w:t>
      </w:r>
    </w:p>
    <w:p>
      <w:pPr>
        <w:spacing w:after="120" w:line="276"/>
        <w:jc w:val="left"/>
      </w:pPr>
      <w:r>
        <w:t xml:space="preserve">El proyecto completo está publicado en </w:t>
      </w:r>
      <w:hyperlink w:history="1" r:id="rIdddpzwh2jp-o7hnio_fu0s">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2"/>
        <w:keepNext/>
        <w:spacing w:before="280" w:after="120"/>
      </w:pPr>
      <w:r>
        <w:t xml:space="preserve">B.2 Dashboard en línea</w:t>
      </w:r>
    </w:p>
    <w:p>
      <w:pPr>
        <w:spacing w:after="120" w:line="276"/>
        <w:jc w:val="left"/>
      </w:pPr>
      <w:r>
        <w:t xml:space="preserve">El dashboard (</w:t>
      </w:r>
      <w:r>
        <w:rPr>
          <w:rFonts w:ascii="Consolas" w:cs="Consolas" w:eastAsia="Consolas" w:hAnsi="Consolas"/>
          <w:sz w:val="19"/>
          <w:szCs w:val="19"/>
        </w:rPr>
        <w:t xml:space="preserve">dashboard/index.html</w:t>
      </w:r>
      <w:r>
        <w:t xml:space="preserve">) está publicado con GitHub Pages en </w:t>
      </w:r>
      <w:hyperlink w:history="1" r:id="rIdri47fzzq9vaqlzqfshfab">
        <w:r>
          <w:rPr>
            <w:rStyle w:val="Hyperlink"/>
          </w:rPr>
          <w:t xml:space="preserve">https://dcarrioncordones.github.io/proyecto-final-db/dashboard/</w:t>
        </w:r>
      </w:hyperlink>
      <w:r>
        <w:t xml:space="preserve">. También puede abrirse localmente con doble clic desde la carpeta del proyecto, sin Internet ni servidor.</w:t>
      </w: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 Cada base comienza con una vista general que incluye el aviso de procedencia, los selectores y sus tres indicadores clave, comunes a sus diez visualizaciones.</w:t>
      </w:r>
    </w:p>
    <w:p>
      <w:pPr>
        <w:pStyle w:val="Heading2"/>
        <w:keepNext/>
        <w:pageBreakBefore/>
        <w:spacing w:before="200" w:after="120"/>
      </w:pPr>
      <w:r>
        <w:t xml:space="preserve">C.1 SQL Server / Northwind</w:t>
      </w:r>
    </w:p>
    <w:p>
      <w:pPr>
        <w:keepNext/>
        <w:spacing w:before="120" w:after="80"/>
        <w:jc w:val="center"/>
      </w:pPr>
      <w:r>
        <w:drawing>
          <wp:inline distT="0" distB="0" distL="0" distR="0">
            <wp:extent cx="5667375" cy="3105150"/>
            <wp:effectExtent t="0" r="0" b="0" l="0"/>
            <wp:docPr id="1" name="vista_general.png" descr="Dashboard: vista general de SQL Server / Northwind con indicadores clave." title="Dashboard: vista general de SQL Server / Northwind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vista general de SQL Server / Northwind con indicadores clave.</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N01 · Ventas mensuales y tendencia.</w:t>
      </w:r>
    </w:p>
    <w:p>
      <w:r>
        <w:br w:type="page"/>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N02 · Mapa de calor: categoría y país.</w:t>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N03 · Top 10 clientes por volumen monetario.</w:t>
      </w:r>
    </w:p>
    <w:p>
      <w:r>
        <w:br w:type="page"/>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N04 · Evolución de ventas trimestrales.</w:t>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N05 · Treemap de productos por categoría.</w:t>
      </w:r>
    </w:p>
    <w:p>
      <w:r>
        <w:br w:type="page"/>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N06 · Dispersión: descuento y cantidad.</w:t>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N07 · Distribución de países de clientes.</w:t>
      </w:r>
    </w:p>
    <w:p>
      <w:r>
        <w:br w:type="page"/>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N08 · Box plot de precios por proveedor.</w:t>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N09 · Áreas: ventas acumuladas por empleado.</w:t>
      </w:r>
    </w:p>
    <w:p>
      <w:r>
        <w:br w:type="page"/>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N10 · Heatmap temporal de pedidos.</w:t>
      </w:r>
    </w:p>
    <w:p>
      <w:pPr>
        <w:pStyle w:val="Heading2"/>
        <w:keepNext/>
        <w:pageBreakBefore/>
        <w:spacing w:before="200" w:after="120"/>
      </w:pPr>
      <w:r>
        <w:t xml:space="preserve">C.2 Oracle / HR</w:t>
      </w:r>
    </w:p>
    <w:p>
      <w:pPr>
        <w:keepNext/>
        <w:spacing w:before="120" w:after="80"/>
        <w:jc w:val="center"/>
      </w:pPr>
      <w:r>
        <w:drawing>
          <wp:inline distT="0" distB="0" distL="0" distR="0">
            <wp:extent cx="5667375" cy="3105150"/>
            <wp:effectExtent t="0" r="0" b="0" l="0"/>
            <wp:docPr id="1" name="vista_hr.png" descr="Dashboard: vista general de Oracle / HR con indicadores clave." title="Dashboard: vista general de Oracle / HR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vista general de Oracle / HR con indicadores clave.</w:t>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H01 · Histograma salarial por departamento.</w:t>
      </w:r>
    </w:p>
    <w:p>
      <w:r>
        <w:br w:type="page"/>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H02 · Radar de perfiles de puesto.</w:t>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H03 · Organigrama interactivo.</w:t>
      </w:r>
    </w:p>
    <w:p>
      <w:r>
        <w:br w:type="page"/>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H04 · Mapa de calor de dotación por ubicación.</w:t>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H05 · Violín salarial por antigüedad.</w:t>
      </w:r>
    </w:p>
    <w:p>
      <w:r>
        <w:br w:type="page"/>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H06 · Sankey de cambios de departamento.</w:t>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H07 · Burbujas: salario y antigüedad.</w:t>
      </w:r>
    </w:p>
    <w:p>
      <w:r>
        <w:br w:type="page"/>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H08 · Densidad de contrataciones por mes.</w:t>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H09 · Donut de empleados por región.</w:t>
      </w:r>
    </w:p>
    <w:p>
      <w:r>
        <w:br w:type="page"/>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H10 · Waterfall de bandas salariales: escenario ilustrativo.</w:t>
      </w:r>
    </w:p>
    <w:p>
      <w:pPr>
        <w:pStyle w:val="Heading2"/>
        <w:keepNext/>
        <w:pageBreakBefore/>
        <w:spacing w:before="200" w:after="120"/>
      </w:pPr>
      <w:r>
        <w:t xml:space="preserve">C.3 MongoDB / sensores</w:t>
      </w:r>
    </w:p>
    <w:p>
      <w:pPr>
        <w:keepNext/>
        <w:spacing w:before="120" w:after="80"/>
        <w:jc w:val="center"/>
      </w:pPr>
      <w:r>
        <w:drawing>
          <wp:inline distT="0" distB="0" distL="0" distR="0">
            <wp:extent cx="5667375" cy="3105150"/>
            <wp:effectExtent t="0" r="0" b="0" l="0"/>
            <wp:docPr id="1" name="vista_sensores_s10.png" descr="Dashboard: vista general de MongoDB / sensores con indicadores clave." title="Dashboard: vista general de MongoDB / sensores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vista general de MongoDB / sensores con indicadores clave.</w:t>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S01 · Serie temporal de temperatura por ciudad.</w:t>
      </w:r>
    </w:p>
    <w:p>
      <w:r>
        <w:br w:type="page"/>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S02 · Mapa de calor geográfico de lecturas.</w:t>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S03 · Violines por tipo de sensor.</w:t>
      </w:r>
    </w:p>
    <w:p>
      <w:r>
        <w:br w:type="page"/>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S04 · Matriz de dispersión entre sensores.</w:t>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S05 · Áreas apiladas por ubicación.</w:t>
      </w:r>
    </w:p>
    <w:p>
      <w:r>
        <w:br w:type="page"/>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S06 · Detección de anomalías con MAD.</w:t>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S07 · Calendario de patrones diarios.</w:t>
      </w:r>
    </w:p>
    <w:p>
      <w:r>
        <w:br w:type="page"/>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80. </w:t>
      </w:r>
      <w:r>
        <w:rPr>
          <w:i/>
          <w:iCs/>
          <w:color w:val="555555"/>
          <w:sz w:val="19"/>
          <w:szCs w:val="19"/>
        </w:rPr>
        <w:t xml:space="preserve">Dashboard: S08 · Red de relaciones entre sensores.</w:t>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81. </w:t>
      </w:r>
      <w:r>
        <w:rPr>
          <w:i/>
          <w:iCs/>
          <w:color w:val="555555"/>
          <w:sz w:val="19"/>
          <w:szCs w:val="19"/>
        </w:rPr>
        <w:t xml:space="preserve">Dashboard: S09 · Dispersión 3D: valor, ubicación y tiempo.</w:t>
      </w:r>
    </w:p>
    <w:p>
      <w:r>
        <w:br w:type="page"/>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82.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9uyv1yyimkilq3zghwh2z" Type="http://schemas.openxmlformats.org/officeDocument/2006/relationships/hyperlink" Target="https://github.com/dcarrioncordones/proyecto-final-db" TargetMode="External"/><Relationship Id="rIdwujbsd4yl4fmlqxj3gsj0" Type="http://schemas.openxmlformats.org/officeDocument/2006/relationships/hyperlink" Target="https://dcarrioncordones.github.io/proyecto-final-db/dashboard/" TargetMode="External"/><Relationship Id="rIdgpsf4b0kfzgzuduqvpilu" Type="http://schemas.openxmlformats.org/officeDocument/2006/relationships/hyperlink" Target="https://github.com/dcarrioncordones/proyecto-final-db" TargetMode="External"/><Relationship Id="rIdrsiblyjahc5kby76gku_p" Type="http://schemas.openxmlformats.org/officeDocument/2006/relationships/hyperlink" Target="https://dcarrioncordones.github.io/proyecto-final-db/dashboard/" TargetMode="External"/><Relationship Id="rId3ikg_gunht8si526hqnug" Type="http://schemas.openxmlformats.org/officeDocument/2006/relationships/hyperlink" Target="https://dcarrioncordones.github.io/proyecto-final-db/dashboard/" TargetMode="External"/><Relationship Id="rIdxb3smztoewv9dk4ltsdcs" Type="http://schemas.openxmlformats.org/officeDocument/2006/relationships/hyperlink" Target="https://github.com/microsoft/sql-server-samples/blob/master/samples/databases/northwind-pubs/instnwnd.sql" TargetMode="External"/><Relationship Id="rIdmbgkqb_gxfgjoxjsgyrie" Type="http://schemas.openxmlformats.org/officeDocument/2006/relationships/hyperlink" Target="https://github.com/oracle-samples/db-sample-schemas/tree/main/human_resources" TargetMode="External"/><Relationship Id="rIdnipbefvs969kivfwdjf43" Type="http://schemas.openxmlformats.org/officeDocument/2006/relationships/hyperlink" Target="https://learn.microsoft.com/en-us/sql/connect/odbc/linux-mac/installing-the-microsoft-odbc-driver-for-sql-server" TargetMode="External"/><Relationship Id="rIdgbx0fnav_pg7gin5ztwws" Type="http://schemas.openxmlformats.org/officeDocument/2006/relationships/hyperlink" Target="https://www.oracle.com/database/technologies/instant-client/linux-x86-64-downloads.html" TargetMode="External"/><Relationship Id="rIdzhy5z8qelr6ryvr8xblt_" Type="http://schemas.openxmlformats.org/officeDocument/2006/relationships/hyperlink" Target="https://www.mongodb.com/docs/languages/python/pymongo-driver/current/connect/" TargetMode="External"/><Relationship Id="rId2fddrabx_ssvlcbwwlezc" Type="http://schemas.openxmlformats.org/officeDocument/2006/relationships/hyperlink" Target="https://www.mongodb.com/docs/manual/reference/operator/aggregation/dateTrunc/" TargetMode="External"/><Relationship Id="rIdcnuu38fttf8hs8ntzidux" Type="http://schemas.openxmlformats.org/officeDocument/2006/relationships/hyperlink" Target="https://plotly.com/python/" TargetMode="External"/><Relationship Id="rIdaftelutcsil8jmaxrpoju" Type="http://schemas.openxmlformats.org/officeDocument/2006/relationships/hyperlink" Target="https://learn.microsoft.com/en-us/sql/linux/sql-server-linux-docker-container-deployment" TargetMode="External"/><Relationship Id="rIdtig0orugjksc1mde3gjpf" Type="http://schemas.openxmlformats.org/officeDocument/2006/relationships/hyperlink" Target="https://container-registry.oracle.com/ords/ocr/ba/database/free" TargetMode="External"/><Relationship Id="rIdhvs2dln2egeffngjliyug" Type="http://schemas.openxmlformats.org/officeDocument/2006/relationships/hyperlink" Target="https://docs.docker.com/desktop/settings-and-maintenance/settings/" TargetMode="External"/><Relationship Id="rIduc22erq1d3akyx1o5laxi" Type="http://schemas.openxmlformats.org/officeDocument/2006/relationships/hyperlink" Target="https://doi.org/10.1016/j.jesp.2013.03.013" TargetMode="External"/><Relationship Id="rIdddpzwh2jp-o7hnio_fu0s" Type="http://schemas.openxmlformats.org/officeDocument/2006/relationships/hyperlink" Target="https://github.com/dcarrioncordones/proyecto-final-db" TargetMode="External"/><Relationship Id="rIdri47fzzq9vaqlzqfshfab"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4a2b8dd7797142e8b561e2f24fb7fd5fbc698a84.png"/><Relationship Id="rId55" Type="http://schemas.openxmlformats.org/officeDocument/2006/relationships/image" Target="media/623f58732a2f86c8886083c1160d26617d79d435.png"/><Relationship Id="rId56" Type="http://schemas.openxmlformats.org/officeDocument/2006/relationships/image" Target="media/14fff2bc543bb33dbfe235901d6990be3f09d26f.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be5c0730bf73f601dfc28d6c9cb71726cbf102e2.png"/><Relationship Id="rId68" Type="http://schemas.openxmlformats.org/officeDocument/2006/relationships/image" Target="media/7ba89b7377dab5b8ea6a6f914a2dc2d801cddcab.png"/><Relationship Id="rId69" Type="http://schemas.openxmlformats.org/officeDocument/2006/relationships/image" Target="media/61eb92c32c322b4cd7510aaf020969d49364688d.png"/><Relationship Id="rId70" Type="http://schemas.openxmlformats.org/officeDocument/2006/relationships/image" Target="media/e760d398bd51eed036c0df8ef8c5ee93bb30104b.png"/><Relationship Id="rId71" Type="http://schemas.openxmlformats.org/officeDocument/2006/relationships/image" Target="media/0f5b7cdf1b5c26426280cf4dbd410bb1ca20056f.png"/><Relationship Id="rId72" Type="http://schemas.openxmlformats.org/officeDocument/2006/relationships/image" Target="media/d3462749280fa11d9fcaec0368d7a2b7fdd10551.png"/><Relationship Id="rId73" Type="http://schemas.openxmlformats.org/officeDocument/2006/relationships/image" Target="media/87aec1d7a4c90c626759431201e2ac416254d9a9.png"/><Relationship Id="rId74" Type="http://schemas.openxmlformats.org/officeDocument/2006/relationships/image" Target="media/45b90012f20130a67263a1e234f874c6ccc825aa.png"/><Relationship Id="rId75" Type="http://schemas.openxmlformats.org/officeDocument/2006/relationships/image" Target="media/af4e1cf7b9a0e566459d787740e3e424899a2179.png"/><Relationship Id="rId76" Type="http://schemas.openxmlformats.org/officeDocument/2006/relationships/image" Target="media/83a092e4f71a8bb405a16ddd61621946b949cac6.png"/><Relationship Id="rId77" Type="http://schemas.openxmlformats.org/officeDocument/2006/relationships/image" Target="media/ee00433f24608a7151a6eda34a1e91c54ebe3ab7.png"/><Relationship Id="rId78" Type="http://schemas.openxmlformats.org/officeDocument/2006/relationships/image" Target="media/d1fe5023772b7d04b784ad53c0c182e457a615ee.png"/><Relationship Id="rId79" Type="http://schemas.openxmlformats.org/officeDocument/2006/relationships/image" Target="media/90553aa60b368c46b1a5ac82deb9ad5523d90df6.png"/><Relationship Id="rId80" Type="http://schemas.openxmlformats.org/officeDocument/2006/relationships/image" Target="media/77fade440afa8258788a79e973d89556acfd8142.png"/><Relationship Id="rId81" Type="http://schemas.openxmlformats.org/officeDocument/2006/relationships/image" Target="media/9bf1b8af7d0c39f64b74a8b5b9914612e7cce958.png"/><Relationship Id="rId82" Type="http://schemas.openxmlformats.org/officeDocument/2006/relationships/image" Target="media/dc4841eed144870da80d35041d73f966a5843213.png"/><Relationship Id="rId83" Type="http://schemas.openxmlformats.org/officeDocument/2006/relationships/image" Target="media/a8cfdfbb7ca115a9c4e6c27a47a62a426f019017.png"/><Relationship Id="rId84" Type="http://schemas.openxmlformats.org/officeDocument/2006/relationships/image" Target="media/f00f15519f2231d868bf240ac80a9544f5023830.png"/><Relationship Id="rId85" Type="http://schemas.openxmlformats.org/officeDocument/2006/relationships/image" Target="media/4450e39fe9f7d30f9dd382b7d4915339f8bca8e3.png"/><Relationship Id="rId86" Type="http://schemas.openxmlformats.org/officeDocument/2006/relationships/image" Target="media/8427d0a099e0e10c5e8720e1c6e018ae10c3a691.png"/><Relationship Id="rId87" Type="http://schemas.openxmlformats.org/officeDocument/2006/relationships/image" Target="media/2baf7b660562588e00bd172d104d0f69a81998e1.png"/><Relationship Id="rId10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2026-10-13T01:31:47.988Z</dcterms:created>
  <dcterms:modified xsi:type="dcterms:W3CDTF">2026-10-13T01:31:47.990Z</dcterms:modified>
</cp:coreProperties>
</file>

<file path=docProps/custom.xml><?xml version="1.0" encoding="utf-8"?>
<Properties xmlns="http://schemas.openxmlformats.org/officeDocument/2006/custom-properties" xmlns:vt="http://schemas.openxmlformats.org/officeDocument/2006/docPropsVTypes"/>
</file>