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300"/>
        <w:jc w:val="center"/>
      </w:pPr>
      <w:r>
        <w:drawing>
          <wp:inline distT="0" distB="0" distL="0" distR="0">
            <wp:extent cx="1238250" cy="1390650"/>
            <wp:effectExtent t="0" r="0" b="0" l="0"/>
            <wp:docPr id="1" name="intec" descr="Logo de INTEC" title="IN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390650"/>
                    </a:xfrm>
                    <a:prstGeom prst="rect">
                      <a:avLst/>
                    </a:prstGeom>
                  </pic:spPr>
                </pic:pic>
              </a:graphicData>
            </a:graphic>
          </wp:inline>
        </w:drawing>
      </w:r>
    </w:p>
    <w:p>
      <w:pPr>
        <w:spacing w:after="100"/>
        <w:jc w:val="center"/>
      </w:pPr>
      <w:r>
        <w:rPr>
          <w:b/>
          <w:bCs/>
          <w:sz w:val="26"/>
          <w:szCs w:val="26"/>
        </w:rPr>
        <w:t xml:space="preserve">INSTITUTO TECNOLÓGICO DE SANTO DOMINGO (INTEC)</w:t>
      </w:r>
    </w:p>
    <w:p>
      <w:pPr>
        <w:spacing w:after="100"/>
        <w:jc w:val="center"/>
      </w:pPr>
      <w:r>
        <w:rPr>
          <w:sz w:val="24"/>
          <w:szCs w:val="24"/>
        </w:rPr>
        <w:t xml:space="preserve">Maestría en Ciencia de Datos</w:t>
      </w:r>
    </w:p>
    <w:p>
      <w:pPr>
        <w:spacing w:after="100"/>
        <w:jc w:val="center"/>
      </w:pPr>
      <w:r>
        <w:rPr>
          <w:sz w:val="24"/>
          <w:szCs w:val="24"/>
        </w:rPr>
        <w:t xml:space="preserve">MCD512 · Big Data</w:t>
      </w:r>
    </w:p>
    <w:p>
      <w:pPr>
        <w:spacing w:before="700"/>
      </w:pPr>
    </w:p>
    <w:p>
      <w:pPr>
        <w:spacing w:after="200"/>
        <w:jc w:val="center"/>
      </w:pPr>
      <w:r>
        <w:rPr>
          <w:b/>
          <w:bCs/>
          <w:color w:val="1F3B5C"/>
          <w:sz w:val="40"/>
          <w:szCs w:val="40"/>
        </w:rPr>
        <w:t xml:space="preserve">Análisis Exploratorio y Visualización de Datos con SQL y NoSQL</w:t>
      </w:r>
    </w:p>
    <w:p>
      <w:pPr>
        <w:jc w:val="center"/>
      </w:pPr>
      <w:r>
        <w:rPr>
          <w:color w:val="3A5F8A"/>
          <w:sz w:val="26"/>
          <w:szCs w:val="26"/>
        </w:rPr>
        <w:t xml:space="preserve">Northwind en SQL Server, HR en Oracle y sensores en MongoDB sobre Docker</w:t>
      </w:r>
    </w:p>
    <w:p>
      <w:pPr>
        <w:spacing w:before="1300"/>
      </w:pPr>
    </w:p>
    <w:p>
      <w:pPr>
        <w:spacing w:after="80"/>
        <w:jc w:val="center"/>
      </w:pPr>
      <w:r>
        <w:rPr>
          <w:b/>
          <w:bCs/>
          <w:sz w:val="24"/>
          <w:szCs w:val="24"/>
        </w:rPr>
        <w:t xml:space="preserve">Estudiante: </w:t>
      </w:r>
      <w:r>
        <w:rPr>
          <w:sz w:val="24"/>
          <w:szCs w:val="24"/>
        </w:rPr>
        <w:t xml:space="preserve">Dan Carrión</w:t>
      </w:r>
    </w:p>
    <w:p>
      <w:pPr>
        <w:spacing w:after="80"/>
        <w:jc w:val="center"/>
      </w:pPr>
      <w:r>
        <w:rPr>
          <w:b/>
          <w:bCs/>
          <w:sz w:val="24"/>
          <w:szCs w:val="24"/>
        </w:rPr>
        <w:t xml:space="preserve">Matrícula: </w:t>
      </w:r>
      <w:r>
        <w:rPr>
          <w:sz w:val="24"/>
          <w:szCs w:val="24"/>
        </w:rPr>
        <w:t xml:space="preserve">1131022</w:t>
      </w:r>
    </w:p>
    <w:p>
      <w:pPr>
        <w:spacing w:after="80"/>
        <w:jc w:val="center"/>
      </w:pPr>
      <w:r>
        <w:rPr>
          <w:b/>
          <w:bCs/>
          <w:sz w:val="24"/>
          <w:szCs w:val="24"/>
        </w:rPr>
        <w:t xml:space="preserve">Asignatura: </w:t>
      </w:r>
      <w:r>
        <w:rPr>
          <w:sz w:val="24"/>
          <w:szCs w:val="24"/>
        </w:rPr>
        <w:t xml:space="preserve">MCD512 · Big Data</w:t>
      </w:r>
    </w:p>
    <w:p>
      <w:pPr>
        <w:spacing w:after="80"/>
        <w:jc w:val="center"/>
      </w:pPr>
      <w:r>
        <w:rPr>
          <w:b/>
          <w:bCs/>
          <w:sz w:val="24"/>
          <w:szCs w:val="24"/>
        </w:rPr>
        <w:t xml:space="preserve">Docente: </w:t>
      </w:r>
      <w:r>
        <w:rPr>
          <w:sz w:val="24"/>
          <w:szCs w:val="24"/>
        </w:rPr>
        <w:t xml:space="preserve">Prof. José M. Aquino Cepeda, MSc</w:t>
      </w:r>
    </w:p>
    <w:p>
      <w:pPr>
        <w:spacing w:after="80"/>
        <w:jc w:val="center"/>
      </w:pPr>
      <w:r>
        <w:rPr>
          <w:b/>
          <w:bCs/>
          <w:sz w:val="24"/>
          <w:szCs w:val="24"/>
        </w:rPr>
        <w:t xml:space="preserve">Pruebas realizadas: </w:t>
      </w:r>
      <w:r>
        <w:rPr>
          <w:sz w:val="24"/>
          <w:szCs w:val="24"/>
        </w:rPr>
        <w:t xml:space="preserve">11 de octubre de 2026</w:t>
      </w:r>
    </w:p>
    <w:p>
      <w:pPr>
        <w:spacing w:after="80"/>
        <w:jc w:val="center"/>
      </w:pPr>
      <w:r>
        <w:rPr>
          <w:b/>
          <w:bCs/>
          <w:sz w:val="24"/>
          <w:szCs w:val="24"/>
        </w:rPr>
        <w:t xml:space="preserve">Fecha de entrega: </w:t>
      </w:r>
      <w:r>
        <w:rPr>
          <w:sz w:val="24"/>
          <w:szCs w:val="24"/>
        </w:rPr>
        <w:t xml:space="preserve">octubre de 2026</w:t>
      </w:r>
    </w:p>
    <w:p>
      <w:pPr>
        <w:spacing w:after="80"/>
        <w:jc w:val="center"/>
      </w:pPr>
      <w:r>
        <w:rPr>
          <w:b/>
          <w:bCs/>
          <w:sz w:val="24"/>
          <w:szCs w:val="24"/>
        </w:rPr>
        <w:t xml:space="preserve">Repositorio: </w:t>
      </w:r>
      <w:hyperlink w:history="1" r:id="rIdcuynvnbcxhvpb-vxdlskd">
        <w:r>
          <w:rPr>
            <w:rStyle w:val="Hyperlink"/>
            <w:sz w:val="24"/>
            <w:szCs w:val="24"/>
          </w:rPr>
          <w:t xml:space="preserve">github.com/dcarrioncordones/proyecto-final-db</w:t>
        </w:r>
      </w:hyperlink>
    </w:p>
    <w:p>
      <w:pPr>
        <w:sectPr>
          <w:pgSz w:w="12240" w:h="15840" w:orient="portrait"/>
          <w:pgMar w:top="1440" w:right="1440" w:bottom="1440" w:left="1440" w:header="708" w:footer="708" w:gutter="0"/>
          <w:pgNumType/>
          <w:docGrid w:linePitch="360"/>
        </w:sectPr>
      </w:pPr>
    </w:p>
    <w:p>
      <w:pPr>
        <w:pStyle w:val="Heading1"/>
        <w:spacing w:after="240"/>
      </w:pPr>
      <w:r>
        <w:t xml:space="preserve">Índice</w:t>
      </w:r>
    </w:p>
    <w:p>
      <w:pPr>
        <w:tabs>
          <w:tab w:val="right" w:pos="9350" w:leader="dot"/>
        </w:tabs>
        <w:spacing w:after="110"/>
      </w:pPr>
      <w:r>
        <w:rPr>
          <w:sz w:val="23"/>
          <w:szCs w:val="23"/>
        </w:rPr>
        <w:t xml:space="preserve">1. Introducción y objetivos</w:t>
      </w:r>
      <w:r>
        <w:rPr>
          <w:sz w:val="23"/>
          <w:szCs w:val="23"/>
        </w:rPr>
        <w:t xml:space="preserve">	2</w:t>
      </w:r>
    </w:p>
    <w:p>
      <w:pPr>
        <w:tabs>
          <w:tab w:val="right" w:pos="9350" w:leader="dot"/>
        </w:tabs>
        <w:spacing w:after="110"/>
      </w:pPr>
      <w:r>
        <w:rPr>
          <w:sz w:val="23"/>
          <w:szCs w:val="23"/>
        </w:rPr>
        <w:t xml:space="preserve">2. Metodología y herramientas</w:t>
      </w:r>
      <w:r>
        <w:rPr>
          <w:sz w:val="23"/>
          <w:szCs w:val="23"/>
        </w:rPr>
        <w:t xml:space="preserve">	4</w:t>
      </w:r>
    </w:p>
    <w:p>
      <w:pPr>
        <w:tabs>
          <w:tab w:val="right" w:pos="9350" w:leader="dot"/>
        </w:tabs>
        <w:spacing w:after="110"/>
      </w:pPr>
      <w:r>
        <w:rPr>
          <w:sz w:val="23"/>
          <w:szCs w:val="23"/>
        </w:rPr>
        <w:t xml:space="preserve">3. Laboratorio en Docker y conexiones</w:t>
      </w:r>
      <w:r>
        <w:rPr>
          <w:sz w:val="23"/>
          <w:szCs w:val="23"/>
        </w:rPr>
        <w:t xml:space="preserve">	6</w:t>
      </w:r>
    </w:p>
    <w:p>
      <w:pPr>
        <w:tabs>
          <w:tab w:val="right" w:pos="9350" w:leader="dot"/>
        </w:tabs>
        <w:spacing w:after="110"/>
      </w:pPr>
      <w:r>
        <w:rPr>
          <w:sz w:val="23"/>
          <w:szCs w:val="23"/>
        </w:rPr>
        <w:t xml:space="preserve">4. SQL Server y Northwind</w:t>
      </w:r>
      <w:r>
        <w:rPr>
          <w:sz w:val="23"/>
          <w:szCs w:val="23"/>
        </w:rPr>
        <w:t xml:space="preserve">	10</w:t>
      </w:r>
    </w:p>
    <w:p>
      <w:pPr>
        <w:tabs>
          <w:tab w:val="right" w:pos="9350" w:leader="dot"/>
        </w:tabs>
        <w:spacing w:after="110"/>
      </w:pPr>
      <w:r>
        <w:rPr>
          <w:sz w:val="23"/>
          <w:szCs w:val="23"/>
        </w:rPr>
        <w:t xml:space="preserve">5. Oracle y recursos humanos</w:t>
      </w:r>
      <w:r>
        <w:rPr>
          <w:sz w:val="23"/>
          <w:szCs w:val="23"/>
        </w:rPr>
        <w:t xml:space="preserve">	23</w:t>
      </w:r>
    </w:p>
    <w:p>
      <w:pPr>
        <w:tabs>
          <w:tab w:val="right" w:pos="9350" w:leader="dot"/>
        </w:tabs>
        <w:spacing w:after="110"/>
      </w:pPr>
      <w:r>
        <w:rPr>
          <w:sz w:val="23"/>
          <w:szCs w:val="23"/>
        </w:rPr>
        <w:t xml:space="preserve">6. MongoDB y sensores</w:t>
      </w:r>
      <w:r>
        <w:rPr>
          <w:sz w:val="23"/>
          <w:szCs w:val="23"/>
        </w:rPr>
        <w:t xml:space="preserve">	36</w:t>
      </w:r>
    </w:p>
    <w:p>
      <w:pPr>
        <w:tabs>
          <w:tab w:val="right" w:pos="9350" w:leader="dot"/>
        </w:tabs>
        <w:spacing w:after="110"/>
      </w:pPr>
      <w:r>
        <w:rPr>
          <w:sz w:val="23"/>
          <w:szCs w:val="23"/>
        </w:rPr>
        <w:t xml:space="preserve">7. Extracción integrada, validación y dashboard</w:t>
      </w:r>
      <w:r>
        <w:rPr>
          <w:sz w:val="23"/>
          <w:szCs w:val="23"/>
        </w:rPr>
        <w:t xml:space="preserve">	49</w:t>
      </w:r>
    </w:p>
    <w:p>
      <w:pPr>
        <w:tabs>
          <w:tab w:val="right" w:pos="9350" w:leader="dot"/>
        </w:tabs>
        <w:spacing w:after="110"/>
      </w:pPr>
      <w:r>
        <w:rPr>
          <w:sz w:val="23"/>
          <w:szCs w:val="23"/>
        </w:rPr>
        <w:t xml:space="preserve">8. Discusión y recomendaciones</w:t>
      </w:r>
      <w:r>
        <w:rPr>
          <w:sz w:val="23"/>
          <w:szCs w:val="23"/>
        </w:rPr>
        <w:t xml:space="preserve">	52</w:t>
      </w:r>
    </w:p>
    <w:p>
      <w:pPr>
        <w:tabs>
          <w:tab w:val="right" w:pos="9350" w:leader="dot"/>
        </w:tabs>
        <w:spacing w:after="110"/>
      </w:pPr>
      <w:r>
        <w:rPr>
          <w:sz w:val="23"/>
          <w:szCs w:val="23"/>
        </w:rPr>
        <w:t xml:space="preserve">9. Conclusiones</w:t>
      </w:r>
      <w:r>
        <w:rPr>
          <w:sz w:val="23"/>
          <w:szCs w:val="23"/>
        </w:rPr>
        <w:t xml:space="preserve">	53</w:t>
      </w:r>
    </w:p>
    <w:p>
      <w:pPr>
        <w:tabs>
          <w:tab w:val="right" w:pos="9350" w:leader="dot"/>
        </w:tabs>
        <w:spacing w:after="110"/>
      </w:pPr>
      <w:r>
        <w:rPr>
          <w:sz w:val="23"/>
          <w:szCs w:val="23"/>
        </w:rPr>
        <w:t xml:space="preserve">Referencias</w:t>
      </w:r>
      <w:r>
        <w:rPr>
          <w:sz w:val="23"/>
          <w:szCs w:val="23"/>
        </w:rPr>
        <w:t xml:space="preserve">	54</w:t>
      </w:r>
    </w:p>
    <w:p>
      <w:pPr>
        <w:tabs>
          <w:tab w:val="right" w:pos="9350" w:leader="dot"/>
        </w:tabs>
        <w:spacing w:after="110"/>
      </w:pPr>
      <w:r>
        <w:rPr>
          <w:sz w:val="23"/>
          <w:szCs w:val="23"/>
        </w:rPr>
        <w:t xml:space="preserve">Anexo A. Reproducción del laboratorio</w:t>
      </w:r>
      <w:r>
        <w:rPr>
          <w:sz w:val="23"/>
          <w:szCs w:val="23"/>
        </w:rPr>
        <w:t xml:space="preserve">	55</w:t>
      </w:r>
    </w:p>
    <w:p>
      <w:pPr>
        <w:tabs>
          <w:tab w:val="right" w:pos="9350" w:leader="dot"/>
        </w:tabs>
        <w:spacing w:after="110"/>
      </w:pPr>
      <w:r>
        <w:rPr>
          <w:sz w:val="23"/>
          <w:szCs w:val="23"/>
        </w:rPr>
        <w:t xml:space="preserve">Anexo B. Código fuente y configuración</w:t>
      </w:r>
      <w:r>
        <w:rPr>
          <w:sz w:val="23"/>
          <w:szCs w:val="23"/>
        </w:rPr>
        <w:t xml:space="preserve">	56</w:t>
      </w:r>
    </w:p>
    <w:p>
      <w:pPr>
        <w:tabs>
          <w:tab w:val="right" w:pos="9350" w:leader="dot"/>
        </w:tabs>
        <w:spacing w:after="110"/>
      </w:pPr>
      <w:r>
        <w:rPr>
          <w:sz w:val="23"/>
          <w:szCs w:val="23"/>
        </w:rPr>
        <w:t xml:space="preserve">Anexo C. Capturas del dashboard</w:t>
      </w:r>
      <w:r>
        <w:rPr>
          <w:sz w:val="23"/>
          <w:szCs w:val="23"/>
        </w:rPr>
        <w:t xml:space="preserve">	57</w:t>
      </w:r>
    </w:p>
    <w:p>
      <w:pPr>
        <w:pStyle w:val="Heading1"/>
        <w:pageBreakBefore/>
        <w:spacing w:after="240"/>
      </w:pPr>
      <w:bookmarkStart w:name="h1" w:id="1"/>
      <w:r>
        <w:t xml:space="preserve">1. Introducción y objetivos</w:t>
      </w:r>
      <w:bookmarkEnd w:id="1"/>
    </w:p>
    <w:p>
      <w:pPr>
        <w:spacing w:after="120" w:line="276"/>
        <w:jc w:val="both"/>
      </w:pPr>
      <w:r>
        <w:t xml:space="preserve">Este trabajo transforma los resultados de tres gestores de bases de datos en visualizaciones que apoyan el análisis exploratorio y la toma de decisiones. Se utilizan la base </w:t>
      </w:r>
      <w:r>
        <w:rPr>
          <w:b/>
          <w:bCs/>
        </w:rPr>
        <w:t xml:space="preserve">Northwind</w:t>
      </w:r>
      <w:r>
        <w:t xml:space="preserve"> en </w:t>
      </w:r>
      <w:r>
        <w:rPr>
          <w:b/>
          <w:bCs/>
        </w:rPr>
        <w:t xml:space="preserve">SQL Server 2022</w:t>
      </w:r>
      <w:r>
        <w:t xml:space="preserve">, el esquema </w:t>
      </w:r>
      <w:r>
        <w:rPr>
          <w:b/>
          <w:bCs/>
        </w:rPr>
        <w:t xml:space="preserve">HR</w:t>
      </w:r>
      <w:r>
        <w:t xml:space="preserve"> en </w:t>
      </w:r>
      <w:r>
        <w:rPr>
          <w:b/>
          <w:bCs/>
        </w:rPr>
        <w:t xml:space="preserve">Oracle Database Free</w:t>
      </w:r>
      <w:r>
        <w:t xml:space="preserve"> y una colección de lecturas de sensores en </w:t>
      </w:r>
      <w:r>
        <w:rPr>
          <w:b/>
          <w:bCs/>
        </w:rPr>
        <w:t xml:space="preserve">MongoDB 8.0</w:t>
      </w:r>
      <w:r>
        <w:t xml:space="preserve">. Los tres gestores se ejecutan como contenedores de Docker Desktop en un Mac con Apple Silicon y se consultan desde un cliente Python con los drivers ODBC de Microsoft y Oracle y con PyMongo.</w:t>
      </w:r>
    </w:p>
    <w:p>
      <w:pPr>
        <w:spacing w:after="120" w:line="276"/>
        <w:jc w:val="both"/>
      </w:pPr>
      <w:r>
        <w:t xml:space="preserve">Las conexiones se verificaron el 11 de octubre de 2026 con consultas reales sobre cada gestor. A partir de esas conexiones se extrajeron 830 pedidos y 2,155 líneas de venta de Northwind, 107 empleados de HR y 12,960 documentos de sensores. Sobre esos datos se construyeron </w:t>
      </w:r>
      <w:r>
        <w:rPr>
          <w:b/>
          <w:bCs/>
        </w:rPr>
        <w:t xml:space="preserve">30 visualizaciones</w:t>
      </w:r>
      <w:r>
        <w:t xml:space="preserve"> (diez por gestor), un dashboard interactivo en HTML y un notebook de Jupyter. Cada figura se acompaña de su construcción, el resultado observado, la decisión que apoya, su límite de interpretación y el código utilizado.</w:t>
      </w:r>
    </w:p>
    <w:p>
      <w:pPr>
        <w:spacing w:after="120" w:line="276"/>
        <w:jc w:val="both"/>
      </w:pPr>
      <w:r>
        <w:t xml:space="preserve">En Northwind, las ventas netas suman 1,265,793.04 con un máximo mensual en abril de 1998 y una concentración del 45.0% en los diez principales clientes. En HR, el salario mediano es 6,200.00 y Americas concentra el 65.4% de la plantilla. En los sensores, el detector robusto basado en la mediana y la MAD identifica las 103 anomalías inyectadas con una precisión de 75.2%.</w:t>
      </w:r>
    </w:p>
    <w:p>
      <w:pPr>
        <w:pStyle w:val="Heading3"/>
        <w:keepNext/>
        <w:spacing w:before="180" w:after="80"/>
      </w:pPr>
      <w:r>
        <w:t xml:space="preserve">Objetivos</w:t>
      </w:r>
    </w:p>
    <w:p>
      <w:pPr>
        <w:pStyle w:val="ListParagraph"/>
        <w:numPr>
          <w:ilvl w:val="0"/>
          <w:numId w:val="2"/>
        </w:numPr>
        <w:spacing w:after="60" w:line="264"/>
        <w:jc w:val="both"/>
      </w:pPr>
      <w:r>
        <w:t xml:space="preserve">Establecer conexiones verificables a SQL Server y Oracle mediante ODBC, y a MongoDB mediante su driver para Python.</w:t>
      </w:r>
    </w:p>
    <w:p>
      <w:pPr>
        <w:pStyle w:val="ListParagraph"/>
        <w:numPr>
          <w:ilvl w:val="0"/>
          <w:numId w:val="2"/>
        </w:numPr>
        <w:spacing w:after="60" w:line="264"/>
        <w:jc w:val="both"/>
      </w:pPr>
      <w:r>
        <w:t xml:space="preserve">Describir las tres bases de datos y extraer sus datos con consultas de sólo lectura, conservando relaciones, unidades y procedencia.</w:t>
      </w:r>
    </w:p>
    <w:p>
      <w:pPr>
        <w:pStyle w:val="ListParagraph"/>
        <w:numPr>
          <w:ilvl w:val="0"/>
          <w:numId w:val="2"/>
        </w:numPr>
        <w:spacing w:after="60" w:line="264"/>
        <w:jc w:val="both"/>
      </w:pPr>
      <w:r>
        <w:t xml:space="preserve">Construir diez visualizaciones por gestor, seleccionando el tipo de gráfico según el </w:t>
      </w:r>
      <w:r>
        <w:rPr>
          <w:i/>
          <w:iCs/>
        </w:rPr>
        <w:t xml:space="preserve">insight</w:t>
      </w:r>
      <w:r>
        <w:t xml:space="preserve"> buscado.</w:t>
      </w:r>
    </w:p>
    <w:p>
      <w:pPr>
        <w:pStyle w:val="ListParagraph"/>
        <w:numPr>
          <w:ilvl w:val="0"/>
          <w:numId w:val="2"/>
        </w:numPr>
        <w:spacing w:after="60" w:line="264"/>
        <w:jc w:val="both"/>
      </w:pPr>
      <w:r>
        <w:t xml:space="preserve">Explicar cada visualización con su método, resultado, decisión que apoya y límites, junto con el código o fórmula utilizada.</w:t>
      </w:r>
    </w:p>
    <w:p>
      <w:pPr>
        <w:pStyle w:val="ListParagraph"/>
        <w:numPr>
          <w:ilvl w:val="0"/>
          <w:numId w:val="2"/>
        </w:numPr>
        <w:spacing w:after="60" w:line="264"/>
        <w:jc w:val="both"/>
      </w:pPr>
      <w:r>
        <w:t xml:space="preserve">Integrar las visualizaciones en un dashboard con filtros, interactividad y un monitoreo simulado en tiempo real.</w:t>
      </w:r>
    </w:p>
    <w:p>
      <w:pPr>
        <w:pStyle w:val="ListParagraph"/>
        <w:numPr>
          <w:ilvl w:val="0"/>
          <w:numId w:val="2"/>
        </w:numPr>
        <w:spacing w:after="60" w:line="264"/>
        <w:jc w:val="both"/>
      </w:pPr>
      <w:r>
        <w:t xml:space="preserve">Validar la precisión de los cálculos con comprobaciones automáticas de sumas, claves y reglas estadísticas.</w:t>
      </w:r>
    </w:p>
    <w:p>
      <w:pPr>
        <w:pStyle w:val="Heading3"/>
        <w:keepNext/>
        <w:spacing w:before="180" w:after="80"/>
      </w:pPr>
      <w:r>
        <w:t xml:space="preserve">Organización del informe</w:t>
      </w:r>
    </w:p>
    <w:p>
      <w:pPr>
        <w:spacing w:after="120" w:line="276"/>
        <w:jc w:val="both"/>
      </w:pPr>
      <w:r>
        <w:t xml:space="preserve">La sección 2 describe la metodología y las herramientas. La sección 3 documenta el laboratorio en Docker y la configuración de las conexiones. Las secciones 4, 5 y 6 corresponden a cada gestor: descripción de la base, carga, evidencia de conexión, diez visualizaciones y los </w:t>
      </w:r>
      <w:r>
        <w:rPr>
          <w:i/>
          <w:iCs/>
        </w:rPr>
        <w:t xml:space="preserve">insights</w:t>
      </w:r>
      <w:r>
        <w:t xml:space="preserve"> obtenidos. La sección 7 presenta la extracción integrada, las validaciones y el dashboard; la 8 discute los resultados y la 9 resume las conclusiones. Los anexos contienen los pasos de reproducción, el inventario del código fuente y las capturas del dashboard.</w:t>
      </w:r>
    </w:p>
    <w:p>
      <w:pPr>
        <w:pStyle w:val="Heading3"/>
        <w:keepNext/>
        <w:spacing w:before="180" w:after="80"/>
      </w:pPr>
      <w:r>
        <w:t xml:space="preserve">Código fuente</w:t>
      </w:r>
    </w:p>
    <w:p>
      <w:pPr>
        <w:spacing w:after="120" w:line="276"/>
        <w:jc w:val="left"/>
      </w:pPr>
      <w:r>
        <w:t xml:space="preserve">Todo el código, las consultas, los datos extraídos, el dashboard y este informe están en el repositorio </w:t>
      </w:r>
      <w:hyperlink w:history="1" r:id="rIdr260--xemkjdkdfqtirao">
        <w:r>
          <w:rPr>
            <w:rStyle w:val="Hyperlink"/>
          </w:rPr>
          <w:t xml:space="preserve">https://github.com/dcarrioncordones/proyecto-final-db</w:t>
        </w:r>
      </w:hyperlink>
      <w:r>
        <w:t xml:space="preserve">. El archivo </w:t>
      </w:r>
      <w:r>
        <w:rPr>
          <w:rFonts w:ascii="Consolas" w:cs="Consolas" w:eastAsia="Consolas" w:hAnsi="Consolas"/>
          <w:sz w:val="19"/>
          <w:szCs w:val="19"/>
        </w:rPr>
        <w:t xml:space="preserve">COMO_CORRER.md</w:t>
      </w:r>
      <w:r>
        <w:t xml:space="preserve"> explica paso a paso cómo reproducir el laboratorio y regenerar los resultados.</w:t>
      </w:r>
    </w:p>
    <w:p>
      <w:pPr>
        <w:pStyle w:val="Heading1"/>
        <w:pageBreakBefore/>
        <w:spacing w:after="240"/>
      </w:pPr>
      <w:bookmarkStart w:name="h2" w:id="1"/>
      <w:r>
        <w:t xml:space="preserve">2. Metodología y herramientas</w:t>
      </w:r>
      <w:bookmarkEnd w:id="1"/>
    </w:p>
    <w:p>
      <w:pPr>
        <w:spacing w:after="120" w:line="276"/>
        <w:jc w:val="both"/>
      </w:pPr>
      <w:r>
        <w:t xml:space="preserve">El trabajo siguió las cuatro fases de la guía del curso. Cada fase produce archivos que la siguiente reutiliza, de modo que las figuras, el dashboard y el informe se calculan sobre los mismos datos extraídos.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6"/>
        <w:gridCol w:w="4841"/>
        <w:gridCol w:w="2583"/>
      </w:tblGrid>
      <w:tr>
        <w:trPr>
          <w:cantSplit/>
          <w:tblHeader/>
        </w:trPr>
        <w:tc>
          <w:tcPr>
            <w:tcW w:type="dxa" w:w="1936"/>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Fase</w:t>
            </w:r>
          </w:p>
        </w:tc>
        <w:tc>
          <w:tcPr>
            <w:tcW w:type="dxa" w:w="4841"/>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Actividades realizadas</w:t>
            </w:r>
          </w:p>
        </w:tc>
        <w:tc>
          <w:tcPr>
            <w:tcW w:type="dxa" w:w="2583"/>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Resultado</w:t>
            </w:r>
          </w:p>
        </w:tc>
      </w:tr>
      <w:tr>
        <w:trPr>
          <w:cantSplit/>
        </w:trPr>
        <w:tc>
          <w:tcPr>
            <w:tcW w:type="dxa" w:w="193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 Conexión y extracción</w:t>
            </w:r>
          </w:p>
        </w:tc>
        <w:tc>
          <w:tcPr>
            <w:tcW w:type="dxa" w:w="484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Contenedores de los tres gestores, carga de Northwind, HR y sensores; conexiones ODBC y PyMongo; extracción de sólo lectura</w:t>
            </w:r>
          </w:p>
        </w:tc>
        <w:tc>
          <w:tcPr>
            <w:tcW w:type="dxa" w:w="258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CSV por tabla y colección, con hashes de procedencia</w:t>
            </w:r>
          </w:p>
        </w:tc>
      </w:tr>
      <w:tr>
        <w:trPr>
          <w:cantSplit/>
        </w:trPr>
        <w:tc>
          <w:tcPr>
            <w:tcW w:type="dxa" w:w="193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 Análisis exploratorio</w:t>
            </w:r>
          </w:p>
        </w:tc>
        <w:tc>
          <w:tcPr>
            <w:tcW w:type="dxa" w:w="484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Conversión de fechas, uniones con claves, estadística descriptiva, correlaciones y detección de atípicos con MAD</w:t>
            </w:r>
          </w:p>
        </w:tc>
        <w:tc>
          <w:tcPr>
            <w:tcW w:type="dxa" w:w="258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Tres tablas analíticas y resultados verificables</w:t>
            </w:r>
          </w:p>
        </w:tc>
      </w:tr>
      <w:tr>
        <w:trPr>
          <w:cantSplit/>
        </w:trPr>
        <w:tc>
          <w:tcPr>
            <w:tcW w:type="dxa" w:w="193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3. Visualización</w:t>
            </w:r>
          </w:p>
        </w:tc>
        <w:tc>
          <w:tcPr>
            <w:tcW w:type="dxa" w:w="484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Selección del gráfico según el insight, paleta accesible, etiquetas y unidades; versión estática (PNG) e interactiva (Plotly)</w:t>
            </w:r>
          </w:p>
        </w:tc>
        <w:tc>
          <w:tcPr>
            <w:tcW w:type="dxa" w:w="258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30 figuras con explicación</w:t>
            </w:r>
          </w:p>
        </w:tc>
      </w:tr>
      <w:tr>
        <w:trPr>
          <w:cantSplit/>
        </w:trPr>
        <w:tc>
          <w:tcPr>
            <w:tcW w:type="dxa" w:w="193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4. Dashboarding</w:t>
            </w:r>
          </w:p>
        </w:tc>
        <w:tc>
          <w:tcPr>
            <w:tcW w:type="dxa" w:w="484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Selector de base y figura, filtros, KPI, panel explicativo, reproducción temporal y diseño responsivo; pruebas de uso</w:t>
            </w:r>
          </w:p>
        </w:tc>
        <w:tc>
          <w:tcPr>
            <w:tcW w:type="dxa" w:w="258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dashboard/index.html</w:t>
            </w:r>
          </w:p>
        </w:tc>
      </w:tr>
    </w:tbl>
    <w:p>
      <w:pPr>
        <w:spacing w:after="120"/>
      </w:pPr>
    </w:p>
    <w:p>
      <w:pPr>
        <w:pStyle w:val="Heading2"/>
        <w:keepNext/>
        <w:spacing w:before="280" w:after="120"/>
      </w:pPr>
      <w:r>
        <w:t xml:space="preserve">2.1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8"/>
        <w:gridCol w:w="4056"/>
        <w:gridCol w:w="3276"/>
      </w:tblGrid>
      <w:tr>
        <w:trPr>
          <w:cantSplit/>
          <w:tblHeader/>
        </w:trPr>
        <w:tc>
          <w:tcPr>
            <w:tcW w:type="dxa" w:w="2028"/>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Componente</w:t>
            </w:r>
          </w:p>
        </w:tc>
        <w:tc>
          <w:tcPr>
            <w:tcW w:type="dxa" w:w="4056"/>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Versión / detalle</w:t>
            </w:r>
          </w:p>
        </w:tc>
        <w:tc>
          <w:tcPr>
            <w:tcW w:type="dxa" w:w="3276"/>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Uso en el trabajo</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Docker Desktop</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4.94.0 (Engine 29.8.2, Compose 5.5.1), Apple Virtualization y Rosetta</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Ejecución de los tres gestores y del cliente de análisis</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SQL Server</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2022 Developer (imagen mssql/server:2022-latest, amd64)</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Base Northwind</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Oracle Database Free</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Imagen database/free:23.26.3.0-lite-arm64</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Esquema HR en el servicio FREEPDB1</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MongoDB</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8.0 (arm64)</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Base bigdata_final, colección sensores_datos</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Drivers</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Microsoft ODBC Driver 18; Oracle Instant Client 23.26 ODBC; unixODBC</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Conexión ODBC a SQL Server y Oracle</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Python</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3.11 con pyodbc 5.3, PyMongo 4.18, pandas 3.0, NumPy, SciPy</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Conexión, extracción y análisis</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Visualización</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Matplotlib 3.11 (PNG) y Plotly 7.1 (interactivo)</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Figuras del informe y del dashboard</w:t>
            </w:r>
          </w:p>
        </w:tc>
      </w:tr>
      <w:tr>
        <w:trPr>
          <w:cantSplit/>
        </w:trPr>
        <w:tc>
          <w:tcPr>
            <w:tcW w:type="dxa" w:w="202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Entornos</w:t>
            </w:r>
          </w:p>
        </w:tc>
        <w:tc>
          <w:tcPr>
            <w:tcW w:type="dxa" w:w="40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Jupyter Notebook y scripts Python; Safari para el dashboard</w:t>
            </w:r>
          </w:p>
        </w:tc>
        <w:tc>
          <w:tcPr>
            <w:tcW w:type="dxa" w:w="327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Ejecución reproducible y revisión</w:t>
            </w:r>
          </w:p>
        </w:tc>
      </w:tr>
    </w:tbl>
    <w:p>
      <w:pPr>
        <w:spacing w:after="120"/>
      </w:pPr>
    </w:p>
    <w:p>
      <w:pPr>
        <w:pStyle w:val="Heading2"/>
        <w:keepNext/>
        <w:spacing w:before="280" w:after="120"/>
      </w:pPr>
      <w:r>
        <w:t xml:space="preserve">2.2 Definiciones y criterios de calidad</w:t>
      </w:r>
    </w:p>
    <w:p>
      <w:pPr>
        <w:spacing w:after="120" w:line="276"/>
        <w:jc w:val="both"/>
      </w:pPr>
      <w:r>
        <w:t xml:space="preserve">Las métricas se definieron antes de construir las figuras para evitar ambigüedades entre fuentes:</w:t>
      </w:r>
    </w:p>
    <w:p>
      <w:pPr>
        <w:pStyle w:val="ListParagraph"/>
        <w:numPr>
          <w:ilvl w:val="0"/>
          <w:numId w:val="2"/>
        </w:numPr>
        <w:spacing w:after="60" w:line="264"/>
        <w:jc w:val="both"/>
      </w:pPr>
      <w:r>
        <w:rPr>
          <w:b/>
          <w:bCs/>
        </w:rPr>
        <w:t xml:space="preserve">Venta neta de línea</w:t>
      </w:r>
      <w:r>
        <w:t xml:space="preserve"> = UnitPrice × Quantity × (1 − Discount), con el precio histórico de </w:t>
      </w:r>
      <w:r>
        <w:rPr>
          <w:i/>
          <w:iCs/>
        </w:rPr>
        <w:t xml:space="preserve">Order Details</w:t>
      </w:r>
      <w:r>
        <w:t xml:space="preserve"> y no el precio actual del catálogo. La venta bruta total es 1,354,458.59 y la reducción por descuentos, 88,665.55.</w:t>
      </w:r>
    </w:p>
    <w:p>
      <w:pPr>
        <w:pStyle w:val="ListParagraph"/>
        <w:numPr>
          <w:ilvl w:val="0"/>
          <w:numId w:val="2"/>
        </w:numPr>
        <w:spacing w:after="60" w:line="264"/>
        <w:jc w:val="both"/>
      </w:pPr>
      <w:r>
        <w:rPr>
          <w:b/>
          <w:bCs/>
        </w:rPr>
        <w:t xml:space="preserve">Antigüedad</w:t>
      </w:r>
      <w:r>
        <w:t xml:space="preserve"> = (fecha de referencia 08/10/2026 − hire_date) / 365.25 años. Las uniones izquierdas conservan al empleado sin departamento.</w:t>
      </w:r>
    </w:p>
    <w:p>
      <w:pPr>
        <w:pStyle w:val="ListParagraph"/>
        <w:numPr>
          <w:ilvl w:val="0"/>
          <w:numId w:val="2"/>
        </w:numPr>
        <w:spacing w:after="60" w:line="264"/>
        <w:jc w:val="both"/>
      </w:pPr>
      <w:r>
        <w:rPr>
          <w:b/>
          <w:bCs/>
        </w:rPr>
        <w:t xml:space="preserve">Fechas de sensores</w:t>
      </w:r>
      <w:r>
        <w:t xml:space="preserve">: se almacenan como BSON Date en UTC y se agrupan en la zona America/Santo_Domingo.</w:t>
      </w:r>
    </w:p>
    <w:p>
      <w:pPr>
        <w:pStyle w:val="ListParagraph"/>
        <w:numPr>
          <w:ilvl w:val="0"/>
          <w:numId w:val="2"/>
        </w:numPr>
        <w:spacing w:after="60" w:line="264"/>
        <w:jc w:val="both"/>
      </w:pPr>
      <w:r>
        <w:rPr>
          <w:b/>
          <w:bCs/>
        </w:rPr>
        <w:t xml:space="preserve">Atípicos</w:t>
      </w:r>
      <w:r>
        <w:t xml:space="preserve">: una lectura es alerta si |valor − mediana| / (1.4826 × MAD) &gt; 3.5, con mediana y MAD calculadas por sensor y hora del día [11].</w:t>
      </w:r>
    </w:p>
    <w:p>
      <w:pPr>
        <w:pStyle w:val="ListParagraph"/>
        <w:numPr>
          <w:ilvl w:val="0"/>
          <w:numId w:val="2"/>
        </w:numPr>
        <w:spacing w:after="60" w:line="264"/>
        <w:jc w:val="both"/>
      </w:pPr>
      <w:r>
        <w:rPr>
          <w:b/>
          <w:bCs/>
        </w:rPr>
        <w:t xml:space="preserve">Claves sin duplicación</w:t>
      </w:r>
      <w:r>
        <w:t xml:space="preserve">: línea de venta = OrderID + ProductID; lectura = sensor_id + timestamp.</w:t>
      </w:r>
    </w:p>
    <w:p>
      <w:pPr>
        <w:spacing w:after="120" w:line="276"/>
        <w:jc w:val="left"/>
      </w:pPr>
      <w:r>
        <w:t xml:space="preserve">La precisión de las visualizaciones se valida con 17 comprobaciones automáticas (</w:t>
      </w:r>
      <w:r>
        <w:rPr>
          <w:rFonts w:ascii="Consolas" w:cs="Consolas" w:eastAsia="Consolas" w:hAnsi="Consolas"/>
          <w:sz w:val="19"/>
          <w:szCs w:val="19"/>
        </w:rPr>
        <w:t xml:space="preserve">src/validar.py</w:t>
      </w:r>
      <w:r>
        <w:t xml:space="preserve">): conciliación de ventas por mes, cliente, categoría y empleado; conservación de los 107 empleados; existencia de supervisores sin ciclos; unicidad temporal por sensor; cobertura de 720 lecturas por sensor; reproducción de la regla MAD y de su matriz de confusión. Las 17 resultaron correctas sobre los datos extraídos.</w:t>
      </w:r>
    </w:p>
    <w:p>
      <w:pPr>
        <w:spacing w:after="120" w:line="276"/>
        <w:jc w:val="both"/>
      </w:pPr>
      <w:r>
        <w:t xml:space="preserve">Para la accesibilidad se usan paletas distinguibles para daltonismo, etiquetas y leyendas en todos los gráficos, y la información principal también se expresa en texto, de modo que el color no es la única vía de lectura.</w:t>
      </w:r>
    </w:p>
    <w:p>
      <w:pPr>
        <w:pStyle w:val="Heading1"/>
        <w:pageBreakBefore/>
        <w:spacing w:after="240"/>
      </w:pPr>
      <w:bookmarkStart w:name="h3" w:id="1"/>
      <w:r>
        <w:t xml:space="preserve">3. Laboratorio en Docker y conexiones</w:t>
      </w:r>
      <w:bookmarkEnd w:id="1"/>
    </w:p>
    <w:p>
      <w:pPr>
        <w:spacing w:after="120" w:line="276"/>
        <w:jc w:val="left"/>
      </w:pPr>
      <w:r>
        <w:t xml:space="preserve">Los tres gestores se ejecutan en un proyecto de Docker Compose llamado </w:t>
      </w:r>
      <w:r>
        <w:rPr>
          <w:rFonts w:ascii="Consolas" w:cs="Consolas" w:eastAsia="Consolas" w:hAnsi="Consolas"/>
          <w:sz w:val="19"/>
          <w:szCs w:val="19"/>
        </w:rPr>
        <w:t xml:space="preserve">bigdata-final</w:t>
      </w:r>
      <w:r>
        <w:t xml:space="preserve">, con volúmenes persistentes y puertos publicados sólo en la interfaz local. Un cuarto servicio, </w:t>
      </w:r>
      <w:r>
        <w:rPr>
          <w:rFonts w:ascii="Consolas" w:cs="Consolas" w:eastAsia="Consolas" w:hAnsi="Consolas"/>
          <w:sz w:val="19"/>
          <w:szCs w:val="19"/>
        </w:rPr>
        <w:t xml:space="preserve">analisis</w:t>
      </w:r>
      <w:r>
        <w:t xml:space="preserve">, es un cliente temporal de Python que contiene los drivers ODBC y PyMongo: se crea para cada tarea, se conecta a los gestores por la red interna de Compose y se elimina al terminar. Así no se instalan drivers en macOS y la configuración queda descrita en archivos versionables.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5"/>
        <w:gridCol w:w="2235"/>
        <w:gridCol w:w="3073"/>
        <w:gridCol w:w="1957"/>
      </w:tblGrid>
      <w:tr>
        <w:trPr>
          <w:cantSplit/>
          <w:tblHeader/>
        </w:trPr>
        <w:tc>
          <w:tcPr>
            <w:tcW w:type="dxa" w:w="2095"/>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Servicio</w:t>
            </w:r>
          </w:p>
        </w:tc>
        <w:tc>
          <w:tcPr>
            <w:tcW w:type="dxa" w:w="2235"/>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Contenedor</w:t>
            </w:r>
          </w:p>
        </w:tc>
        <w:tc>
          <w:tcPr>
            <w:tcW w:type="dxa" w:w="3073"/>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Datos</w:t>
            </w:r>
          </w:p>
        </w:tc>
        <w:tc>
          <w:tcPr>
            <w:tcW w:type="dxa" w:w="1957"/>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Puerto en el Mac</w:t>
            </w:r>
          </w:p>
        </w:tc>
      </w:tr>
      <w:tr>
        <w:trPr>
          <w:cantSplit/>
        </w:trPr>
        <w:tc>
          <w:tcPr>
            <w:tcW w:type="dxa" w:w="209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SQL Server 2022</w:t>
            </w:r>
          </w:p>
        </w:tc>
        <w:tc>
          <w:tcPr>
            <w:tcW w:type="dxa" w:w="22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bigdata-sqlserver</w:t>
            </w:r>
          </w:p>
        </w:tc>
        <w:tc>
          <w:tcPr>
            <w:tcW w:type="dxa" w:w="30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Base Northwind</w:t>
            </w:r>
          </w:p>
        </w:tc>
        <w:tc>
          <w:tcPr>
            <w:tcW w:type="dxa" w:w="19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127.0.0.1:1434</w:t>
            </w:r>
          </w:p>
        </w:tc>
      </w:tr>
      <w:tr>
        <w:trPr>
          <w:cantSplit/>
        </w:trPr>
        <w:tc>
          <w:tcPr>
            <w:tcW w:type="dxa" w:w="209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Oracle Database Free</w:t>
            </w:r>
          </w:p>
        </w:tc>
        <w:tc>
          <w:tcPr>
            <w:tcW w:type="dxa" w:w="22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bigdata-oracle</w:t>
            </w:r>
          </w:p>
        </w:tc>
        <w:tc>
          <w:tcPr>
            <w:tcW w:type="dxa" w:w="30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Esquema HR, servicio FREEPDB1</w:t>
            </w:r>
          </w:p>
        </w:tc>
        <w:tc>
          <w:tcPr>
            <w:tcW w:type="dxa" w:w="19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127.0.0.1:1522</w:t>
            </w:r>
          </w:p>
        </w:tc>
      </w:tr>
      <w:tr>
        <w:trPr>
          <w:cantSplit/>
        </w:trPr>
        <w:tc>
          <w:tcPr>
            <w:tcW w:type="dxa" w:w="209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MongoDB 8.0</w:t>
            </w:r>
          </w:p>
        </w:tc>
        <w:tc>
          <w:tcPr>
            <w:tcW w:type="dxa" w:w="22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bigdata-mongodb</w:t>
            </w:r>
          </w:p>
        </w:tc>
        <w:tc>
          <w:tcPr>
            <w:tcW w:type="dxa" w:w="30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bigdata_final.sensores_datos</w:t>
            </w:r>
          </w:p>
        </w:tc>
        <w:tc>
          <w:tcPr>
            <w:tcW w:type="dxa" w:w="19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127.0.0.1:27020</w:t>
            </w:r>
          </w:p>
        </w:tc>
      </w:tr>
      <w:tr>
        <w:trPr>
          <w:cantSplit/>
        </w:trPr>
        <w:tc>
          <w:tcPr>
            <w:tcW w:type="dxa" w:w="209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Cliente de análisis</w:t>
            </w:r>
          </w:p>
        </w:tc>
        <w:tc>
          <w:tcPr>
            <w:tcW w:type="dxa" w:w="223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analisis (temporal)</w:t>
            </w:r>
          </w:p>
        </w:tc>
        <w:tc>
          <w:tcPr>
            <w:tcW w:type="dxa" w:w="307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Python, ODBC 18, Instant Client, PyMongo</w:t>
            </w:r>
          </w:p>
        </w:tc>
        <w:tc>
          <w:tcPr>
            <w:tcW w:type="dxa" w:w="195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Sin puerto</w:t>
            </w:r>
          </w:p>
        </w:tc>
      </w:tr>
    </w:tbl>
    <w:p>
      <w:pPr>
        <w:spacing w:after="120"/>
      </w:pPr>
    </w:p>
    <w:p>
      <w:pPr>
        <w:spacing w:after="120" w:line="276"/>
        <w:jc w:val="left"/>
      </w:pPr>
      <w:r>
        <w:t xml:space="preserve">Todas las operaciones se ejecutan con </w:t>
      </w:r>
      <w:r>
        <w:rPr>
          <w:rFonts w:ascii="Consolas" w:cs="Consolas" w:eastAsia="Consolas" w:hAnsi="Consolas"/>
          <w:sz w:val="19"/>
          <w:szCs w:val="19"/>
        </w:rPr>
        <w:t xml:space="preserve">docker/lab.py</w:t>
      </w:r>
      <w:r>
        <w:t xml:space="preserve">, que envuelve los comandos de Docker Compose, espera a que cada gestor esté saludable, oculta las contraseñas en la salida e impide reinstalar una base que ya contiene datos.</w:t>
      </w:r>
    </w:p>
    <w:p>
      <w:pPr>
        <w:pStyle w:val="Heading2"/>
        <w:keepNext/>
        <w:spacing w:before="280" w:after="120"/>
      </w:pPr>
      <w:r>
        <w:t xml:space="preserve">3.1 Preparación de Docker Desktop</w:t>
      </w:r>
    </w:p>
    <w:p>
      <w:pPr>
        <w:spacing w:after="120" w:line="276"/>
        <w:jc w:val="both"/>
      </w:pPr>
      <w:r>
        <w:t xml:space="preserve">SQL Server 2022 y el cliente con el driver ODBC de Oracle sólo se distribuyen para arquitectura amd64. En un Mac con Apple Silicon, Docker Desktop los ejecuta mediante emulación; se activó </w:t>
      </w:r>
      <w:r>
        <w:rPr>
          <w:b/>
          <w:bCs/>
        </w:rPr>
        <w:t xml:space="preserve">Rosetta</w:t>
      </w:r>
      <w:r>
        <w:t xml:space="preserve"> con el </w:t>
      </w:r>
      <w:r>
        <w:rPr>
          <w:i/>
          <w:iCs/>
        </w:rPr>
        <w:t xml:space="preserve">Apple Virtualization framework</w:t>
      </w:r>
      <w:r>
        <w:t xml:space="preserve"> para acelerarla [10]. Oracle y MongoDB usan imágenes ARM64 nativas.</w:t>
      </w:r>
    </w:p>
    <w:p>
      <w:pPr>
        <w:keepNext/>
        <w:spacing w:before="120" w:after="80"/>
        <w:jc w:val="center"/>
      </w:pPr>
      <w:r>
        <w:drawing>
          <wp:inline distT="0" distB="0" distL="0" distR="0">
            <wp:extent cx="5667375" cy="1533525"/>
            <wp:effectExtent t="0" r="0" b="0" l="0"/>
            <wp:docPr id="1" name="docker_rosetta.png" descr="Configuración de Docker Desktop: Apple Virtualization framework con Rosetta para emular amd64." title="Configuración de Docker Desktop: Apple Virtualization framework con Rosetta para emular am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533525"/>
                    </a:xfrm>
                    <a:prstGeom prst="rect">
                      <a:avLst/>
                    </a:prstGeom>
                  </pic:spPr>
                </pic:pic>
              </a:graphicData>
            </a:graphic>
          </wp:inline>
        </w:drawing>
      </w:r>
    </w:p>
    <w:p>
      <w:pPr>
        <w:spacing w:after="220"/>
        <w:jc w:val="center"/>
      </w:pPr>
      <w:r>
        <w:rPr>
          <w:b/>
          <w:bCs/>
          <w:i/>
          <w:iCs/>
          <w:color w:val="555555"/>
          <w:sz w:val="19"/>
          <w:szCs w:val="19"/>
        </w:rPr>
        <w:t xml:space="preserve">Figura 1. </w:t>
      </w:r>
      <w:r>
        <w:rPr>
          <w:i/>
          <w:iCs/>
          <w:color w:val="555555"/>
          <w:sz w:val="19"/>
          <w:szCs w:val="19"/>
        </w:rPr>
        <w:t xml:space="preserve">Configuración de Docker Desktop: Apple Virtualization framework con Rosetta para emular amd64.</w:t>
      </w:r>
    </w:p>
    <w:p>
      <w:pPr>
        <w:keepNext/>
        <w:spacing w:before="120" w:after="80"/>
        <w:jc w:val="center"/>
      </w:pPr>
      <w:r>
        <w:drawing>
          <wp:inline distT="0" distB="0" distL="0" distR="0">
            <wp:extent cx="3562350" cy="3400425"/>
            <wp:effectExtent t="0" r="0" b="0" l="0"/>
            <wp:docPr id="1" name="versiones.png" descr="Versiones de Docker Engine, Docker Compose y Python utilizadas en el laboratorio." title="Versiones de Docker Engine, Docker Compose y Python utilizadas en el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3400425"/>
                    </a:xfrm>
                    <a:prstGeom prst="rect">
                      <a:avLst/>
                    </a:prstGeom>
                  </pic:spPr>
                </pic:pic>
              </a:graphicData>
            </a:graphic>
          </wp:inline>
        </w:drawing>
      </w:r>
    </w:p>
    <w:p>
      <w:pPr>
        <w:spacing w:after="220"/>
        <w:jc w:val="center"/>
      </w:pPr>
      <w:r>
        <w:rPr>
          <w:b/>
          <w:bCs/>
          <w:i/>
          <w:iCs/>
          <w:color w:val="555555"/>
          <w:sz w:val="19"/>
          <w:szCs w:val="19"/>
        </w:rPr>
        <w:t xml:space="preserve">Figura 2. </w:t>
      </w:r>
      <w:r>
        <w:rPr>
          <w:i/>
          <w:iCs/>
          <w:color w:val="555555"/>
          <w:sz w:val="19"/>
          <w:szCs w:val="19"/>
        </w:rPr>
        <w:t xml:space="preserve">Versiones de Docker Engine, Docker Compose y Python utilizadas en el laboratorio.</w:t>
      </w:r>
    </w:p>
    <w:p>
      <w:pPr>
        <w:pStyle w:val="Heading2"/>
        <w:keepNext/>
        <w:spacing w:before="280" w:after="120"/>
      </w:pPr>
      <w:r>
        <w:t xml:space="preserve">3.2 Configuración de credenciales</w:t>
      </w:r>
    </w:p>
    <w:p>
      <w:pPr>
        <w:spacing w:after="120" w:line="276"/>
        <w:jc w:val="left"/>
      </w:pPr>
      <w:r>
        <w:rPr>
          <w:rFonts w:ascii="Consolas" w:cs="Consolas" w:eastAsia="Consolas" w:hAnsi="Consolas"/>
          <w:sz w:val="19"/>
          <w:szCs w:val="19"/>
        </w:rPr>
        <w:t xml:space="preserve">lab.py configurar</w:t>
      </w:r>
      <w:r>
        <w:t xml:space="preserve"> genera </w:t>
      </w:r>
      <w:r>
        <w:rPr>
          <w:rFonts w:ascii="Consolas" w:cs="Consolas" w:eastAsia="Consolas" w:hAnsi="Consolas"/>
          <w:sz w:val="19"/>
          <w:szCs w:val="19"/>
        </w:rPr>
        <w:t xml:space="preserve">docker/.env</w:t>
      </w:r>
      <w:r>
        <w:t xml:space="preserve"> con cuatro contraseñas aleatorias distintas (SQL Server, administrador de Oracle, usuario HR y administrador de MongoDB) y permisos 600; no se imprimen ni se incluyen en la entrega. </w:t>
      </w:r>
      <w:r>
        <w:rPr>
          <w:rFonts w:ascii="Consolas" w:cs="Consolas" w:eastAsia="Consolas" w:hAnsi="Consolas"/>
          <w:sz w:val="19"/>
          <w:szCs w:val="19"/>
        </w:rPr>
        <w:t xml:space="preserve">lab.py validar</w:t>
      </w:r>
      <w:r>
        <w:t xml:space="preserve"> comprueba la sintaxis de Compose y las variables sin crear contenedores.</w:t>
      </w:r>
    </w:p>
    <w:p>
      <w:pPr>
        <w:keepNext/>
        <w:spacing w:before="120" w:after="80"/>
        <w:jc w:val="center"/>
      </w:pPr>
      <w:r>
        <w:drawing>
          <wp:inline distT="0" distB="0" distL="0" distR="0">
            <wp:extent cx="4019550" cy="533400"/>
            <wp:effectExtent t="0" r="0" b="0" l="0"/>
            <wp:docPr id="1" name="configurar.png" descr="Creación y validación de la configuración del laboratorio." title="Creación y validación de la configuración del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533400"/>
                    </a:xfrm>
                    <a:prstGeom prst="rect">
                      <a:avLst/>
                    </a:prstGeom>
                  </pic:spPr>
                </pic:pic>
              </a:graphicData>
            </a:graphic>
          </wp:inline>
        </w:drawing>
      </w:r>
    </w:p>
    <w:p>
      <w:pPr>
        <w:spacing w:after="220"/>
        <w:jc w:val="center"/>
      </w:pPr>
      <w:r>
        <w:rPr>
          <w:b/>
          <w:bCs/>
          <w:i/>
          <w:iCs/>
          <w:color w:val="555555"/>
          <w:sz w:val="19"/>
          <w:szCs w:val="19"/>
        </w:rPr>
        <w:t xml:space="preserve">Figura 3. </w:t>
      </w:r>
      <w:r>
        <w:rPr>
          <w:i/>
          <w:iCs/>
          <w:color w:val="555555"/>
          <w:sz w:val="19"/>
          <w:szCs w:val="19"/>
        </w:rPr>
        <w:t xml:space="preserve">Creación y validación de la configuración del laboratorio.</w:t>
      </w:r>
    </w:p>
    <w:p>
      <w:pPr>
        <w:pStyle w:val="Heading2"/>
        <w:keepNext/>
        <w:spacing w:before="280" w:after="120"/>
      </w:pPr>
      <w:r>
        <w:t xml:space="preserve">3.3 Cadenas de conexión del cliente</w:t>
      </w:r>
    </w:p>
    <w:p>
      <w:pPr>
        <w:spacing w:after="120" w:line="276"/>
        <w:jc w:val="left"/>
      </w:pPr>
      <w:r>
        <w:t xml:space="preserve">Dentro de la red de Compose el cliente usa los nombres de servicio en lugar de </w:t>
      </w:r>
      <w:r>
        <w:rPr>
          <w:rFonts w:ascii="Consolas" w:cs="Consolas" w:eastAsia="Consolas" w:hAnsi="Consolas"/>
          <w:sz w:val="19"/>
          <w:szCs w:val="19"/>
        </w:rPr>
        <w:t xml:space="preserve">localhost</w:t>
      </w:r>
      <w:r>
        <w:t xml:space="preserve">. El archivo </w:t>
      </w:r>
      <w:r>
        <w:rPr>
          <w:rFonts w:ascii="Consolas" w:cs="Consolas" w:eastAsia="Consolas" w:hAnsi="Consolas"/>
          <w:sz w:val="19"/>
          <w:szCs w:val="19"/>
        </w:rPr>
        <w:t xml:space="preserve">docker/cliente.py</w:t>
      </w:r>
      <w:r>
        <w:t xml:space="preserve"> construye las cadenas a partir de las variables de entorno, sin escribir contraseñas en disco:</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SQLSERVER_ODBC = 'DRIVER={ODBC Driver 18 for SQL Server};SERVER=sqlserver,1433;'</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'DATABASE=Northwind;UID=sa;PWD=***;Encrypt=yes;TrustServerCertificate=yes'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ORACLE_ODBC    = 'DRIVER={Oracle Instant Client ODBC};DBQ=oracle:1521/FREEPDB1;UID=hr;PWD=***'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MONGODB_URI    = 'mongodb://bigdata_admin:***@mongodb:27017/?authSource=admin'</w:t>
      </w:r>
    </w:p>
    <w:p>
      <w:pPr>
        <w:spacing w:after="120" w:line="276"/>
        <w:jc w:val="left"/>
      </w:pPr>
      <w:r>
        <w:t xml:space="preserve">La verificación (</w:t>
      </w:r>
      <w:r>
        <w:rPr>
          <w:rFonts w:ascii="Consolas" w:cs="Consolas" w:eastAsia="Consolas" w:hAnsi="Consolas"/>
          <w:sz w:val="19"/>
          <w:szCs w:val="19"/>
        </w:rPr>
        <w:t xml:space="preserve">src/conexiones.py verificar</w:t>
      </w:r>
      <w:r>
        <w:t xml:space="preserve">) abre cada conexión y ejecuta una consulta sobre una tabla del trabajo; sólo registra éxito si el conteo es mayor que cero. El resultado se guarda con fecha UTC y conector en </w:t>
      </w:r>
      <w:r>
        <w:rPr>
          <w:rFonts w:ascii="Consolas" w:cs="Consolas" w:eastAsia="Consolas" w:hAnsi="Consolas"/>
          <w:sz w:val="19"/>
          <w:szCs w:val="19"/>
        </w:rPr>
        <w:t xml:space="preserve">evidencias/conexiones.json</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def connect(motor):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if motor in ('sqlserver', 'oracle'):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import pyodbc</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return pyodbc.connect(os.environ[{'sqlserver': 'SQLSERVER_ODBC',</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'oracle': 'ORACLE_ODBC'}[motor]], timeout=10)</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from pymongo import MongoClient</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client = MongoClient(os.environ['MONGODB_URI'], serverSelectionTimeoutMS=5000)</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client.admin.command('ping')</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return client</w:t>
      </w:r>
    </w:p>
    <w:p>
      <w:pPr>
        <w:pStyle w:val="Heading2"/>
        <w:keepNext/>
        <w:spacing w:before="280" w:after="120"/>
      </w:pPr>
      <w:r>
        <w:t xml:space="preserve">3.4 Cliente de análisis con drivers ODBC</w:t>
      </w:r>
    </w:p>
    <w:p>
      <w:pPr>
        <w:spacing w:after="120" w:line="276"/>
        <w:jc w:val="left"/>
      </w:pPr>
      <w:r>
        <w:t xml:space="preserve">La imagen del cliente parte de </w:t>
      </w:r>
      <w:r>
        <w:rPr>
          <w:rFonts w:ascii="Consolas" w:cs="Consolas" w:eastAsia="Consolas" w:hAnsi="Consolas"/>
          <w:sz w:val="19"/>
          <w:szCs w:val="19"/>
        </w:rPr>
        <w:t xml:space="preserve">python:3.11-slim-bookworm</w:t>
      </w:r>
      <w:r>
        <w:t xml:space="preserve"> e instala unixODBC, Microsoft ODBC Driver 18 desde el repositorio de Microsoft [3] y Oracle Instant Client Basic y ODBC [4]. Los ZIP de Oracle se verifican con sus hashes SHA-256 antes de registrarse en </w:t>
      </w:r>
      <w:r>
        <w:rPr>
          <w:rFonts w:ascii="Consolas" w:cs="Consolas" w:eastAsia="Consolas" w:hAnsi="Consolas"/>
          <w:sz w:val="19"/>
          <w:szCs w:val="19"/>
        </w:rPr>
        <w:t xml:space="preserve">/etc/odbcinst.ini</w:t>
      </w:r>
      <w:r>
        <w:t xml:space="preserve">. Luego se instalan las librerías de </w:t>
      </w:r>
      <w:r>
        <w:rPr>
          <w:rFonts w:ascii="Consolas" w:cs="Consolas" w:eastAsia="Consolas" w:hAnsi="Consolas"/>
          <w:sz w:val="19"/>
          <w:szCs w:val="19"/>
        </w:rPr>
        <w:t xml:space="preserve">requirements.txt</w:t>
      </w:r>
      <w:r>
        <w:t xml:space="preserve">.</w:t>
      </w:r>
    </w:p>
    <w:p>
      <w:pPr>
        <w:keepNext/>
        <w:spacing w:before="120" w:after="80"/>
        <w:jc w:val="center"/>
      </w:pPr>
      <w:r>
        <w:drawing>
          <wp:inline distT="0" distB="0" distL="0" distR="0">
            <wp:extent cx="5762625" cy="2457450"/>
            <wp:effectExtent t="0" r="0" b="0" l="0"/>
            <wp:docPr id="1" name="cliente_build.png" descr="Construcción del cliente: instalación de msodbcsql18 y verificación de los paquetes de Oracle Instant Client (/tmp/basic.zip: OK, /tmp/odbc.zip: OK)." title="Construcción del cliente: instalación de msodbcsql18 y verificación de los paquetes de Oracle Instant Client (/tmp/basic.zip: OK, /tmp/odbc.zip: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57450"/>
                    </a:xfrm>
                    <a:prstGeom prst="rect">
                      <a:avLst/>
                    </a:prstGeom>
                  </pic:spPr>
                </pic:pic>
              </a:graphicData>
            </a:graphic>
          </wp:inline>
        </w:drawing>
      </w:r>
    </w:p>
    <w:p>
      <w:pPr>
        <w:spacing w:after="220"/>
        <w:jc w:val="center"/>
      </w:pPr>
      <w:r>
        <w:rPr>
          <w:b/>
          <w:bCs/>
          <w:i/>
          <w:iCs/>
          <w:color w:val="555555"/>
          <w:sz w:val="19"/>
          <w:szCs w:val="19"/>
        </w:rPr>
        <w:t xml:space="preserve">Figura 4. </w:t>
      </w:r>
      <w:r>
        <w:rPr>
          <w:i/>
          <w:iCs/>
          <w:color w:val="555555"/>
          <w:sz w:val="19"/>
          <w:szCs w:val="19"/>
        </w:rPr>
        <w:t xml:space="preserve">Construcción del cliente: instalación de msodbcsql18 y verificación de los paquetes de Oracle Instant Client (/tmp/basic.zip: OK, /tmp/odbc.zip: OK).</w:t>
      </w:r>
    </w:p>
    <w:p>
      <w:pPr>
        <w:keepNext/>
        <w:spacing w:before="120" w:after="80"/>
        <w:jc w:val="center"/>
      </w:pPr>
      <w:r>
        <w:drawing>
          <wp:inline distT="0" distB="0" distL="0" distR="0">
            <wp:extent cx="4210050" cy="762000"/>
            <wp:effectExtent t="0" r="0" b="0" l="0"/>
            <wp:docPr id="1" name="lab_drivers.png" descr="Imagen del cliente construida y drivers ODBC registrados: ODBC Driver 18 for SQL Server y Oracle Instant Client ODBC." title="Imagen del cliente construida y drivers ODBC registrados: ODBC Driver 18 for SQL Server y Oracle Instant Client O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762000"/>
                    </a:xfrm>
                    <a:prstGeom prst="rect">
                      <a:avLst/>
                    </a:prstGeom>
                  </pic:spPr>
                </pic:pic>
              </a:graphicData>
            </a:graphic>
          </wp:inline>
        </w:drawing>
      </w:r>
    </w:p>
    <w:p>
      <w:pPr>
        <w:spacing w:after="220"/>
        <w:jc w:val="center"/>
      </w:pPr>
      <w:r>
        <w:rPr>
          <w:b/>
          <w:bCs/>
          <w:i/>
          <w:iCs/>
          <w:color w:val="555555"/>
          <w:sz w:val="19"/>
          <w:szCs w:val="19"/>
        </w:rPr>
        <w:t xml:space="preserve">Figura 5. </w:t>
      </w:r>
      <w:r>
        <w:rPr>
          <w:i/>
          <w:iCs/>
          <w:color w:val="555555"/>
          <w:sz w:val="19"/>
          <w:szCs w:val="19"/>
        </w:rPr>
        <w:t xml:space="preserve">Imagen del cliente construida y drivers ODBC registrados: ODBC Driver 18 for SQL Server y Oracle Instant Client ODBC.</w:t>
      </w:r>
    </w:p>
    <w:p>
      <w:pPr>
        <w:pStyle w:val="Heading2"/>
        <w:keepNext/>
        <w:spacing w:before="280" w:after="120"/>
      </w:pPr>
      <w:r>
        <w:t xml:space="preserve">3.5 Estado de los tres gestores</w:t>
      </w:r>
    </w:p>
    <w:p>
      <w:pPr>
        <w:keepNext/>
        <w:spacing w:before="120" w:after="80"/>
        <w:jc w:val="center"/>
      </w:pPr>
      <w:r>
        <w:drawing>
          <wp:inline distT="0" distB="0" distL="0" distR="0">
            <wp:extent cx="5848350" cy="371475"/>
            <wp:effectExtent t="0" r="0" b="0" l="0"/>
            <wp:docPr id="1" name="lab_estado.png" descr="Los tres contenedores en ejecución y con estado healthy, con sus puertos locales." title="Los tres contenedores en ejecución y con estado healthy, con sus puertos lo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71475"/>
                    </a:xfrm>
                    <a:prstGeom prst="rect">
                      <a:avLst/>
                    </a:prstGeom>
                  </pic:spPr>
                </pic:pic>
              </a:graphicData>
            </a:graphic>
          </wp:inline>
        </w:drawing>
      </w:r>
    </w:p>
    <w:p>
      <w:pPr>
        <w:spacing w:after="220"/>
        <w:jc w:val="center"/>
      </w:pPr>
      <w:r>
        <w:rPr>
          <w:b/>
          <w:bCs/>
          <w:i/>
          <w:iCs/>
          <w:color w:val="555555"/>
          <w:sz w:val="19"/>
          <w:szCs w:val="19"/>
        </w:rPr>
        <w:t xml:space="preserve">Figura 6. </w:t>
      </w:r>
      <w:r>
        <w:rPr>
          <w:i/>
          <w:iCs/>
          <w:color w:val="555555"/>
          <w:sz w:val="19"/>
          <w:szCs w:val="19"/>
        </w:rPr>
        <w:t xml:space="preserve">Los tres contenedores en ejecución y con estado healthy, con sus puertos locales.</w:t>
      </w:r>
    </w:p>
    <w:p>
      <w:pPr>
        <w:keepNext/>
        <w:spacing w:before="120" w:after="80"/>
        <w:jc w:val="center"/>
      </w:pPr>
      <w:r>
        <w:drawing>
          <wp:inline distT="0" distB="0" distL="0" distR="0">
            <wp:extent cx="5667375" cy="2105025"/>
            <wp:effectExtent t="0" r="0" b="0" l="0"/>
            <wp:docPr id="1" name="docker_desktop.png" descr="Vista de Docker Desktop: el proyecto bigdata-final con SQL Server (emulado, AMD64), Oracle y MongoDB." title="Vista de Docker Desktop: el proyecto bigdata-final con SQL Server (emulado, AMD64), Oracle y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105025"/>
                    </a:xfrm>
                    <a:prstGeom prst="rect">
                      <a:avLst/>
                    </a:prstGeom>
                  </pic:spPr>
                </pic:pic>
              </a:graphicData>
            </a:graphic>
          </wp:inline>
        </w:drawing>
      </w:r>
    </w:p>
    <w:p>
      <w:pPr>
        <w:spacing w:after="220"/>
        <w:jc w:val="center"/>
      </w:pPr>
      <w:r>
        <w:rPr>
          <w:b/>
          <w:bCs/>
          <w:i/>
          <w:iCs/>
          <w:color w:val="555555"/>
          <w:sz w:val="19"/>
          <w:szCs w:val="19"/>
        </w:rPr>
        <w:t xml:space="preserve">Figura 7. </w:t>
      </w:r>
      <w:r>
        <w:rPr>
          <w:i/>
          <w:iCs/>
          <w:color w:val="555555"/>
          <w:sz w:val="19"/>
          <w:szCs w:val="19"/>
        </w:rPr>
        <w:t xml:space="preserve">Vista de Docker Desktop: el proyecto bigdata-final con SQL Server (emulado, AMD64), Oracle y MongoDB.</w:t>
      </w:r>
    </w:p>
    <w:p>
      <w:pPr>
        <w:pStyle w:val="Heading1"/>
        <w:pageBreakBefore/>
        <w:spacing w:after="240"/>
      </w:pPr>
      <w:bookmarkStart w:name="h4" w:id="1"/>
      <w:r>
        <w:t xml:space="preserve">4. SQL Server y Northwind</w:t>
      </w:r>
      <w:bookmarkEnd w:id="1"/>
    </w:p>
    <w:p>
      <w:pPr>
        <w:pStyle w:val="Heading2"/>
        <w:keepNext/>
        <w:spacing w:before="280" w:after="120"/>
      </w:pPr>
      <w:r>
        <w:t xml:space="preserve">4.1 Descripción de la base de datos</w:t>
      </w:r>
    </w:p>
    <w:p>
      <w:pPr>
        <w:spacing w:after="120" w:line="276"/>
        <w:jc w:val="both"/>
      </w:pPr>
      <w:r>
        <w:t xml:space="preserve">Northwind es la base de ejemplo de Microsoft que modela una distribuidora de alimentos: clientes, empleados, pedidos, líneas de pedido, productos, categorías, proveedores y transportistas [1]. Sus pedidos cubren del 4 de julio de 1996 al 6 de mayo de 1998. El análisis usa la cadena Orders → Order Details → Products → Categories, junto con Orders → Customers y Orders → Employees; Products → Suppliers aporta el análisis de precios. Todas las uniones son de muchos a uno y se comprueba que conserven las 2,155 líneas.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rPr>
          <w:cantSplit/>
          <w:tblHeader/>
        </w:trPr>
        <w:tc>
          <w:tcPr>
            <w:tcW w:type="dxa" w:w="2880"/>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Tabla</w:t>
            </w:r>
          </w:p>
        </w:tc>
        <w:tc>
          <w:tcPr>
            <w:tcW w:type="dxa" w:w="1440"/>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Filas</w:t>
            </w:r>
          </w:p>
        </w:tc>
        <w:tc>
          <w:tcPr>
            <w:tcW w:type="dxa" w:w="5040"/>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Uso en el análisis</w:t>
            </w:r>
          </w:p>
        </w:tc>
      </w:tr>
      <w:tr>
        <w:trPr>
          <w:cantSplit/>
        </w:trPr>
        <w:tc>
          <w:tcPr>
            <w:tcW w:type="dxa" w:w="28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Orders</w:t>
            </w:r>
          </w:p>
        </w:tc>
        <w:tc>
          <w:tcPr>
            <w:tcW w:type="dxa" w:w="14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830</w:t>
            </w:r>
          </w:p>
        </w:tc>
        <w:tc>
          <w:tcPr>
            <w:tcW w:type="dxa" w:w="50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Fecha del pedido, cliente y empleado</w:t>
            </w:r>
          </w:p>
        </w:tc>
      </w:tr>
      <w:tr>
        <w:trPr>
          <w:cantSplit/>
        </w:trPr>
        <w:tc>
          <w:tcPr>
            <w:tcW w:type="dxa" w:w="28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Order Details</w:t>
            </w:r>
          </w:p>
        </w:tc>
        <w:tc>
          <w:tcPr>
            <w:tcW w:type="dxa" w:w="14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2,155</w:t>
            </w:r>
          </w:p>
        </w:tc>
        <w:tc>
          <w:tcPr>
            <w:tcW w:type="dxa" w:w="50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Precio histórico, cantidad y descuento</w:t>
            </w:r>
          </w:p>
        </w:tc>
      </w:tr>
      <w:tr>
        <w:trPr>
          <w:cantSplit/>
        </w:trPr>
        <w:tc>
          <w:tcPr>
            <w:tcW w:type="dxa" w:w="28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Customers</w:t>
            </w:r>
          </w:p>
        </w:tc>
        <w:tc>
          <w:tcPr>
            <w:tcW w:type="dxa" w:w="14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91</w:t>
            </w:r>
          </w:p>
        </w:tc>
        <w:tc>
          <w:tcPr>
            <w:tcW w:type="dxa" w:w="50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Empresa y país del cliente</w:t>
            </w:r>
          </w:p>
        </w:tc>
      </w:tr>
      <w:tr>
        <w:trPr>
          <w:cantSplit/>
        </w:trPr>
        <w:tc>
          <w:tcPr>
            <w:tcW w:type="dxa" w:w="28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Products / Categories</w:t>
            </w:r>
          </w:p>
        </w:tc>
        <w:tc>
          <w:tcPr>
            <w:tcW w:type="dxa" w:w="14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77 / 8</w:t>
            </w:r>
          </w:p>
        </w:tc>
        <w:tc>
          <w:tcPr>
            <w:tcW w:type="dxa" w:w="50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Catálogo y clasificación comercial</w:t>
            </w:r>
          </w:p>
        </w:tc>
      </w:tr>
      <w:tr>
        <w:trPr>
          <w:cantSplit/>
        </w:trPr>
        <w:tc>
          <w:tcPr>
            <w:tcW w:type="dxa" w:w="288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Employees / Suppliers</w:t>
            </w:r>
          </w:p>
        </w:tc>
        <w:tc>
          <w:tcPr>
            <w:tcW w:type="dxa" w:w="14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9 / 29</w:t>
            </w:r>
          </w:p>
        </w:tc>
        <w:tc>
          <w:tcPr>
            <w:tcW w:type="dxa" w:w="504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Ventas por empleado y precios por proveedor</w:t>
            </w:r>
          </w:p>
        </w:tc>
      </w:tr>
    </w:tbl>
    <w:p>
      <w:pPr>
        <w:spacing w:after="120"/>
      </w:pPr>
    </w:p>
    <w:p>
      <w:pPr>
        <w:pStyle w:val="Heading2"/>
        <w:keepNext/>
        <w:spacing w:before="280" w:after="120"/>
      </w:pPr>
      <w:r>
        <w:t xml:space="preserve">4.2 Instalación y carga</w:t>
      </w:r>
    </w:p>
    <w:p>
      <w:pPr>
        <w:spacing w:after="120" w:line="276"/>
        <w:jc w:val="left"/>
      </w:pPr>
      <w:r>
        <w:rPr>
          <w:rFonts w:ascii="Consolas" w:cs="Consolas" w:eastAsia="Consolas" w:hAnsi="Consolas"/>
          <w:sz w:val="19"/>
          <w:szCs w:val="19"/>
        </w:rPr>
        <w:t xml:space="preserve">lab.py iniciar sqlserver</w:t>
      </w:r>
      <w:r>
        <w:t xml:space="preserve"> crea el contenedor y espera a que el </w:t>
      </w:r>
      <w:r>
        <w:rPr>
          <w:i/>
          <w:iCs/>
        </w:rPr>
        <w:t xml:space="preserve">healthcheck</w:t>
      </w:r>
      <w:r>
        <w:t xml:space="preserve"> ejecute </w:t>
      </w:r>
      <w:r>
        <w:rPr>
          <w:rFonts w:ascii="Consolas" w:cs="Consolas" w:eastAsia="Consolas" w:hAnsi="Consolas"/>
          <w:sz w:val="19"/>
          <w:szCs w:val="19"/>
        </w:rPr>
        <w:t xml:space="preserve">SELECT 1</w:t>
      </w:r>
      <w:r>
        <w:t xml:space="preserve"> con sqlcmd. Después, </w:t>
      </w:r>
      <w:r>
        <w:rPr>
          <w:rFonts w:ascii="Consolas" w:cs="Consolas" w:eastAsia="Consolas" w:hAnsi="Consolas"/>
          <w:sz w:val="19"/>
          <w:szCs w:val="19"/>
        </w:rPr>
        <w:t xml:space="preserve">lab.py cargar sqlserver</w:t>
      </w:r>
      <w:r>
        <w:t xml:space="preserve"> crea la base vacía </w:t>
      </w:r>
      <w:r>
        <w:rPr>
          <w:rFonts w:ascii="Consolas" w:cs="Consolas" w:eastAsia="Consolas" w:hAnsi="Consolas"/>
          <w:sz w:val="19"/>
          <w:szCs w:val="19"/>
        </w:rPr>
        <w:t xml:space="preserve">Northwind</w:t>
      </w:r>
      <w:r>
        <w:t xml:space="preserve"> y ejecuta el script oficial </w:t>
      </w:r>
      <w:r>
        <w:rPr>
          <w:rFonts w:ascii="Consolas" w:cs="Consolas" w:eastAsia="Consolas" w:hAnsi="Consolas"/>
          <w:sz w:val="19"/>
          <w:szCs w:val="19"/>
        </w:rPr>
        <w:t xml:space="preserve">instnwnd.sql</w:t>
      </w:r>
      <w:r>
        <w:t xml:space="preserve">; al terminar verifica los conteos de las siete tablas principales.</w:t>
      </w:r>
    </w:p>
    <w:p>
      <w:pPr>
        <w:keepNext/>
        <w:spacing w:before="120" w:after="80"/>
        <w:jc w:val="center"/>
      </w:pPr>
      <w:r>
        <w:drawing>
          <wp:inline distT="0" distB="0" distL="0" distR="0">
            <wp:extent cx="5848350" cy="1304925"/>
            <wp:effectExtent t="0" r="0" b="0" l="0"/>
            <wp:docPr id="1" name="sql_iniciar.png" descr="Creación del contenedor de SQL Server y estado healthy en el puerto 1434." title="Creación del contenedor de SQL Server y estado healthy en el puerto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304925"/>
                    </a:xfrm>
                    <a:prstGeom prst="rect">
                      <a:avLst/>
                    </a:prstGeom>
                  </pic:spPr>
                </pic:pic>
              </a:graphicData>
            </a:graphic>
          </wp:inline>
        </w:drawing>
      </w:r>
    </w:p>
    <w:p>
      <w:pPr>
        <w:spacing w:after="220"/>
        <w:jc w:val="center"/>
      </w:pPr>
      <w:r>
        <w:rPr>
          <w:b/>
          <w:bCs/>
          <w:i/>
          <w:iCs/>
          <w:color w:val="555555"/>
          <w:sz w:val="19"/>
          <w:szCs w:val="19"/>
        </w:rPr>
        <w:t xml:space="preserve">Figura 8. </w:t>
      </w:r>
      <w:r>
        <w:rPr>
          <w:i/>
          <w:iCs/>
          <w:color w:val="555555"/>
          <w:sz w:val="19"/>
          <w:szCs w:val="19"/>
        </w:rPr>
        <w:t xml:space="preserve">Creación del contenedor de SQL Server y estado healthy en el puerto 1434.</w:t>
      </w:r>
    </w:p>
    <w:p>
      <w:pPr>
        <w:keepNext/>
        <w:spacing w:before="120" w:after="80"/>
        <w:jc w:val="center"/>
      </w:pPr>
      <w:r>
        <w:drawing>
          <wp:inline distT="0" distB="0" distL="0" distR="0">
            <wp:extent cx="4019550" cy="295275"/>
            <wp:effectExtent t="0" r="0" b="0" l="0"/>
            <wp:docPr id="1" name="carga_sqlserver.png" descr="Carga de Northwind: 830 pedidos y 2,155 líneas." title="Carga de Northwind: 830 pedidos y 2,155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295275"/>
                    </a:xfrm>
                    <a:prstGeom prst="rect">
                      <a:avLst/>
                    </a:prstGeom>
                  </pic:spPr>
                </pic:pic>
              </a:graphicData>
            </a:graphic>
          </wp:inline>
        </w:drawing>
      </w:r>
    </w:p>
    <w:p>
      <w:pPr>
        <w:spacing w:after="220"/>
        <w:jc w:val="center"/>
      </w:pPr>
      <w:r>
        <w:rPr>
          <w:b/>
          <w:bCs/>
          <w:i/>
          <w:iCs/>
          <w:color w:val="555555"/>
          <w:sz w:val="19"/>
          <w:szCs w:val="19"/>
        </w:rPr>
        <w:t xml:space="preserve">Figura 9. </w:t>
      </w:r>
      <w:r>
        <w:rPr>
          <w:i/>
          <w:iCs/>
          <w:color w:val="555555"/>
          <w:sz w:val="19"/>
          <w:szCs w:val="19"/>
        </w:rPr>
        <w:t xml:space="preserve">Carga de Northwind: 830 pedidos y 2,155 líneas.</w:t>
      </w:r>
    </w:p>
    <w:p>
      <w:pPr>
        <w:pStyle w:val="Heading2"/>
        <w:keepNext/>
        <w:spacing w:before="280" w:after="120"/>
      </w:pPr>
      <w:r>
        <w:t xml:space="preserve">4.3 Conexión ODBC y evidencia</w:t>
      </w:r>
    </w:p>
    <w:p>
      <w:pPr>
        <w:spacing w:after="120" w:line="276"/>
        <w:jc w:val="left"/>
      </w:pPr>
      <w:r>
        <w:t xml:space="preserve">La conexión usa </w:t>
      </w:r>
      <w:r>
        <w:rPr>
          <w:b/>
          <w:bCs/>
        </w:rPr>
        <w:t xml:space="preserve">pyodbc</w:t>
      </w:r>
      <w:r>
        <w:t xml:space="preserve"> con </w:t>
      </w:r>
      <w:r>
        <w:rPr>
          <w:b/>
          <w:bCs/>
        </w:rPr>
        <w:t xml:space="preserve">Microsoft ODBC Driver 18</w:t>
      </w:r>
      <w:r>
        <w:t xml:space="preserve">, con cifrado activo y confianza en el certificado autofirmado del laboratorio. La prueba consulta </w:t>
      </w:r>
      <w:r>
        <w:rPr>
          <w:rFonts w:ascii="Consolas" w:cs="Consolas" w:eastAsia="Consolas" w:hAnsi="Consolas"/>
          <w:sz w:val="19"/>
          <w:szCs w:val="19"/>
        </w:rPr>
        <w:t xml:space="preserve">DB_NAME()</w:t>
      </w:r>
      <w:r>
        <w:t xml:space="preserve"> y </w:t>
      </w:r>
      <w:r>
        <w:rPr>
          <w:rFonts w:ascii="Consolas" w:cs="Consolas" w:eastAsia="Consolas" w:hAnsi="Consolas"/>
          <w:sz w:val="19"/>
          <w:szCs w:val="19"/>
        </w:rPr>
        <w:t xml:space="preserve">COUNT(*)</w:t>
      </w:r>
      <w:r>
        <w:t xml:space="preserve"> de </w:t>
      </w:r>
      <w:r>
        <w:rPr>
          <w:rFonts w:ascii="Consolas" w:cs="Consolas" w:eastAsia="Consolas" w:hAnsi="Consolas"/>
          <w:sz w:val="19"/>
          <w:szCs w:val="19"/>
        </w:rPr>
        <w:t xml:space="preserve">dbo.Orders</w:t>
      </w:r>
      <w:r>
        <w:t xml:space="preserve">: devolvió la base Northwind con 830 pedidos. Última verificación registrada: 2026-10-12 00:41:35 UTC.</w:t>
      </w:r>
    </w:p>
    <w:p>
      <w:pPr>
        <w:keepNext/>
        <w:spacing w:before="120" w:after="80"/>
        <w:jc w:val="center"/>
      </w:pPr>
      <w:r>
        <w:drawing>
          <wp:inline distT="0" distB="0" distL="0" distR="0">
            <wp:extent cx="5848350" cy="542925"/>
            <wp:effectExtent t="0" r="0" b="0" l="0"/>
            <wp:docPr id="1" name="conexion_sqlserver.png" descr="Conexión exitosa a SQL Server mediante ODBC Driver 18 (CONEXIÓN VERIFICADA, 830 pedidos)." title="Conexión exitosa a SQL Server mediante ODBC Driver 18 (CONEXIÓN VERIFICADA, 830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542925"/>
                    </a:xfrm>
                    <a:prstGeom prst="rect">
                      <a:avLst/>
                    </a:prstGeom>
                  </pic:spPr>
                </pic:pic>
              </a:graphicData>
            </a:graphic>
          </wp:inline>
        </w:drawing>
      </w:r>
    </w:p>
    <w:p>
      <w:pPr>
        <w:spacing w:after="220"/>
        <w:jc w:val="center"/>
      </w:pPr>
      <w:r>
        <w:rPr>
          <w:b/>
          <w:bCs/>
          <w:i/>
          <w:iCs/>
          <w:color w:val="555555"/>
          <w:sz w:val="19"/>
          <w:szCs w:val="19"/>
        </w:rPr>
        <w:t xml:space="preserve">Figura 10. </w:t>
      </w:r>
      <w:r>
        <w:rPr>
          <w:i/>
          <w:iCs/>
          <w:color w:val="555555"/>
          <w:sz w:val="19"/>
          <w:szCs w:val="19"/>
        </w:rPr>
        <w:t xml:space="preserve">Conexión exitosa a SQL Server mediante ODBC Driver 18 (CONEXIÓN VERIFICADA, 830 pedidos).</w:t>
      </w:r>
    </w:p>
    <w:p>
      <w:pPr>
        <w:pStyle w:val="Heading2"/>
        <w:keepNext/>
        <w:spacing w:before="280" w:after="120"/>
      </w:pPr>
      <w:r>
        <w:t xml:space="preserve">4.4 Visualizaciones</w:t>
      </w:r>
    </w:p>
    <w:p>
      <w:pPr>
        <w:spacing w:after="120" w:line="276"/>
        <w:jc w:val="left"/>
      </w:pPr>
      <w:r>
        <w:t xml:space="preserve">Las diez figuras siguientes se calculan sobre las tablas extraídas de SQL Server. Las consultas equivalentes están en </w:t>
      </w:r>
      <w:r>
        <w:rPr>
          <w:rFonts w:ascii="Consolas" w:cs="Consolas" w:eastAsia="Consolas" w:hAnsi="Consolas"/>
          <w:sz w:val="19"/>
          <w:szCs w:val="19"/>
        </w:rPr>
        <w:t xml:space="preserve">sql/northwind.sql</w:t>
      </w:r>
      <w:r>
        <w:t xml:space="preserve">. Los importes son ventas netas (después de descuentos), sin costos, impuestos ni flete; julio de 1996 y mayo de 1998 son meses parciales.</w:t>
      </w:r>
    </w:p>
    <w:p>
      <w:pPr>
        <w:pStyle w:val="Heading3"/>
        <w:keepNext/>
        <w:spacing w:before="180" w:after="80"/>
      </w:pPr>
      <w:r>
        <w:t xml:space="preserve">N01 · Ventas mensuales y tendencia</w:t>
      </w:r>
    </w:p>
    <w:p>
      <w:pPr>
        <w:keepNext/>
        <w:spacing w:before="120" w:after="80"/>
        <w:jc w:val="center"/>
      </w:pPr>
      <w:r>
        <w:drawing>
          <wp:inline distT="0" distB="0" distL="0" distR="0">
            <wp:extent cx="5486400" cy="3095625"/>
            <wp:effectExtent t="0" r="0" b="0" l="0"/>
            <wp:docPr id="1" name="N01.png" descr="Ventas mensuales y tendencia (N01). Fuente: SQL Server / Northwind." title="Ventas mensuales y tendencia (N01).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11. </w:t>
      </w:r>
      <w:r>
        <w:rPr>
          <w:i/>
          <w:iCs/>
          <w:color w:val="555555"/>
          <w:sz w:val="19"/>
          <w:szCs w:val="19"/>
        </w:rPr>
        <w:t xml:space="preserve">Ventas mensuales y tendencia (N01). Fuente: SQL Server / Northwind.</w:t>
      </w:r>
    </w:p>
    <w:p>
      <w:pPr>
        <w:spacing w:after="120" w:line="276"/>
        <w:jc w:val="both"/>
      </w:pPr>
      <w:r>
        <w:rPr>
          <w:b/>
          <w:bCs/>
        </w:rPr>
        <w:t xml:space="preserve">Construcción.</w:t>
      </w:r>
      <w:r>
        <w:t xml:space="preserve"> Se suma precio de línea × cantidad × (1 - descuento) por mes. La tendencia promedia tres observaciones mensuales consecutivas; conserva los períodos parciales y requiere tres observaciones.</w:t>
      </w:r>
    </w:p>
    <w:p>
      <w:pPr>
        <w:spacing w:after="120" w:line="276"/>
        <w:jc w:val="both"/>
      </w:pPr>
      <w:r>
        <w:rPr>
          <w:b/>
          <w:bCs/>
        </w:rPr>
        <w:t xml:space="preserve">Resultado observado.</w:t>
      </w:r>
      <w:r>
        <w:t xml:space="preserve"> El total neto es 1,265,793.04; el máximo mensual corresponde a 1998-04, con 123,798.68.</w:t>
      </w:r>
    </w:p>
    <w:p>
      <w:pPr>
        <w:spacing w:after="120" w:line="276"/>
        <w:jc w:val="both"/>
      </w:pPr>
      <w:r>
        <w:rPr>
          <w:b/>
          <w:bCs/>
        </w:rPr>
        <w:t xml:space="preserve">Insight y decisión que apoya.</w:t>
      </w:r>
      <w:r>
        <w:t xml:space="preserve"> Ajustar inventario y capacidad para meses de mayor demanda, confirmando el patrón con un período más amplio.</w:t>
      </w:r>
    </w:p>
    <w:p>
      <w:pPr>
        <w:spacing w:after="120" w:line="276"/>
        <w:jc w:val="both"/>
      </w:pPr>
      <w:r>
        <w:rPr>
          <w:b/>
          <w:bCs/>
        </w:rPr>
        <w:t xml:space="preserve">Límite de interpretación.</w:t>
      </w:r>
      <w:r>
        <w:t xml:space="preserve"> Julio de 1996 y mayo de 1998 son períodos parciales. Las ventas no incluyen flete, impuestos ni costos. No se interpreta el último mes como caída económica.</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N01: ventas mensuales y media móvil de 3 meses.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WITH mensual AS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SELECT DATEFROMPARTS(YEAR(o.OrderDate),MONTH(o.OrderDate),1) AS mes,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SUM(CAST(d.UnitPrice AS decimal(18,4))*d.Quantity*(1-CAST(d.Discount AS decimal(9,4)))) AS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FROM dbo.Orders o JOIN dbo.[Order Details] d ON o.OrderID=d.OrderID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GROUP BY YEAR(o.OrderDate), MONTH(o.OrderDate))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mes,neto,CASE WHEN COUNT(*) OVER(ORDER BY mes ROWS BETWEEN 2 PRECEDING AND CURRENT</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ROW)=3</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THEN AVG(neto) OVER(ORDER BY mes ROWS BETWEEN 2 PRECEDING AND CURRENT ROW) END AS media_3m</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FROM mensual ORDER BY mes;</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monthly = d.groupby('month').net.sum()</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trend = monthly.rolling(3, min_periods=3).mean()</w:t>
      </w:r>
    </w:p>
    <w:p>
      <w:pPr>
        <w:pStyle w:val="Heading3"/>
        <w:keepNext/>
        <w:pageBreakBefore/>
        <w:spacing w:before="180" w:after="80"/>
      </w:pPr>
      <w:r>
        <w:t xml:space="preserve">N02 · Mapa de calor: categoría y país</w:t>
      </w:r>
    </w:p>
    <w:p>
      <w:pPr>
        <w:keepNext/>
        <w:spacing w:before="120" w:after="80"/>
        <w:jc w:val="center"/>
      </w:pPr>
      <w:r>
        <w:drawing>
          <wp:inline distT="0" distB="0" distL="0" distR="0">
            <wp:extent cx="5486400" cy="3105150"/>
            <wp:effectExtent t="0" r="0" b="0" l="0"/>
            <wp:docPr id="1" name="N02.png" descr="Mapa de calor: categoría y país (N02). Fuente: SQL Server / Northwind." title="Mapa de calor: categoría y país (N02).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105150"/>
                    </a:xfrm>
                    <a:prstGeom prst="rect">
                      <a:avLst/>
                    </a:prstGeom>
                  </pic:spPr>
                </pic:pic>
              </a:graphicData>
            </a:graphic>
          </wp:inline>
        </w:drawing>
      </w:r>
    </w:p>
    <w:p>
      <w:pPr>
        <w:spacing w:after="220"/>
        <w:jc w:val="center"/>
      </w:pPr>
      <w:r>
        <w:rPr>
          <w:b/>
          <w:bCs/>
          <w:i/>
          <w:iCs/>
          <w:color w:val="555555"/>
          <w:sz w:val="19"/>
          <w:szCs w:val="19"/>
        </w:rPr>
        <w:t xml:space="preserve">Figura 12. </w:t>
      </w:r>
      <w:r>
        <w:rPr>
          <w:i/>
          <w:iCs/>
          <w:color w:val="555555"/>
          <w:sz w:val="19"/>
          <w:szCs w:val="19"/>
        </w:rPr>
        <w:t xml:space="preserve">Mapa de calor: categoría y país (N02). Fuente: SQL Server / Northwind.</w:t>
      </w:r>
    </w:p>
    <w:p>
      <w:pPr>
        <w:spacing w:after="120" w:line="276"/>
        <w:jc w:val="both"/>
      </w:pPr>
      <w:r>
        <w:rPr>
          <w:b/>
          <w:bCs/>
        </w:rPr>
        <w:t xml:space="preserve">Construcción.</w:t>
      </w:r>
      <w:r>
        <w:t xml:space="preserve"> Se cruzan categorías con los ocho países con mayor venta neta. El color representa importe en miles; país es el domicilio del cliente.</w:t>
      </w:r>
    </w:p>
    <w:p>
      <w:pPr>
        <w:spacing w:after="120" w:line="276"/>
        <w:jc w:val="both"/>
      </w:pPr>
      <w:r>
        <w:rPr>
          <w:b/>
          <w:bCs/>
        </w:rPr>
        <w:t xml:space="preserve">Resultado observado.</w:t>
      </w:r>
      <w:r>
        <w:t xml:space="preserve"> Beverages lidera por categoría con 267,868.18, equivalente al 21.2% del total.</w:t>
      </w:r>
    </w:p>
    <w:p>
      <w:pPr>
        <w:spacing w:after="120" w:line="276"/>
        <w:jc w:val="both"/>
      </w:pPr>
      <w:r>
        <w:rPr>
          <w:b/>
          <w:bCs/>
        </w:rPr>
        <w:t xml:space="preserve">Insight y decisión que apoya.</w:t>
      </w:r>
      <w:r>
        <w:t xml:space="preserve"> Adaptar el portafolio a las combinaciones de mercado y categoría con mayor facturación.</w:t>
      </w:r>
    </w:p>
    <w:p>
      <w:pPr>
        <w:spacing w:after="120" w:line="276"/>
        <w:jc w:val="both"/>
      </w:pPr>
      <w:r>
        <w:rPr>
          <w:b/>
          <w:bCs/>
        </w:rPr>
        <w:t xml:space="preserve">Límite de interpretación.</w:t>
      </w:r>
      <w:r>
        <w:t xml:space="preserve"> No se incluye el resto de países en la matriz. Una celda elevada puede resultar de pocos pedidos grandes; no equivale a mayor penetración de mercado.</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N02: categoría por país del cliente; filtrar top 8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ca.CategoryName,c.Country,SUM(d.UnitPrice*d.Quantity*(1-d.Discount)) AS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FROM dbo.[Order Details] d JOIN dbo.Orders o ON d.OrderID=o.OrderID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JOIN dbo.Products p ON d.ProductID=p.ProductID JOIN dbo.Categories ca 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ca.CategoryID=p.CategoryID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JOIN dbo.Customers c ON c.CustomerID=o.CustomerID GROUP BY ca.CategoryName,c.Country;</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d.pivot_table(index='CategoryName', columns='Country',</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values='net', aggfunc='sum', fill_value=0)</w:t>
      </w:r>
    </w:p>
    <w:p>
      <w:pPr>
        <w:pStyle w:val="Heading3"/>
        <w:keepNext/>
        <w:pageBreakBefore/>
        <w:spacing w:before="180" w:after="80"/>
      </w:pPr>
      <w:r>
        <w:t xml:space="preserve">N03 · Top 10 clientes por volumen monetario</w:t>
      </w:r>
    </w:p>
    <w:p>
      <w:pPr>
        <w:keepNext/>
        <w:spacing w:before="120" w:after="80"/>
        <w:jc w:val="center"/>
      </w:pPr>
      <w:r>
        <w:drawing>
          <wp:inline distT="0" distB="0" distL="0" distR="0">
            <wp:extent cx="5486400" cy="3095625"/>
            <wp:effectExtent t="0" r="0" b="0" l="0"/>
            <wp:docPr id="1" name="N03.png" descr="Top 10 clientes por volumen monetario (N03). Fuente: SQL Server / Northwind." title="Top 10 clientes por volumen monetario (N03).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13. </w:t>
      </w:r>
      <w:r>
        <w:rPr>
          <w:i/>
          <w:iCs/>
          <w:color w:val="555555"/>
          <w:sz w:val="19"/>
          <w:szCs w:val="19"/>
        </w:rPr>
        <w:t xml:space="preserve">Top 10 clientes por volumen monetario (N03). Fuente: SQL Server / Northwind.</w:t>
      </w:r>
    </w:p>
    <w:p>
      <w:pPr>
        <w:spacing w:after="120" w:line="276"/>
        <w:jc w:val="both"/>
      </w:pPr>
      <w:r>
        <w:rPr>
          <w:b/>
          <w:bCs/>
        </w:rPr>
        <w:t xml:space="preserve">Construcción.</w:t>
      </w:r>
      <w:r>
        <w:t xml:space="preserve"> Se agrupan las líneas por cliente y se ordena la suma de venta neta. Volumen se define aquí como importe, no unidades.</w:t>
      </w:r>
    </w:p>
    <w:p>
      <w:pPr>
        <w:spacing w:after="120" w:line="276"/>
        <w:jc w:val="both"/>
      </w:pPr>
      <w:r>
        <w:rPr>
          <w:b/>
          <w:bCs/>
        </w:rPr>
        <w:t xml:space="preserve">Resultado observado.</w:t>
      </w:r>
      <w:r>
        <w:t xml:space="preserve"> QUICK-Stop encabeza las compras con 110,277.30. Los diez primeros concentran 45.0% de las ventas.</w:t>
      </w:r>
    </w:p>
    <w:p>
      <w:pPr>
        <w:spacing w:after="120" w:line="276"/>
        <w:jc w:val="both"/>
      </w:pPr>
      <w:r>
        <w:rPr>
          <w:b/>
          <w:bCs/>
        </w:rPr>
        <w:t xml:space="preserve">Insight y decisión que apoya.</w:t>
      </w:r>
      <w:r>
        <w:t xml:space="preserve"> Diseñar seguimiento de cuentas clave y evaluar riesgo de concentración.</w:t>
      </w:r>
    </w:p>
    <w:p>
      <w:pPr>
        <w:spacing w:after="120" w:line="276"/>
        <w:jc w:val="both"/>
      </w:pPr>
      <w:r>
        <w:rPr>
          <w:b/>
          <w:bCs/>
        </w:rPr>
        <w:t xml:space="preserve">Límite de interpretación.</w:t>
      </w:r>
      <w:r>
        <w:t xml:space="preserve"> El ranking histórico no mide fidelidad ni valor futuro. Dos clientes del catálogo no tienen pedidos y aportan cero al análisis comercial.</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N03: top clientes por importe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TOP (10) c.CustomerID,c.CompanyName,SUM(d.UnitPrice*d.Quantity*(1-d.Discount)) AS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FROM dbo.Orders o JOIN dbo.[Order Details] d ON d.OrderID=o.OrderID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JOIN dbo.Customers c ON c.CustomerID=o.CustomerID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GROUP BY c.CustomerID,c.CompanyName ORDER BY neto DESC,c.CustomerID;</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val="false"/>
        <w:keepLines/>
        <w:pBdr>
          <w:left w:val="single" w:color="3A5F8A" w:sz="12" w:space="6"/>
        </w:pBdr>
        <w:shd w:fill="F3F4F6" w:color="auto" w:val="clear"/>
        <w:spacing w:before="80" w:after="180" w:line="240"/>
        <w:ind w:left="180"/>
      </w:pPr>
      <w:r>
        <w:rPr>
          <w:rFonts w:ascii="Consolas" w:cs="Consolas" w:eastAsia="Consolas" w:hAnsi="Consolas"/>
          <w:sz w:val="17"/>
          <w:szCs w:val="17"/>
        </w:rPr>
        <w:t xml:space="preserve">clients = d.groupby('CompanyName').net.sum().nlargest(10)</w:t>
      </w:r>
    </w:p>
    <w:p>
      <w:pPr>
        <w:pStyle w:val="Heading3"/>
        <w:keepNext/>
        <w:pageBreakBefore/>
        <w:spacing w:before="180" w:after="80"/>
      </w:pPr>
      <w:r>
        <w:t xml:space="preserve">N04 · Evolución de ventas trimestrales</w:t>
      </w:r>
    </w:p>
    <w:p>
      <w:pPr>
        <w:keepNext/>
        <w:spacing w:before="120" w:after="80"/>
        <w:jc w:val="center"/>
      </w:pPr>
      <w:r>
        <w:drawing>
          <wp:inline distT="0" distB="0" distL="0" distR="0">
            <wp:extent cx="5486400" cy="3095625"/>
            <wp:effectExtent t="0" r="0" b="0" l="0"/>
            <wp:docPr id="1" name="N04.png" descr="Evolución de ventas trimestrales (N04). Fuente: SQL Server / Northwind." title="Evolución de ventas trimestrales (N04).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14. </w:t>
      </w:r>
      <w:r>
        <w:rPr>
          <w:i/>
          <w:iCs/>
          <w:color w:val="555555"/>
          <w:sz w:val="19"/>
          <w:szCs w:val="19"/>
        </w:rPr>
        <w:t xml:space="preserve">Evolución de ventas trimestrales (N04). Fuente: SQL Server / Northwind.</w:t>
      </w:r>
    </w:p>
    <w:p>
      <w:pPr>
        <w:spacing w:after="120" w:line="276"/>
        <w:jc w:val="both"/>
      </w:pPr>
      <w:r>
        <w:rPr>
          <w:b/>
          <w:bCs/>
        </w:rPr>
        <w:t xml:space="preserve">Construcción.</w:t>
      </w:r>
      <w:r>
        <w:t xml:space="preserve"> Cada pedido se asigna al trimestre de OrderDate; la suma se calcula a partir de líneas, sin multiplicar pedidos por uniones adicionales.</w:t>
      </w:r>
    </w:p>
    <w:p>
      <w:pPr>
        <w:spacing w:after="120" w:line="276"/>
        <w:jc w:val="both"/>
      </w:pPr>
      <w:r>
        <w:rPr>
          <w:b/>
          <w:bCs/>
        </w:rPr>
        <w:t xml:space="preserve">Resultado observado.</w:t>
      </w:r>
      <w:r>
        <w:t xml:space="preserve"> El trimestre de mayor importe es 1998Q1, con 298,491.55.</w:t>
      </w:r>
    </w:p>
    <w:p>
      <w:pPr>
        <w:spacing w:after="120" w:line="276"/>
        <w:jc w:val="both"/>
      </w:pPr>
      <w:r>
        <w:rPr>
          <w:b/>
          <w:bCs/>
        </w:rPr>
        <w:t xml:space="preserve">Insight y decisión que apoya.</w:t>
      </w:r>
      <w:r>
        <w:t xml:space="preserve"> Comparar los trimestres completos de 1997 antes de utilizar la serie para presupuestar.</w:t>
      </w:r>
    </w:p>
    <w:p>
      <w:pPr>
        <w:spacing w:after="120" w:line="276"/>
        <w:jc w:val="both"/>
      </w:pPr>
      <w:r>
        <w:rPr>
          <w:b/>
          <w:bCs/>
        </w:rPr>
        <w:t xml:space="preserve">Límite de interpretación.</w:t>
      </w:r>
      <w:r>
        <w:t xml:space="preserve"> 1996-Q3 y 1998-Q2 tienen cobertura parcial. Una diferencia de duración impide compararlos directamente con trimestres completos.</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N04: trimestre; cobertura parcial se documenta en el informe.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YEAR(o.OrderDate) AS anio,DATEPART(QUARTER,o.OrderDate) AS trimestre,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SUM(d.UnitPrice*d.Quantity*(1-d.Discount)) AS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FROM dbo.Orders o JOIN dbo.[Order Details] d ON d.OrderID=o.OrderID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GROUP BY YEAR(o.OrderDate),DATEPART(QUARTER,o.OrderDate) ORDER BY anio,trimestre;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q = d.assign(quarter=d.OrderDate.dt.to_period('Q').astype(str))</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q = q.groupby('quarter').net.sum()</w:t>
      </w:r>
    </w:p>
    <w:p>
      <w:pPr>
        <w:pStyle w:val="Heading3"/>
        <w:keepNext/>
        <w:pageBreakBefore/>
        <w:spacing w:before="180" w:after="80"/>
      </w:pPr>
      <w:r>
        <w:t xml:space="preserve">N05 · Treemap de productos por categoría</w:t>
      </w:r>
    </w:p>
    <w:p>
      <w:pPr>
        <w:keepNext/>
        <w:spacing w:before="120" w:after="80"/>
        <w:jc w:val="center"/>
      </w:pPr>
      <w:r>
        <w:drawing>
          <wp:inline distT="0" distB="0" distL="0" distR="0">
            <wp:extent cx="5486400" cy="3095625"/>
            <wp:effectExtent t="0" r="0" b="0" l="0"/>
            <wp:docPr id="1" name="N05.png" descr="Treemap de productos por categoría (N05). Fuente: SQL Server / Northwind." title="Treemap de productos por categoría (N05).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15. </w:t>
      </w:r>
      <w:r>
        <w:rPr>
          <w:i/>
          <w:iCs/>
          <w:color w:val="555555"/>
          <w:sz w:val="19"/>
          <w:szCs w:val="19"/>
        </w:rPr>
        <w:t xml:space="preserve">Treemap de productos por categoría (N05). Fuente: SQL Server / Northwind.</w:t>
      </w:r>
    </w:p>
    <w:p>
      <w:pPr>
        <w:spacing w:after="120" w:line="276"/>
        <w:jc w:val="both"/>
      </w:pPr>
      <w:r>
        <w:rPr>
          <w:b/>
          <w:bCs/>
        </w:rPr>
        <w:t xml:space="preserve">Construcción.</w:t>
      </w:r>
      <w:r>
        <w:t xml:space="preserve"> Cada área es proporcional a venta neta. Los productos se anidan en sus categorías; el dashboard permite abrir cada categoría.</w:t>
      </w:r>
    </w:p>
    <w:p>
      <w:pPr>
        <w:spacing w:after="120" w:line="276"/>
        <w:jc w:val="both"/>
      </w:pPr>
      <w:r>
        <w:rPr>
          <w:b/>
          <w:bCs/>
        </w:rPr>
        <w:t xml:space="preserve">Resultado observado.</w:t>
      </w:r>
      <w:r>
        <w:t xml:space="preserve"> Côte de Blaye aporta 141,396.73, el mayor importe de un producto de la muestra.</w:t>
      </w:r>
    </w:p>
    <w:p>
      <w:pPr>
        <w:spacing w:after="120" w:line="276"/>
        <w:jc w:val="both"/>
      </w:pPr>
      <w:r>
        <w:rPr>
          <w:b/>
          <w:bCs/>
        </w:rPr>
        <w:t xml:space="preserve">Insight y decisión que apoya.</w:t>
      </w:r>
      <w:r>
        <w:t xml:space="preserve"> Priorizar disponibilidad de productos de gran contribución y contrastar su margen cuando se disponga de costos.</w:t>
      </w:r>
    </w:p>
    <w:p>
      <w:pPr>
        <w:spacing w:after="120" w:line="276"/>
        <w:jc w:val="both"/>
      </w:pPr>
      <w:r>
        <w:rPr>
          <w:b/>
          <w:bCs/>
        </w:rPr>
        <w:t xml:space="preserve">Límite de interpretación.</w:t>
      </w:r>
      <w:r>
        <w:t xml:space="preserve"> La muestra no contiene costo de compra ni utilidad. Este gráfico mide contribución a ingresos y no rentabilidad.</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N05: treemap; ingresos, no utilidad.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ca.CategoryName,p.ProductName,SUM(d.UnitPrice*d.Quantity*(1-d.Discount)) AS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FROM dbo.[Order Details] d JOIN dbo.Products p ON p.ProductID=d.ProductID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JOIN dbo.Categories ca ON ca.CategoryID=p.CategoryID GROUP BY ca.CategoryName,p.ProductName;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prod = d.groupby(['CategoryName','ProductName'], as_index=False).net.sum()</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px.treemap(prod, path=['CategoryName','ProductName'], values='net')</w:t>
      </w:r>
    </w:p>
    <w:p>
      <w:pPr>
        <w:pStyle w:val="Heading3"/>
        <w:keepNext/>
        <w:pageBreakBefore/>
        <w:spacing w:before="180" w:after="80"/>
      </w:pPr>
      <w:r>
        <w:t xml:space="preserve">N06 · Dispersión: descuento y cantidad</w:t>
      </w:r>
    </w:p>
    <w:p>
      <w:pPr>
        <w:keepNext/>
        <w:spacing w:before="120" w:after="80"/>
        <w:jc w:val="center"/>
      </w:pPr>
      <w:r>
        <w:drawing>
          <wp:inline distT="0" distB="0" distL="0" distR="0">
            <wp:extent cx="5486400" cy="3095625"/>
            <wp:effectExtent t="0" r="0" b="0" l="0"/>
            <wp:docPr id="1" name="N06.png" descr="Dispersión: descuento y cantidad (N06). Fuente: SQL Server / Northwind." title="Dispersión: descuento y cantidad (N06).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16. </w:t>
      </w:r>
      <w:r>
        <w:rPr>
          <w:i/>
          <w:iCs/>
          <w:color w:val="555555"/>
          <w:sz w:val="19"/>
          <w:szCs w:val="19"/>
        </w:rPr>
        <w:t xml:space="preserve">Dispersión: descuento y cantidad (N06). Fuente: SQL Server / Northwind.</w:t>
      </w:r>
    </w:p>
    <w:p>
      <w:pPr>
        <w:spacing w:after="120" w:line="276"/>
        <w:jc w:val="both"/>
      </w:pPr>
      <w:r>
        <w:rPr>
          <w:b/>
          <w:bCs/>
        </w:rPr>
        <w:t xml:space="preserve">Construcción.</w:t>
      </w:r>
      <w:r>
        <w:t xml:space="preserve"> Cada punto corresponde a una línea. Se calcula Pearson entre descuento fraccional y cantidad; los descuentos repetidos producen columnas de puntos.</w:t>
      </w:r>
    </w:p>
    <w:p>
      <w:pPr>
        <w:spacing w:after="120" w:line="276"/>
        <w:jc w:val="both"/>
      </w:pPr>
      <w:r>
        <w:rPr>
          <w:b/>
          <w:bCs/>
        </w:rPr>
        <w:t xml:space="preserve">Resultado observado.</w:t>
      </w:r>
      <w:r>
        <w:t xml:space="preserve"> La correlación observada es r = 0.129 en 2,155 líneas.</w:t>
      </w:r>
    </w:p>
    <w:p>
      <w:pPr>
        <w:spacing w:after="120" w:line="276"/>
        <w:jc w:val="both"/>
      </w:pPr>
      <w:r>
        <w:rPr>
          <w:b/>
          <w:bCs/>
        </w:rPr>
        <w:t xml:space="preserve">Insight y decisión que apoya.</w:t>
      </w:r>
      <w:r>
        <w:t xml:space="preserve"> Explorar descuentos por producto y cliente antes de evaluar una política promocional.</w:t>
      </w:r>
    </w:p>
    <w:p>
      <w:pPr>
        <w:spacing w:after="120" w:line="276"/>
        <w:jc w:val="both"/>
      </w:pPr>
      <w:r>
        <w:rPr>
          <w:b/>
          <w:bCs/>
        </w:rPr>
        <w:t xml:space="preserve">Límite de interpretación.</w:t>
      </w:r>
      <w:r>
        <w:t xml:space="preserve"> Una asociación no prueba que el descuento cause más ventas. Mezcla categorías, productos y condiciones de compra.</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N06: observaciones para dispersión, una fila por línea.</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d.OrderID,d.ProductID,d.Discount,d.Quantity,ca.CategoryName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FROM dbo.[Order Details] d JOIN dbo.Products p ON p.ProductID=d.ProductID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JOIN dbo.Categories ca ON ca.CategoryID=p.CategoryID;</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r = d.Discount.corr(d.Quantity)</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px.scatter(d, x='Discount', y='Quantity', color='CategoryName')</w:t>
      </w:r>
    </w:p>
    <w:p>
      <w:pPr>
        <w:pStyle w:val="Heading3"/>
        <w:keepNext/>
        <w:pageBreakBefore/>
        <w:spacing w:before="180" w:after="80"/>
      </w:pPr>
      <w:r>
        <w:t xml:space="preserve">N07 · Distribución de países de clientes</w:t>
      </w:r>
    </w:p>
    <w:p>
      <w:pPr>
        <w:keepNext/>
        <w:spacing w:before="120" w:after="80"/>
        <w:jc w:val="center"/>
      </w:pPr>
      <w:r>
        <w:drawing>
          <wp:inline distT="0" distB="0" distL="0" distR="0">
            <wp:extent cx="3162300" cy="3295650"/>
            <wp:effectExtent t="0" r="0" b="0" l="0"/>
            <wp:docPr id="1" name="N07.png" descr="Distribución de países de clientes (N07). Fuente: SQL Server / Northwind." title="Distribución de países de clientes (N07).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62300" cy="3295650"/>
                    </a:xfrm>
                    <a:prstGeom prst="rect">
                      <a:avLst/>
                    </a:prstGeom>
                  </pic:spPr>
                </pic:pic>
              </a:graphicData>
            </a:graphic>
          </wp:inline>
        </w:drawing>
      </w:r>
    </w:p>
    <w:p>
      <w:pPr>
        <w:spacing w:after="220"/>
        <w:jc w:val="center"/>
      </w:pPr>
      <w:r>
        <w:rPr>
          <w:b/>
          <w:bCs/>
          <w:i/>
          <w:iCs/>
          <w:color w:val="555555"/>
          <w:sz w:val="19"/>
          <w:szCs w:val="19"/>
        </w:rPr>
        <w:t xml:space="preserve">Figura 17. </w:t>
      </w:r>
      <w:r>
        <w:rPr>
          <w:i/>
          <w:iCs/>
          <w:color w:val="555555"/>
          <w:sz w:val="19"/>
          <w:szCs w:val="19"/>
        </w:rPr>
        <w:t xml:space="preserve">Distribución de países de clientes (N07). Fuente: SQL Server / Northwind.</w:t>
      </w:r>
    </w:p>
    <w:p>
      <w:pPr>
        <w:spacing w:after="120" w:line="276"/>
        <w:jc w:val="both"/>
      </w:pPr>
      <w:r>
        <w:rPr>
          <w:b/>
          <w:bCs/>
        </w:rPr>
        <w:t xml:space="preserve">Construcción.</w:t>
      </w:r>
      <w:r>
        <w:t xml:space="preserve"> Se cuenta cada CustomerID del catálogo una vez. Los siete países con más clientes se muestran por separado y los demás se agrupan en Otros.</w:t>
      </w:r>
    </w:p>
    <w:p>
      <w:pPr>
        <w:spacing w:after="120" w:line="276"/>
        <w:jc w:val="both"/>
      </w:pPr>
      <w:r>
        <w:rPr>
          <w:b/>
          <w:bCs/>
        </w:rPr>
        <w:t xml:space="preserve">Resultado observado.</w:t>
      </w:r>
      <w:r>
        <w:t xml:space="preserve"> Hay 91 clientes de 21 países. USA tiene 13 clientes (14.3%).</w:t>
      </w:r>
    </w:p>
    <w:p>
      <w:pPr>
        <w:spacing w:after="120" w:line="276"/>
        <w:jc w:val="both"/>
      </w:pPr>
      <w:r>
        <w:rPr>
          <w:b/>
          <w:bCs/>
        </w:rPr>
        <w:t xml:space="preserve">Insight y decisión que apoya.</w:t>
      </w:r>
      <w:r>
        <w:t xml:space="preserve"> Usar la distribución para contextualizar la cobertura comercial junto con importes de venta.</w:t>
      </w:r>
    </w:p>
    <w:p>
      <w:pPr>
        <w:spacing w:after="120" w:line="276"/>
        <w:jc w:val="both"/>
      </w:pPr>
      <w:r>
        <w:rPr>
          <w:b/>
          <w:bCs/>
        </w:rPr>
        <w:t xml:space="preserve">Límite de interpretación.</w:t>
      </w:r>
      <w:r>
        <w:t xml:space="preserve"> Representa clientes registrados; no población, participación de mercado ni clientes activos. Otros combina países distintos.</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N07: catálogo de clientes (incluye aquellos sin pedidos).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Country,COUNT(*) AS clientes FROM dbo.Customers GROUP BY Country ORDER BY clientes</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DESC;</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val="false"/>
        <w:keepLines/>
        <w:pBdr>
          <w:left w:val="single" w:color="3A5F8A" w:sz="12" w:space="6"/>
        </w:pBdr>
        <w:shd w:fill="F3F4F6" w:color="auto" w:val="clear"/>
        <w:spacing w:before="80" w:after="180" w:line="240"/>
        <w:ind w:left="180"/>
      </w:pPr>
      <w:r>
        <w:rPr>
          <w:rFonts w:ascii="Consolas" w:cs="Consolas" w:eastAsia="Consolas" w:hAnsi="Consolas"/>
          <w:sz w:val="17"/>
          <w:szCs w:val="17"/>
        </w:rPr>
        <w:t xml:space="preserve">c = customers.groupby('Country').size()</w:t>
      </w:r>
    </w:p>
    <w:p>
      <w:pPr>
        <w:pStyle w:val="Heading3"/>
        <w:keepNext/>
        <w:pageBreakBefore/>
        <w:spacing w:before="180" w:after="80"/>
      </w:pPr>
      <w:r>
        <w:t xml:space="preserve">N08 · Box plot de precios por proveedor</w:t>
      </w:r>
    </w:p>
    <w:p>
      <w:pPr>
        <w:keepNext/>
        <w:spacing w:before="120" w:after="80"/>
        <w:jc w:val="center"/>
      </w:pPr>
      <w:r>
        <w:drawing>
          <wp:inline distT="0" distB="0" distL="0" distR="0">
            <wp:extent cx="5486400" cy="3095625"/>
            <wp:effectExtent t="0" r="0" b="0" l="0"/>
            <wp:docPr id="1" name="N08.png" descr="Box plot de precios por proveedor (N08). Fuente: SQL Server / Northwind." title="Box plot de precios por proveedor (N08).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18. </w:t>
      </w:r>
      <w:r>
        <w:rPr>
          <w:i/>
          <w:iCs/>
          <w:color w:val="555555"/>
          <w:sz w:val="19"/>
          <w:szCs w:val="19"/>
        </w:rPr>
        <w:t xml:space="preserve">Box plot de precios por proveedor (N08). Fuente: SQL Server / Northwind.</w:t>
      </w:r>
    </w:p>
    <w:p>
      <w:pPr>
        <w:spacing w:after="120" w:line="276"/>
        <w:jc w:val="both"/>
      </w:pPr>
      <w:r>
        <w:rPr>
          <w:b/>
          <w:bCs/>
        </w:rPr>
        <w:t xml:space="preserve">Construcción.</w:t>
      </w:r>
      <w:r>
        <w:t xml:space="preserve"> Se usa Products.UnitPrice, distinto del precio histórico de cada venta. Se eligen ocho proveedores por cantidad de productos y se muestran mediana, cuartiles y puntos extremos.</w:t>
      </w:r>
    </w:p>
    <w:p>
      <w:pPr>
        <w:spacing w:after="120" w:line="276"/>
        <w:jc w:val="both"/>
      </w:pPr>
      <w:r>
        <w:rPr>
          <w:b/>
          <w:bCs/>
        </w:rPr>
        <w:t xml:space="preserve">Resultado observado.</w:t>
      </w:r>
      <w:r>
        <w:t xml:space="preserve"> El catálogo contiene 77 productos y 29 proveedores; el precio mediano es 19.50.</w:t>
      </w:r>
    </w:p>
    <w:p>
      <w:pPr>
        <w:spacing w:after="120" w:line="276"/>
        <w:jc w:val="both"/>
      </w:pPr>
      <w:r>
        <w:rPr>
          <w:b/>
          <w:bCs/>
        </w:rPr>
        <w:t xml:space="preserve">Insight y decisión que apoya.</w:t>
      </w:r>
      <w:r>
        <w:t xml:space="preserve"> Revisar proveedores con dispersión elevada para entender mezcla y posicionamiento del portafolio.</w:t>
      </w:r>
    </w:p>
    <w:p>
      <w:pPr>
        <w:spacing w:after="120" w:line="276"/>
        <w:jc w:val="both"/>
      </w:pPr>
      <w:r>
        <w:rPr>
          <w:b/>
          <w:bCs/>
        </w:rPr>
        <w:t xml:space="preserve">Límite de interpretación.</w:t>
      </w:r>
      <w:r>
        <w:t xml:space="preserve"> Las muestras por proveedor son pequeñas y las categorías difieren. Un precio extremo no es automáticamente un error.</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N08: precios del catálogo por proveedor.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s.CompanyName,p.ProductID,p.UnitPrice FROM dbo.Products p</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JOIN dbo.Suppliers s ON s.SupplierID=p.SupplierID;</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sub = products.merge(suppliers, on='SupplierID')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px.box(sub, x='UnitPrice', y='CompanyName', points='all')</w:t>
      </w:r>
    </w:p>
    <w:p>
      <w:pPr>
        <w:pStyle w:val="Heading3"/>
        <w:keepNext/>
        <w:pageBreakBefore/>
        <w:spacing w:before="180" w:after="80"/>
      </w:pPr>
      <w:r>
        <w:t xml:space="preserve">N09 · Áreas: ventas acumuladas por empleado</w:t>
      </w:r>
    </w:p>
    <w:p>
      <w:pPr>
        <w:keepNext/>
        <w:spacing w:before="120" w:after="80"/>
        <w:jc w:val="center"/>
      </w:pPr>
      <w:r>
        <w:drawing>
          <wp:inline distT="0" distB="0" distL="0" distR="0">
            <wp:extent cx="5486400" cy="3095625"/>
            <wp:effectExtent t="0" r="0" b="0" l="0"/>
            <wp:docPr id="1" name="N09.png" descr="Áreas: ventas acumuladas por empleado (N09). Fuente: SQL Server / Northwind." title="Áreas: ventas acumuladas por empleado (N09).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19. </w:t>
      </w:r>
      <w:r>
        <w:rPr>
          <w:i/>
          <w:iCs/>
          <w:color w:val="555555"/>
          <w:sz w:val="19"/>
          <w:szCs w:val="19"/>
        </w:rPr>
        <w:t xml:space="preserve">Áreas: ventas acumuladas por empleado (N09). Fuente: SQL Server / Northwind.</w:t>
      </w:r>
    </w:p>
    <w:p>
      <w:pPr>
        <w:spacing w:after="120" w:line="276"/>
        <w:jc w:val="both"/>
      </w:pPr>
      <w:r>
        <w:rPr>
          <w:b/>
          <w:bCs/>
        </w:rPr>
        <w:t xml:space="preserve">Construcción.</w:t>
      </w:r>
      <w:r>
        <w:t xml:space="preserve"> Se suman las ventas por empleado y mes, se completan celdas ausentes con cero y se aplica acumulado temporal. Las áreas se apilan; el valor individual es el espesor de cada banda.</w:t>
      </w:r>
    </w:p>
    <w:p>
      <w:pPr>
        <w:spacing w:after="120" w:line="276"/>
        <w:jc w:val="both"/>
      </w:pPr>
      <w:r>
        <w:rPr>
          <w:b/>
          <w:bCs/>
        </w:rPr>
        <w:t xml:space="preserve">Resultado observado.</w:t>
      </w:r>
      <w:r>
        <w:t xml:space="preserve"> Margaret Peacock registra 232,890.85, equivalente al 18.4% del importe neto.</w:t>
      </w:r>
    </w:p>
    <w:p>
      <w:pPr>
        <w:spacing w:after="120" w:line="276"/>
        <w:jc w:val="both"/>
      </w:pPr>
      <w:r>
        <w:rPr>
          <w:b/>
          <w:bCs/>
        </w:rPr>
        <w:t xml:space="preserve">Insight y decisión que apoya.</w:t>
      </w:r>
      <w:r>
        <w:t xml:space="preserve"> Combinar la contribución con número de pedidos, cartera asignada y metas para evaluar desempeño.</w:t>
      </w:r>
    </w:p>
    <w:p>
      <w:pPr>
        <w:spacing w:after="120" w:line="276"/>
        <w:jc w:val="both"/>
      </w:pPr>
      <w:r>
        <w:rPr>
          <w:b/>
          <w:bCs/>
        </w:rPr>
        <w:t xml:space="preserve">Límite de interpretación.</w:t>
      </w:r>
      <w:r>
        <w:t xml:space="preserve"> La posición superior de una banda no representa su valor individual. Las ventas no miden productividad ajustada por oportunidades.</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N09: acumulado individual, apilar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WITH mensual AS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SELECT o.EmployeeID,DATEFROMPARTS(YEAR(o.OrderDate),MONTH(o.OrderDate),1) AS mes,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SUM(d.UnitPrice*d.Quantity*(1-d.Discount)) AS neto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FROM dbo.Orders o JOIN dbo.[Order Details] d ON d.OrderID=o.OrderID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GROUP BY o.EmployeeID,YEAR(o.OrderDate),MONTH(o.OrderDate))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EmployeeID,mes,neto,SUM(neto) OVER(PARTITION BY EmployeeID ORDER BY mes ROWS UNBOUNDED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PRECEDING) AS acumulado</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FROM mensual ORDER BY EmployeeID,mes;</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emp = d.pivot_table(index='month', columns='employee',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values='net', aggfunc='sum', fill_value=0).cumsum()</w:t>
      </w:r>
    </w:p>
    <w:p>
      <w:pPr>
        <w:pStyle w:val="Heading3"/>
        <w:keepNext/>
        <w:pageBreakBefore/>
        <w:spacing w:before="180" w:after="80"/>
      </w:pPr>
      <w:r>
        <w:t xml:space="preserve">N10 · Heatmap temporal de pedidos</w:t>
      </w:r>
    </w:p>
    <w:p>
      <w:pPr>
        <w:keepNext/>
        <w:spacing w:before="120" w:after="80"/>
        <w:jc w:val="center"/>
      </w:pPr>
      <w:r>
        <w:drawing>
          <wp:inline distT="0" distB="0" distL="0" distR="0">
            <wp:extent cx="5486400" cy="3105150"/>
            <wp:effectExtent t="0" r="0" b="0" l="0"/>
            <wp:docPr id="1" name="N10.png" descr="Heatmap temporal de pedidos (N10). Fuente: SQL Server / Northwind." title="Heatmap temporal de pedidos (N10). Fuente: SQL Server /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105150"/>
                    </a:xfrm>
                    <a:prstGeom prst="rect">
                      <a:avLst/>
                    </a:prstGeom>
                  </pic:spPr>
                </pic:pic>
              </a:graphicData>
            </a:graphic>
          </wp:inline>
        </w:drawing>
      </w:r>
    </w:p>
    <w:p>
      <w:pPr>
        <w:spacing w:after="220"/>
        <w:jc w:val="center"/>
      </w:pPr>
      <w:r>
        <w:rPr>
          <w:b/>
          <w:bCs/>
          <w:i/>
          <w:iCs/>
          <w:color w:val="555555"/>
          <w:sz w:val="19"/>
          <w:szCs w:val="19"/>
        </w:rPr>
        <w:t xml:space="preserve">Figura 20. </w:t>
      </w:r>
      <w:r>
        <w:rPr>
          <w:i/>
          <w:iCs/>
          <w:color w:val="555555"/>
          <w:sz w:val="19"/>
          <w:szCs w:val="19"/>
        </w:rPr>
        <w:t xml:space="preserve">Heatmap temporal de pedidos (N10). Fuente: SQL Server / Northwind.</w:t>
      </w:r>
    </w:p>
    <w:p>
      <w:pPr>
        <w:spacing w:after="120" w:line="276"/>
        <w:jc w:val="both"/>
      </w:pPr>
      <w:r>
        <w:rPr>
          <w:b/>
          <w:bCs/>
        </w:rPr>
        <w:t xml:space="preserve">Construcción.</w:t>
      </w:r>
      <w:r>
        <w:t xml:space="preserve"> Se cuenta Orders.OrderID en la tabla de pedidos, una sola vez, por mes y día de semana. Se incluyen fines de semana con cero.</w:t>
      </w:r>
    </w:p>
    <w:p>
      <w:pPr>
        <w:spacing w:after="120" w:line="276"/>
        <w:jc w:val="both"/>
      </w:pPr>
      <w:r>
        <w:rPr>
          <w:b/>
          <w:bCs/>
        </w:rPr>
        <w:t xml:space="preserve">Resultado observado.</w:t>
      </w:r>
      <w:r>
        <w:t xml:space="preserve"> Hay 830 pedidos únicos. Mar acumula 168 pedidos, el mayor conteo por día de semana.</w:t>
      </w:r>
    </w:p>
    <w:p>
      <w:pPr>
        <w:spacing w:after="120" w:line="276"/>
        <w:jc w:val="both"/>
      </w:pPr>
      <w:r>
        <w:rPr>
          <w:b/>
          <w:bCs/>
        </w:rPr>
        <w:t xml:space="preserve">Insight y decisión que apoya.</w:t>
      </w:r>
      <w:r>
        <w:t xml:space="preserve"> Planificar personal para los días con más actividad de registro, contrastando pedidos y tiempo de procesamiento.</w:t>
      </w:r>
    </w:p>
    <w:p>
      <w:pPr>
        <w:spacing w:after="120" w:line="276"/>
        <w:jc w:val="both"/>
      </w:pPr>
      <w:r>
        <w:rPr>
          <w:b/>
          <w:bCs/>
        </w:rPr>
        <w:t xml:space="preserve">Límite de interpretación.</w:t>
      </w:r>
      <w:r>
        <w:t xml:space="preserve"> El conteo agregado no ajusta por cuántas veces aparece cada día en cada mes. No representa hora de compra ni fecha de entrega.</w:t>
      </w:r>
    </w:p>
    <w:p>
      <w:pPr>
        <w:keepNext/>
        <w:spacing w:before="120" w:after="40"/>
      </w:pPr>
      <w:r>
        <w:rPr>
          <w:b/>
          <w:bCs/>
        </w:rPr>
        <w:t xml:space="preserve">Consulta</w:t>
      </w:r>
      <w:r>
        <w:t xml:space="preserve"> (</w:t>
      </w:r>
      <w:r>
        <w:rPr>
          <w:rFonts w:ascii="Consolas" w:cs="Consolas" w:eastAsia="Consolas" w:hAnsi="Consolas"/>
          <w:sz w:val="19"/>
          <w:szCs w:val="19"/>
        </w:rPr>
        <w:t xml:space="preserve">sql/northwind.sql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N10: no unir líneas; lunes=0 independientemente de SET DATEFIRST.</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YEAR(OrderDate) AS anio,MONTH(OrderDate) AS mes,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((DATEDIFF(DAY,CONVERT(date,'19000101',112),OrderDate)%7)+7)%7 AS dia_semana,</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COUNT(*) AS pedidos FROM dbo.Orders GROUP BY YEAR(OrderDate),MONTH(OrderDate),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((DATEDIFF(DAY,CONVERT(date,'19000101',112),OrderDate)%7)+7)%7 ORDER BY anio,mes,dia_semana;</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orders.groupby([orders.OrderDate.dt.to_period('M'),</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orders.OrderDate.dt.dayofweek]).size()</w:t>
      </w:r>
    </w:p>
    <w:p>
      <w:pPr>
        <w:pStyle w:val="Heading2"/>
        <w:keepNext/>
        <w:spacing w:before="280" w:after="120"/>
      </w:pPr>
      <w:r>
        <w:t xml:space="preserve">4.5 Insights obtenidos de Northwind</w:t>
      </w:r>
    </w:p>
    <w:p>
      <w:pPr>
        <w:pStyle w:val="ListParagraph"/>
        <w:numPr>
          <w:ilvl w:val="0"/>
          <w:numId w:val="2"/>
        </w:numPr>
        <w:spacing w:after="60" w:line="264"/>
        <w:jc w:val="both"/>
      </w:pPr>
      <w:r>
        <w:rPr>
          <w:b/>
          <w:bCs/>
        </w:rPr>
        <w:t xml:space="preserve">Crecimiento y estacionalidad.</w:t>
      </w:r>
      <w:r>
        <w:t xml:space="preserve"> Las ventas crecen durante 1997 y alcanzan su máximo en abril de 1998 (123,798.68); 1998-Q1 es el trimestre más alto (298,491.55). Para presupuestar conviene comparar sólo trimestres completos.</w:t>
      </w:r>
    </w:p>
    <w:p>
      <w:pPr>
        <w:pStyle w:val="ListParagraph"/>
        <w:numPr>
          <w:ilvl w:val="0"/>
          <w:numId w:val="2"/>
        </w:numPr>
        <w:spacing w:after="60" w:line="264"/>
        <w:jc w:val="both"/>
      </w:pPr>
      <w:r>
        <w:rPr>
          <w:b/>
          <w:bCs/>
        </w:rPr>
        <w:t xml:space="preserve">Concentración de clientes.</w:t>
      </w:r>
      <w:r>
        <w:t xml:space="preserve"> Los diez principales clientes generan el 45.0% de la venta neta; QUICK-Stop aporta 110,277.30. Es un riesgo de dependencia que justifica un seguimiento de cuentas clave.</w:t>
      </w:r>
    </w:p>
    <w:p>
      <w:pPr>
        <w:pStyle w:val="ListParagraph"/>
        <w:numPr>
          <w:ilvl w:val="0"/>
          <w:numId w:val="2"/>
        </w:numPr>
        <w:spacing w:after="60" w:line="264"/>
        <w:jc w:val="both"/>
      </w:pPr>
      <w:r>
        <w:rPr>
          <w:b/>
          <w:bCs/>
        </w:rPr>
        <w:t xml:space="preserve">Mezcla de producto.</w:t>
      </w:r>
      <w:r>
        <w:t xml:space="preserve"> Beverages es la categoría líder (21.2% del total) y Côte de Blaye el producto de mayor ingreso (141,396.73). Sin costos no se puede afirmar que sean los más rentables.</w:t>
      </w:r>
    </w:p>
    <w:p>
      <w:pPr>
        <w:pStyle w:val="ListParagraph"/>
        <w:numPr>
          <w:ilvl w:val="0"/>
          <w:numId w:val="2"/>
        </w:numPr>
        <w:spacing w:after="60" w:line="264"/>
        <w:jc w:val="both"/>
      </w:pPr>
      <w:r>
        <w:rPr>
          <w:b/>
          <w:bCs/>
        </w:rPr>
        <w:t xml:space="preserve">Descuentos.</w:t>
      </w:r>
      <w:r>
        <w:t xml:space="preserve"> La correlación entre descuento y cantidad es débil (r = 0.129): los descuentos no se asocian claramente con pedidos más grandes y requieren un análisis por producto y cliente.</w:t>
      </w:r>
    </w:p>
    <w:p>
      <w:pPr>
        <w:pStyle w:val="ListParagraph"/>
        <w:numPr>
          <w:ilvl w:val="0"/>
          <w:numId w:val="2"/>
        </w:numPr>
        <w:spacing w:after="60" w:line="264"/>
        <w:jc w:val="both"/>
      </w:pPr>
      <w:r>
        <w:rPr>
          <w:b/>
          <w:bCs/>
        </w:rPr>
        <w:t xml:space="preserve">Operación.</w:t>
      </w:r>
      <w:r>
        <w:t xml:space="preserve"> Margaret Peacock concentra el 18.4% de las ventas, y el martes registra más pedidos (168). Ambos datos ayudan a planificar personal y metas, combinados con la cartera asignada.</w:t>
      </w:r>
    </w:p>
    <w:p>
      <w:pPr>
        <w:pStyle w:val="Heading1"/>
        <w:pageBreakBefore/>
        <w:spacing w:after="240"/>
      </w:pPr>
      <w:bookmarkStart w:name="h5" w:id="1"/>
      <w:r>
        <w:t xml:space="preserve">5. Oracle y recursos humanos</w:t>
      </w:r>
      <w:bookmarkEnd w:id="1"/>
    </w:p>
    <w:p>
      <w:pPr>
        <w:pStyle w:val="Heading2"/>
        <w:keepNext/>
        <w:spacing w:before="280" w:after="120"/>
      </w:pPr>
      <w:r>
        <w:t xml:space="preserve">5.1 Descripción de la base de datos</w:t>
      </w:r>
    </w:p>
    <w:p>
      <w:pPr>
        <w:spacing w:after="120" w:line="276"/>
        <w:jc w:val="both"/>
      </w:pPr>
      <w:r>
        <w:t xml:space="preserve">El esquema HR de Oracle modela una organización: employees se relaciona con departments y jobs; departments con locations; locations con countries, y countries con regions. job_history guarda los puestos y departamentos anteriores de algunos empleados [2]. Se utilizó la versión oficial del repositorio oracle-samples, que contiene cinco regiones.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1584"/>
        <w:gridCol w:w="4464"/>
      </w:tblGrid>
      <w:tr>
        <w:trPr>
          <w:cantSplit/>
          <w:tblHeader/>
        </w:trPr>
        <w:tc>
          <w:tcPr>
            <w:tcW w:type="dxa" w:w="3312"/>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Tabla</w:t>
            </w:r>
          </w:p>
        </w:tc>
        <w:tc>
          <w:tcPr>
            <w:tcW w:type="dxa" w:w="1584"/>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Filas</w:t>
            </w:r>
          </w:p>
        </w:tc>
        <w:tc>
          <w:tcPr>
            <w:tcW w:type="dxa" w:w="4464"/>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Uso en el análisis</w:t>
            </w:r>
          </w:p>
        </w:tc>
      </w:tr>
      <w:tr>
        <w:trPr>
          <w:cantSplit/>
        </w:trPr>
        <w:tc>
          <w:tcPr>
            <w:tcW w:type="dxa" w:w="331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employees</w:t>
            </w:r>
          </w:p>
        </w:tc>
        <w:tc>
          <w:tcPr>
            <w:tcW w:type="dxa" w:w="158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107</w:t>
            </w:r>
          </w:p>
        </w:tc>
        <w:tc>
          <w:tcPr>
            <w:tcW w:type="dxa" w:w="446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Salario, fecha de ingreso, puesto y supervisor</w:t>
            </w:r>
          </w:p>
        </w:tc>
      </w:tr>
      <w:tr>
        <w:trPr>
          <w:cantSplit/>
        </w:trPr>
        <w:tc>
          <w:tcPr>
            <w:tcW w:type="dxa" w:w="331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departments / jobs</w:t>
            </w:r>
          </w:p>
        </w:tc>
        <w:tc>
          <w:tcPr>
            <w:tcW w:type="dxa" w:w="158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27 / 19</w:t>
            </w:r>
          </w:p>
        </w:tc>
        <w:tc>
          <w:tcPr>
            <w:tcW w:type="dxa" w:w="446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Asignación organizacional y bandas salariales</w:t>
            </w:r>
          </w:p>
        </w:tc>
      </w:tr>
      <w:tr>
        <w:trPr>
          <w:cantSplit/>
        </w:trPr>
        <w:tc>
          <w:tcPr>
            <w:tcW w:type="dxa" w:w="331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locations / countries / regions</w:t>
            </w:r>
          </w:p>
        </w:tc>
        <w:tc>
          <w:tcPr>
            <w:tcW w:type="dxa" w:w="158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23 / 25 / 5</w:t>
            </w:r>
          </w:p>
        </w:tc>
        <w:tc>
          <w:tcPr>
            <w:tcW w:type="dxa" w:w="446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Ubicación geográfica de los departamentos</w:t>
            </w:r>
          </w:p>
        </w:tc>
      </w:tr>
      <w:tr>
        <w:trPr>
          <w:cantSplit/>
        </w:trPr>
        <w:tc>
          <w:tcPr>
            <w:tcW w:type="dxa" w:w="331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job_history</w:t>
            </w:r>
          </w:p>
        </w:tc>
        <w:tc>
          <w:tcPr>
            <w:tcW w:type="dxa" w:w="158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10</w:t>
            </w:r>
          </w:p>
        </w:tc>
        <w:tc>
          <w:tcPr>
            <w:tcW w:type="dxa" w:w="446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Cambios de puesto de 7 empleados</w:t>
            </w:r>
          </w:p>
        </w:tc>
      </w:tr>
    </w:tbl>
    <w:p>
      <w:pPr>
        <w:spacing w:after="120"/>
      </w:pPr>
    </w:p>
    <w:p>
      <w:pPr>
        <w:spacing w:after="120" w:line="276"/>
        <w:jc w:val="both"/>
      </w:pPr>
      <w:r>
        <w:t xml:space="preserve">HR no contiene edad, género, competencias, evaluaciones de desempeño, bajas ni salarios históricos. Por eso la "distribución demográfica" se aborda con la ubicación de los departamentos, el radar compara métricas estructurales de los puestos y el waterfall se presenta como escenario de bandas salariales, no como una carrera real.</w:t>
      </w:r>
    </w:p>
    <w:p>
      <w:pPr>
        <w:pStyle w:val="Heading2"/>
        <w:keepNext/>
        <w:spacing w:before="280" w:after="120"/>
      </w:pPr>
      <w:r>
        <w:t xml:space="preserve">5.2 Instalación y carga</w:t>
      </w:r>
    </w:p>
    <w:p>
      <w:pPr>
        <w:spacing w:after="120" w:line="276"/>
        <w:jc w:val="left"/>
      </w:pPr>
      <w:r>
        <w:t xml:space="preserve">El primer arranque de Oracle descarga la imagen Lite y crea la base de datos; el </w:t>
      </w:r>
      <w:r>
        <w:rPr>
          <w:i/>
          <w:iCs/>
        </w:rPr>
        <w:t xml:space="preserve">healthcheck</w:t>
      </w:r>
      <w:r>
        <w:t xml:space="preserve"> comprueba que la PDB </w:t>
      </w:r>
      <w:r>
        <w:rPr>
          <w:rFonts w:ascii="Consolas" w:cs="Consolas" w:eastAsia="Consolas" w:hAnsi="Consolas"/>
          <w:sz w:val="19"/>
          <w:szCs w:val="19"/>
        </w:rPr>
        <w:t xml:space="preserve">FREEPDB1</w:t>
      </w:r>
      <w:r>
        <w:t xml:space="preserve"> responda. </w:t>
      </w:r>
      <w:r>
        <w:rPr>
          <w:rFonts w:ascii="Consolas" w:cs="Consolas" w:eastAsia="Consolas" w:hAnsi="Consolas"/>
          <w:sz w:val="19"/>
          <w:szCs w:val="19"/>
        </w:rPr>
        <w:t xml:space="preserve">lab.py cargar oracle</w:t>
      </w:r>
      <w:r>
        <w:t xml:space="preserve"> crea el usuario HR y ejecuta como HR los scripts oficiales </w:t>
      </w:r>
      <w:r>
        <w:rPr>
          <w:rFonts w:ascii="Consolas" w:cs="Consolas" w:eastAsia="Consolas" w:hAnsi="Consolas"/>
          <w:sz w:val="19"/>
          <w:szCs w:val="19"/>
        </w:rPr>
        <w:t xml:space="preserve">hr_create.sql</w:t>
      </w:r>
      <w:r>
        <w:t xml:space="preserve">, </w:t>
      </w:r>
      <w:r>
        <w:rPr>
          <w:rFonts w:ascii="Consolas" w:cs="Consolas" w:eastAsia="Consolas" w:hAnsi="Consolas"/>
          <w:sz w:val="19"/>
          <w:szCs w:val="19"/>
        </w:rPr>
        <w:t xml:space="preserve">hr_populate.sql</w:t>
      </w:r>
      <w:r>
        <w:t xml:space="preserve"> y </w:t>
      </w:r>
      <w:r>
        <w:rPr>
          <w:rFonts w:ascii="Consolas" w:cs="Consolas" w:eastAsia="Consolas" w:hAnsi="Consolas"/>
          <w:sz w:val="19"/>
          <w:szCs w:val="19"/>
        </w:rPr>
        <w:t xml:space="preserve">hr_code.sql</w:t>
      </w:r>
      <w:r>
        <w:t xml:space="preserve">.</w:t>
      </w:r>
    </w:p>
    <w:p>
      <w:pPr>
        <w:keepNext/>
        <w:spacing w:before="120" w:after="80"/>
        <w:jc w:val="center"/>
      </w:pPr>
      <w:r>
        <w:drawing>
          <wp:inline distT="0" distB="0" distL="0" distR="0">
            <wp:extent cx="4019550" cy="1200150"/>
            <wp:effectExtent t="0" r="0" b="0" l="0"/>
            <wp:docPr id="1" name="oracle_iniciar.png" descr="Descarga de la imagen de Oracle Database Free Lite y contenedor healthy." title="Descarga de la imagen de Oracle Database Free Lite y contenedor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19550" cy="1200150"/>
                    </a:xfrm>
                    <a:prstGeom prst="rect">
                      <a:avLst/>
                    </a:prstGeom>
                  </pic:spPr>
                </pic:pic>
              </a:graphicData>
            </a:graphic>
          </wp:inline>
        </w:drawing>
      </w:r>
    </w:p>
    <w:p>
      <w:pPr>
        <w:spacing w:after="220"/>
        <w:jc w:val="center"/>
      </w:pPr>
      <w:r>
        <w:rPr>
          <w:b/>
          <w:bCs/>
          <w:i/>
          <w:iCs/>
          <w:color w:val="555555"/>
          <w:sz w:val="19"/>
          <w:szCs w:val="19"/>
        </w:rPr>
        <w:t xml:space="preserve">Figura 21. </w:t>
      </w:r>
      <w:r>
        <w:rPr>
          <w:i/>
          <w:iCs/>
          <w:color w:val="555555"/>
          <w:sz w:val="19"/>
          <w:szCs w:val="19"/>
        </w:rPr>
        <w:t xml:space="preserve">Descarga de la imagen de Oracle Database Free Lite y contenedor healthy.</w:t>
      </w:r>
    </w:p>
    <w:p>
      <w:pPr>
        <w:spacing w:after="120" w:line="276"/>
        <w:jc w:val="left"/>
      </w:pPr>
      <w:r>
        <w:rPr>
          <w:b/>
          <w:bCs/>
        </w:rPr>
        <w:t xml:space="preserve">Incidencia y solución.</w:t>
      </w:r>
      <w:r>
        <w:t xml:space="preserve"> La primera carga falló con </w:t>
      </w:r>
      <w:r>
        <w:rPr>
          <w:rFonts w:ascii="Consolas" w:cs="Consolas" w:eastAsia="Consolas" w:hAnsi="Consolas"/>
          <w:sz w:val="19"/>
          <w:szCs w:val="19"/>
        </w:rPr>
        <w:t xml:space="preserve">ORA-00959: tablespace 'USERS' does not exist</w:t>
      </w:r>
      <w:r>
        <w:t xml:space="preserve">: la variante Lite de la imagen no incluye ese tablespace, que el esquema HR usa por defecto. El error ocurrió antes de crear el usuario, por lo que no quedaron objetos a medias. Se modificó el cargador para crear el tablespace cuando falta y se repitió la carga:</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CREATE TABLESPACE users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DATAFILE '/opt/oracle/oradata/FREE/FREEPDB1/users01.dbf'</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SIZE 100M AUTOEXTEND ON NEXT 50M MAXSIZE 2G;</w:t>
      </w:r>
    </w:p>
    <w:p>
      <w:pPr>
        <w:keepNext/>
        <w:spacing w:before="120" w:after="80"/>
        <w:jc w:val="center"/>
      </w:pPr>
      <w:r>
        <w:drawing>
          <wp:inline distT="0" distB="0" distL="0" distR="0">
            <wp:extent cx="5762625" cy="876300"/>
            <wp:effectExtent t="0" r="0" b="0" l="0"/>
            <wp:docPr id="1" name="carga_oracle.png" descr="Primer intento con ORA-00959 y carga posterior: HR contiene las siete tablas con los conteos esperados." title="Primer intento con ORA-00959 y carga posterior: HR contiene las siete tablas con los conteos espe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876300"/>
                    </a:xfrm>
                    <a:prstGeom prst="rect">
                      <a:avLst/>
                    </a:prstGeom>
                  </pic:spPr>
                </pic:pic>
              </a:graphicData>
            </a:graphic>
          </wp:inline>
        </w:drawing>
      </w:r>
    </w:p>
    <w:p>
      <w:pPr>
        <w:spacing w:after="220"/>
        <w:jc w:val="center"/>
      </w:pPr>
      <w:r>
        <w:rPr>
          <w:b/>
          <w:bCs/>
          <w:i/>
          <w:iCs/>
          <w:color w:val="555555"/>
          <w:sz w:val="19"/>
          <w:szCs w:val="19"/>
        </w:rPr>
        <w:t xml:space="preserve">Figura 22. </w:t>
      </w:r>
      <w:r>
        <w:rPr>
          <w:i/>
          <w:iCs/>
          <w:color w:val="555555"/>
          <w:sz w:val="19"/>
          <w:szCs w:val="19"/>
        </w:rPr>
        <w:t xml:space="preserve">Primer intento con ORA-00959 y carga posterior: HR contiene las siete tablas con los conteos esperados.</w:t>
      </w:r>
    </w:p>
    <w:p>
      <w:pPr>
        <w:pStyle w:val="Heading2"/>
        <w:keepNext/>
        <w:spacing w:before="280" w:after="120"/>
      </w:pPr>
      <w:r>
        <w:t xml:space="preserve">5.3 Conexión ODBC y evidencia</w:t>
      </w:r>
    </w:p>
    <w:p>
      <w:pPr>
        <w:spacing w:after="120" w:line="276"/>
        <w:jc w:val="left"/>
      </w:pPr>
      <w:r>
        <w:t xml:space="preserve">La conexión usa </w:t>
      </w:r>
      <w:r>
        <w:rPr>
          <w:b/>
          <w:bCs/>
        </w:rPr>
        <w:t xml:space="preserve">pyodbc</w:t>
      </w:r>
      <w:r>
        <w:t xml:space="preserve"> con el driver </w:t>
      </w:r>
      <w:r>
        <w:rPr>
          <w:b/>
          <w:bCs/>
        </w:rPr>
        <w:t xml:space="preserve">Oracle Instant Client ODBC</w:t>
      </w:r>
      <w:r>
        <w:t xml:space="preserve"> y el descriptor </w:t>
      </w:r>
      <w:r>
        <w:rPr>
          <w:rFonts w:ascii="Consolas" w:cs="Consolas" w:eastAsia="Consolas" w:hAnsi="Consolas"/>
          <w:sz w:val="19"/>
          <w:szCs w:val="19"/>
        </w:rPr>
        <w:t xml:space="preserve">oracle:1521/FREEPDB1</w:t>
      </w:r>
      <w:r>
        <w:t xml:space="preserve"> (nombre de servicio, no SID). La prueba consulta el esquema actual y </w:t>
      </w:r>
      <w:r>
        <w:rPr>
          <w:rFonts w:ascii="Consolas" w:cs="Consolas" w:eastAsia="Consolas" w:hAnsi="Consolas"/>
          <w:sz w:val="19"/>
          <w:szCs w:val="19"/>
        </w:rPr>
        <w:t xml:space="preserve">COUNT(*)</w:t>
      </w:r>
      <w:r>
        <w:t xml:space="preserve"> de </w:t>
      </w:r>
      <w:r>
        <w:rPr>
          <w:rFonts w:ascii="Consolas" w:cs="Consolas" w:eastAsia="Consolas" w:hAnsi="Consolas"/>
          <w:sz w:val="19"/>
          <w:szCs w:val="19"/>
        </w:rPr>
        <w:t xml:space="preserve">employees</w:t>
      </w:r>
      <w:r>
        <w:t xml:space="preserve">: devolvió el esquema HR con 107 empleados. Última verificación registrada: 2026-10-12 00:41:35 UTC.</w:t>
      </w:r>
    </w:p>
    <w:p>
      <w:pPr>
        <w:spacing w:after="120" w:line="276"/>
        <w:jc w:val="left"/>
      </w:pPr>
      <w:r>
        <w:rPr>
          <w:b/>
          <w:bCs/>
        </w:rPr>
        <w:t xml:space="preserve">Incidencia y solución.</w:t>
      </w:r>
      <w:r>
        <w:t xml:space="preserve"> La primera verificación devolvió </w:t>
      </w:r>
      <w:r>
        <w:rPr>
          <w:rFonts w:ascii="Consolas" w:cs="Consolas" w:eastAsia="Consolas" w:hAnsi="Consolas"/>
          <w:sz w:val="19"/>
          <w:szCs w:val="19"/>
        </w:rPr>
        <w:t xml:space="preserve">ORA-01017: invalid credential</w:t>
      </w:r>
      <w:r>
        <w:t xml:space="preserve">. La contraseña era correcta, pero el cliente la enviaba entre llaves (</w:t>
      </w:r>
      <w:r>
        <w:rPr>
          <w:rFonts w:ascii="Consolas" w:cs="Consolas" w:eastAsia="Consolas" w:hAnsi="Consolas"/>
          <w:sz w:val="19"/>
          <w:szCs w:val="19"/>
        </w:rPr>
        <w:t xml:space="preserve">PWD={…}</w:t>
      </w:r>
      <w:r>
        <w:t xml:space="preserve">), un formato que acepta el driver de Microsoft pero que el driver ODBC de Oracle interpreta como parte de la contraseña. Se envió la contraseña sin llaves, lo cual es seguro porque el generador sólo usa letras, números, guion y guion bajo.</w:t>
      </w:r>
    </w:p>
    <w:p>
      <w:pPr>
        <w:keepNext/>
        <w:spacing w:before="120" w:after="80"/>
        <w:jc w:val="center"/>
      </w:pPr>
      <w:r>
        <w:drawing>
          <wp:inline distT="0" distB="0" distL="0" distR="0">
            <wp:extent cx="5848350" cy="581025"/>
            <wp:effectExtent t="0" r="0" b="0" l="0"/>
            <wp:docPr id="1" name="conexion_oracle.png" descr="Conexión exitosa a Oracle mediante Oracle Instant Client ODBC (CONEXIÓN VERIFICADA, esquema HR, 107 empleados)." title="Conexión exitosa a Oracle mediante Oracle Instant Client ODBC (CONEXIÓN VERIFICADA, esquema HR, 107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48350" cy="581025"/>
                    </a:xfrm>
                    <a:prstGeom prst="rect">
                      <a:avLst/>
                    </a:prstGeom>
                  </pic:spPr>
                </pic:pic>
              </a:graphicData>
            </a:graphic>
          </wp:inline>
        </w:drawing>
      </w:r>
    </w:p>
    <w:p>
      <w:pPr>
        <w:spacing w:after="220"/>
        <w:jc w:val="center"/>
      </w:pPr>
      <w:r>
        <w:rPr>
          <w:b/>
          <w:bCs/>
          <w:i/>
          <w:iCs/>
          <w:color w:val="555555"/>
          <w:sz w:val="19"/>
          <w:szCs w:val="19"/>
        </w:rPr>
        <w:t xml:space="preserve">Figura 23. </w:t>
      </w:r>
      <w:r>
        <w:rPr>
          <w:i/>
          <w:iCs/>
          <w:color w:val="555555"/>
          <w:sz w:val="19"/>
          <w:szCs w:val="19"/>
        </w:rPr>
        <w:t xml:space="preserve">Conexión exitosa a Oracle mediante Oracle Instant Client ODBC (CONEXIÓN VERIFICADA, esquema HR, 107 empleados).</w:t>
      </w:r>
    </w:p>
    <w:p>
      <w:pPr>
        <w:pStyle w:val="Heading2"/>
        <w:keepNext/>
        <w:spacing w:before="280" w:after="120"/>
      </w:pPr>
      <w:r>
        <w:t xml:space="preserve">5.4 Visualizaciones</w:t>
      </w:r>
    </w:p>
    <w:p>
      <w:pPr>
        <w:spacing w:after="120" w:line="276"/>
        <w:jc w:val="left"/>
      </w:pPr>
      <w:r>
        <w:t xml:space="preserve">Las diez figuras siguientes se calculan sobre las siete tablas de HR extraídas de Oracle. Las consultas están en </w:t>
      </w:r>
      <w:r>
        <w:rPr>
          <w:rFonts w:ascii="Consolas" w:cs="Consolas" w:eastAsia="Consolas" w:hAnsi="Consolas"/>
          <w:sz w:val="19"/>
          <w:szCs w:val="19"/>
        </w:rPr>
        <w:t xml:space="preserve">sql/hr.sql</w:t>
      </w:r>
      <w:r>
        <w:t xml:space="preserve">. El salario se expresa en la unidad de la muestra (mensual, sin moneda documentada) y la antigüedad se mide a la fecha fija del 08/10/2026.</w:t>
      </w:r>
    </w:p>
    <w:p>
      <w:pPr>
        <w:pStyle w:val="Heading3"/>
        <w:keepNext/>
        <w:spacing w:before="180" w:after="80"/>
      </w:pPr>
      <w:r>
        <w:t xml:space="preserve">H01 · Histograma salarial por departamento</w:t>
      </w:r>
    </w:p>
    <w:p>
      <w:pPr>
        <w:keepNext/>
        <w:spacing w:before="120" w:after="80"/>
        <w:jc w:val="center"/>
      </w:pPr>
      <w:r>
        <w:drawing>
          <wp:inline distT="0" distB="0" distL="0" distR="0">
            <wp:extent cx="5486400" cy="3095625"/>
            <wp:effectExtent t="0" r="0" b="0" l="0"/>
            <wp:docPr id="1" name="H01.png" descr="Histograma salarial por departamento (H01). Fuente: Oracle / HR." title="Histograma salarial por departamento (H01).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24. </w:t>
      </w:r>
      <w:r>
        <w:rPr>
          <w:i/>
          <w:iCs/>
          <w:color w:val="555555"/>
          <w:sz w:val="19"/>
          <w:szCs w:val="19"/>
        </w:rPr>
        <w:t xml:space="preserve">Histograma salarial por departamento (H01). Fuente: Oracle / HR.</w:t>
      </w:r>
    </w:p>
    <w:p>
      <w:pPr>
        <w:spacing w:after="120" w:line="276"/>
        <w:jc w:val="both"/>
      </w:pPr>
      <w:r>
        <w:rPr>
          <w:b/>
          <w:bCs/>
        </w:rPr>
        <w:t xml:space="preserve">Construcción.</w:t>
      </w:r>
      <w:r>
        <w:t xml:space="preserve"> La versión estática superpone cuatro departamentos por tamaño. La versión interactiva permite mostrar u ocultar todos los departamentos desde la leyenda.</w:t>
      </w:r>
    </w:p>
    <w:p>
      <w:pPr>
        <w:spacing w:after="120" w:line="276"/>
        <w:jc w:val="both"/>
      </w:pPr>
      <w:r>
        <w:rPr>
          <w:b/>
          <w:bCs/>
        </w:rPr>
        <w:t xml:space="preserve">Resultado observado.</w:t>
      </w:r>
      <w:r>
        <w:t xml:space="preserve"> Los 107 empleados tienen salario mediano 6,200.00, promedio 6,461.83 y máximo 24,000.00.</w:t>
      </w:r>
    </w:p>
    <w:p>
      <w:pPr>
        <w:spacing w:after="120" w:line="276"/>
        <w:jc w:val="both"/>
      </w:pPr>
      <w:r>
        <w:rPr>
          <w:b/>
          <w:bCs/>
        </w:rPr>
        <w:t xml:space="preserve">Insight y decisión que apoya.</w:t>
      </w:r>
      <w:r>
        <w:t xml:space="preserve"> Revisar bandas de compensación por puesto y departamento antes de explicar diferencias.</w:t>
      </w:r>
    </w:p>
    <w:p>
      <w:pPr>
        <w:spacing w:after="120" w:line="276"/>
        <w:jc w:val="both"/>
      </w:pPr>
      <w:r>
        <w:rPr>
          <w:b/>
          <w:bCs/>
        </w:rPr>
        <w:t xml:space="preserve">Límite de interpretación.</w:t>
      </w:r>
      <w:r>
        <w:t xml:space="preserve"> HR es una muestra académica y documenta salarios mensuales. La moneda no se atribuye; la dispersión no permite inferir discriminación o desempeño.</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H01: salario por departamento; NULL se conserva como Sin departamento.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e.employee_id,NVL(d.department_name,'Sin departamento') AS departamento,e.salary</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FROM employees e LEFT JOIN departments d ON d.department_id=e.department_id;</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px.histogram(h, x='salary', color='department_name',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nbins=12, barmode='overlay')</w:t>
      </w:r>
    </w:p>
    <w:p>
      <w:pPr>
        <w:pStyle w:val="Heading3"/>
        <w:keepNext/>
        <w:pageBreakBefore/>
        <w:spacing w:before="180" w:after="80"/>
      </w:pPr>
      <w:r>
        <w:t xml:space="preserve">H02 · Radar de perfiles de puesto</w:t>
      </w:r>
    </w:p>
    <w:p>
      <w:pPr>
        <w:keepNext/>
        <w:spacing w:before="120" w:after="80"/>
        <w:jc w:val="center"/>
      </w:pPr>
      <w:r>
        <w:drawing>
          <wp:inline distT="0" distB="0" distL="0" distR="0">
            <wp:extent cx="5124450" cy="3295650"/>
            <wp:effectExtent t="0" r="0" b="0" l="0"/>
            <wp:docPr id="1" name="H02.png" descr="Radar de perfiles de puesto (H02). Fuente: Oracle / HR." title="Radar de perfiles de puesto (H02).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3295650"/>
                    </a:xfrm>
                    <a:prstGeom prst="rect">
                      <a:avLst/>
                    </a:prstGeom>
                  </pic:spPr>
                </pic:pic>
              </a:graphicData>
            </a:graphic>
          </wp:inline>
        </w:drawing>
      </w:r>
    </w:p>
    <w:p>
      <w:pPr>
        <w:spacing w:after="220"/>
        <w:jc w:val="center"/>
      </w:pPr>
      <w:r>
        <w:rPr>
          <w:b/>
          <w:bCs/>
          <w:i/>
          <w:iCs/>
          <w:color w:val="555555"/>
          <w:sz w:val="19"/>
          <w:szCs w:val="19"/>
        </w:rPr>
        <w:t xml:space="preserve">Figura 25. </w:t>
      </w:r>
      <w:r>
        <w:rPr>
          <w:i/>
          <w:iCs/>
          <w:color w:val="555555"/>
          <w:sz w:val="19"/>
          <w:szCs w:val="19"/>
        </w:rPr>
        <w:t xml:space="preserve">Radar de perfiles de puesto (H02). Fuente: Oracle / HR.</w:t>
      </w:r>
    </w:p>
    <w:p>
      <w:pPr>
        <w:spacing w:after="120" w:line="276"/>
        <w:jc w:val="both"/>
      </w:pPr>
      <w:r>
        <w:rPr>
          <w:b/>
          <w:bCs/>
        </w:rPr>
        <w:t xml:space="preserve">Construcción.</w:t>
      </w:r>
      <w:r>
        <w:t xml:space="preserve"> Se comparan cuatro puestos por tamaño. Salario medio, antigüedad media y plantilla se dividen por el máximo de cada variable en todos los puestos.</w:t>
      </w:r>
    </w:p>
    <w:p>
      <w:pPr>
        <w:spacing w:after="120" w:line="276"/>
        <w:jc w:val="both"/>
      </w:pPr>
      <w:r>
        <w:rPr>
          <w:b/>
          <w:bCs/>
        </w:rPr>
        <w:t xml:space="preserve">Resultado observado.</w:t>
      </w:r>
      <w:r>
        <w:t xml:space="preserve"> Sales Representative es el puesto de mayor dotación entre los perfiles mostrados: 30 empleados.</w:t>
      </w:r>
    </w:p>
    <w:p>
      <w:pPr>
        <w:spacing w:after="120" w:line="276"/>
        <w:jc w:val="both"/>
      </w:pPr>
      <w:r>
        <w:rPr>
          <w:b/>
          <w:bCs/>
        </w:rPr>
        <w:t xml:space="preserve">Insight y decisión que apoya.</w:t>
      </w:r>
      <w:r>
        <w:t xml:space="preserve"> Comparar dimensiones organizacionales y utilizar hover para inspeccionar perfiles relativos.</w:t>
      </w:r>
    </w:p>
    <w:p>
      <w:pPr>
        <w:spacing w:after="120" w:line="276"/>
        <w:jc w:val="both"/>
      </w:pPr>
      <w:r>
        <w:rPr>
          <w:b/>
          <w:bCs/>
        </w:rPr>
        <w:t xml:space="preserve">Límite de interpretación.</w:t>
      </w:r>
      <w:r>
        <w:t xml:space="preserve"> No existen evaluaciones de competencias en HR. El radar es un perfil estructural y no mide habilidad, calidad de trabajo ni puntuación de desempeño.</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H02: perfil estructural. No hay competencias en HR.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j.job_title,AVG(e.salary) AS salario_medio,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AVG((DATE '2026-10-08'-e.hire_date)/365.25) AS antiguedad_media,COUNT(*) AS plantilla</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FROM employees e JOIN jobs j ON j.job_id=e.job_id GROUP BY j.job_title;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metrics = h.groupby('job_title').agg(</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Salario=('salary','mean'), Antigüedad=('tenure','mean'),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Plantilla=('employee_id','size'))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normalized = metrics / metrics.max()</w:t>
      </w:r>
    </w:p>
    <w:p>
      <w:pPr>
        <w:pStyle w:val="Heading3"/>
        <w:keepNext/>
        <w:pageBreakBefore/>
        <w:spacing w:before="180" w:after="80"/>
      </w:pPr>
      <w:r>
        <w:t xml:space="preserve">H03 · Organigrama interactivo</w:t>
      </w:r>
    </w:p>
    <w:p>
      <w:pPr>
        <w:keepNext/>
        <w:spacing w:before="120" w:after="80"/>
        <w:jc w:val="center"/>
      </w:pPr>
      <w:r>
        <w:drawing>
          <wp:inline distT="0" distB="0" distL="0" distR="0">
            <wp:extent cx="5486400" cy="3095625"/>
            <wp:effectExtent t="0" r="0" b="0" l="0"/>
            <wp:docPr id="1" name="H03.png" descr="Organigrama interactivo (H03). Fuente: Oracle / HR." title="Organigrama interactivo (H03).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26. </w:t>
      </w:r>
      <w:r>
        <w:rPr>
          <w:i/>
          <w:iCs/>
          <w:color w:val="555555"/>
          <w:sz w:val="19"/>
          <w:szCs w:val="19"/>
        </w:rPr>
        <w:t xml:space="preserve">Organigrama interactivo (H03). Fuente: Oracle / HR.</w:t>
      </w:r>
    </w:p>
    <w:p>
      <w:pPr>
        <w:spacing w:after="120" w:line="276"/>
        <w:jc w:val="both"/>
      </w:pPr>
      <w:r>
        <w:rPr>
          <w:b/>
          <w:bCs/>
        </w:rPr>
        <w:t xml:space="preserve">Construcción.</w:t>
      </w:r>
      <w:r>
        <w:t xml:space="preserve"> Se construye un árbol a partir de employee_id y manager_id. Se dibujan todos los empleados; el dashboard muestra nombre y puesto al pasar el cursor.</w:t>
      </w:r>
    </w:p>
    <w:p>
      <w:pPr>
        <w:spacing w:after="120" w:line="276"/>
        <w:jc w:val="both"/>
      </w:pPr>
      <w:r>
        <w:rPr>
          <w:b/>
          <w:bCs/>
        </w:rPr>
        <w:t xml:space="preserve">Resultado observado.</w:t>
      </w:r>
      <w:r>
        <w:t xml:space="preserve"> La estructura contiene 107 nodos, 106 relaciones y 1 raíz. La profundidad máxima es 3 enlaces.</w:t>
      </w:r>
    </w:p>
    <w:p>
      <w:pPr>
        <w:spacing w:after="120" w:line="276"/>
        <w:jc w:val="both"/>
      </w:pPr>
      <w:r>
        <w:rPr>
          <w:b/>
          <w:bCs/>
        </w:rPr>
        <w:t xml:space="preserve">Insight y decisión que apoya.</w:t>
      </w:r>
      <w:r>
        <w:t xml:space="preserve"> Inspeccionar amplitud de supervisión y cadenas de reporte antes de proponer cambios de estructura.</w:t>
      </w:r>
    </w:p>
    <w:p>
      <w:pPr>
        <w:spacing w:after="120" w:line="276"/>
        <w:jc w:val="both"/>
      </w:pPr>
      <w:r>
        <w:rPr>
          <w:b/>
          <w:bCs/>
        </w:rPr>
        <w:t xml:space="preserve">Límite de interpretación.</w:t>
      </w:r>
      <w:r>
        <w:t xml:space="preserve"> Una relación jerárquica no indica carga de trabajo ni autoridad informal. La coordenada horizontal sólo separa ramas del árbol.</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H03: organigrama, una relación por empleado.</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SELECT employee_id,manager_id,first_name,last_name,job_id FROM employees ORDER BY employee_id;</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edges = h[['employee_id','manager_id']].dropna()</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Posiciones calculadas por recorrido del árbol; hover por empleado.</w:t>
      </w:r>
    </w:p>
    <w:p>
      <w:pPr>
        <w:pStyle w:val="Heading3"/>
        <w:keepNext/>
        <w:pageBreakBefore/>
        <w:spacing w:before="180" w:after="80"/>
      </w:pPr>
      <w:r>
        <w:t xml:space="preserve">H04 · Mapa de calor de dotación por ubicación</w:t>
      </w:r>
    </w:p>
    <w:p>
      <w:pPr>
        <w:keepNext/>
        <w:spacing w:before="120" w:after="80"/>
        <w:jc w:val="center"/>
      </w:pPr>
      <w:r>
        <w:drawing>
          <wp:inline distT="0" distB="0" distL="0" distR="0">
            <wp:extent cx="5486400" cy="3105150"/>
            <wp:effectExtent t="0" r="0" b="0" l="0"/>
            <wp:docPr id="1" name="H04.png" descr="Mapa de calor de dotación por ubicación (H04). Fuente: Oracle / HR." title="Mapa de calor de dotación por ubicación (H04).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105150"/>
                    </a:xfrm>
                    <a:prstGeom prst="rect">
                      <a:avLst/>
                    </a:prstGeom>
                  </pic:spPr>
                </pic:pic>
              </a:graphicData>
            </a:graphic>
          </wp:inline>
        </w:drawing>
      </w:r>
    </w:p>
    <w:p>
      <w:pPr>
        <w:spacing w:after="220"/>
        <w:jc w:val="center"/>
      </w:pPr>
      <w:r>
        <w:rPr>
          <w:b/>
          <w:bCs/>
          <w:i/>
          <w:iCs/>
          <w:color w:val="555555"/>
          <w:sz w:val="19"/>
          <w:szCs w:val="19"/>
        </w:rPr>
        <w:t xml:space="preserve">Figura 27. </w:t>
      </w:r>
      <w:r>
        <w:rPr>
          <w:i/>
          <w:iCs/>
          <w:color w:val="555555"/>
          <w:sz w:val="19"/>
          <w:szCs w:val="19"/>
        </w:rPr>
        <w:t xml:space="preserve">Mapa de calor de dotación por ubicación (H04). Fuente: Oracle / HR.</w:t>
      </w:r>
    </w:p>
    <w:p>
      <w:pPr>
        <w:spacing w:after="120" w:line="276"/>
        <w:jc w:val="both"/>
      </w:pPr>
      <w:r>
        <w:rPr>
          <w:b/>
          <w:bCs/>
        </w:rPr>
        <w:t xml:space="preserve">Construcción.</w:t>
      </w:r>
      <w:r>
        <w:t xml:space="preserve"> Se une employees con departments, locations, countries y regions mediante uniones izquierdas. Los empleados sin departamento conservan una categoría explícita.</w:t>
      </w:r>
    </w:p>
    <w:p>
      <w:pPr>
        <w:spacing w:after="120" w:line="276"/>
        <w:jc w:val="both"/>
      </w:pPr>
      <w:r>
        <w:rPr>
          <w:b/>
          <w:bCs/>
        </w:rPr>
        <w:t xml:space="preserve">Resultado observado.</w:t>
      </w:r>
      <w:r>
        <w:t xml:space="preserve"> South San Francisco concentra 45 empleados. Hay 1 empleado sin ubicación derivable.</w:t>
      </w:r>
    </w:p>
    <w:p>
      <w:pPr>
        <w:spacing w:after="120" w:line="276"/>
        <w:jc w:val="both"/>
      </w:pPr>
      <w:r>
        <w:rPr>
          <w:b/>
          <w:bCs/>
        </w:rPr>
        <w:t xml:space="preserve">Insight y decisión que apoya.</w:t>
      </w:r>
      <w:r>
        <w:t xml:space="preserve"> Identificar ubicaciones con concentración de personal y revisar registros sin asignación organizacional.</w:t>
      </w:r>
    </w:p>
    <w:p>
      <w:pPr>
        <w:spacing w:after="120" w:line="276"/>
        <w:jc w:val="both"/>
      </w:pPr>
      <w:r>
        <w:rPr>
          <w:b/>
          <w:bCs/>
        </w:rPr>
        <w:t xml:space="preserve">Límite de interpretación.</w:t>
      </w:r>
      <w:r>
        <w:t xml:space="preserve"> La densidad aquí es un conteo, no empleados por superficie. La ubicación corresponde al departamento y no al domicilio personal.</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H04: dotación por ciudad y departamento.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NVL(l.city,'Sin ubicación') AS ciudad,NVL(d.department_name,'Sin departamento') AS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departamento,</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COUNT(*) AS empleados FROM employees e LEFT JOIN departments d 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d.department_id=e.department_id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LEFT JOIN locations l ON l.location_id=d.location_id GROUP BY l.city,d.department_name;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val="false"/>
        <w:keepLines/>
        <w:pBdr>
          <w:left w:val="single" w:color="3A5F8A" w:sz="12" w:space="6"/>
        </w:pBdr>
        <w:shd w:fill="F3F4F6" w:color="auto" w:val="clear"/>
        <w:spacing w:before="80" w:after="180" w:line="240"/>
        <w:ind w:left="180"/>
      </w:pPr>
      <w:r>
        <w:rPr>
          <w:rFonts w:ascii="Consolas" w:cs="Consolas" w:eastAsia="Consolas" w:hAnsi="Consolas"/>
          <w:sz w:val="17"/>
          <w:szCs w:val="17"/>
        </w:rPr>
        <w:t xml:space="preserve">h.groupby(['city','department_name']).size().unstack(fill_value=0)</w:t>
      </w:r>
    </w:p>
    <w:p>
      <w:pPr>
        <w:pStyle w:val="Heading3"/>
        <w:keepNext/>
        <w:pageBreakBefore/>
        <w:spacing w:before="180" w:after="80"/>
      </w:pPr>
      <w:r>
        <w:t xml:space="preserve">H05 · Violín salarial por antigüedad</w:t>
      </w:r>
    </w:p>
    <w:p>
      <w:pPr>
        <w:keepNext/>
        <w:spacing w:before="120" w:after="80"/>
        <w:jc w:val="center"/>
      </w:pPr>
      <w:r>
        <w:drawing>
          <wp:inline distT="0" distB="0" distL="0" distR="0">
            <wp:extent cx="5486400" cy="3095625"/>
            <wp:effectExtent t="0" r="0" b="0" l="0"/>
            <wp:docPr id="1" name="H05.png" descr="Violín salarial por antigüedad (H05). Fuente: Oracle / HR." title="Violín salarial por antigüedad (H05).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28. </w:t>
      </w:r>
      <w:r>
        <w:rPr>
          <w:i/>
          <w:iCs/>
          <w:color w:val="555555"/>
          <w:sz w:val="19"/>
          <w:szCs w:val="19"/>
        </w:rPr>
        <w:t xml:space="preserve">Violín salarial por antigüedad (H05). Fuente: Oracle / HR.</w:t>
      </w:r>
    </w:p>
    <w:p>
      <w:pPr>
        <w:spacing w:after="120" w:line="276"/>
        <w:jc w:val="both"/>
      </w:pPr>
      <w:r>
        <w:rPr>
          <w:b/>
          <w:bCs/>
        </w:rPr>
        <w:t xml:space="preserve">Construcción.</w:t>
      </w:r>
      <w:r>
        <w:t xml:space="preserve"> La antigüedad se calcula entre hire_date y 08/10/2026, en días / 365.25. Se crean tres bandas y se muestra una densidad estimada con mediana.</w:t>
      </w:r>
    </w:p>
    <w:p>
      <w:pPr>
        <w:spacing w:after="120" w:line="276"/>
        <w:jc w:val="both"/>
      </w:pPr>
      <w:r>
        <w:rPr>
          <w:b/>
          <w:bCs/>
        </w:rPr>
        <w:t xml:space="preserve">Resultado observado.</w:t>
      </w:r>
      <w:r>
        <w:t xml:space="preserve"> La antigüedad mediana es 10.76 años. Las bandas contienen Menos de 9 años: 17, 9 a menos de 12: 66, 12 años o más: 24.</w:t>
      </w:r>
    </w:p>
    <w:p>
      <w:pPr>
        <w:spacing w:after="120" w:line="276"/>
        <w:jc w:val="both"/>
      </w:pPr>
      <w:r>
        <w:rPr>
          <w:b/>
          <w:bCs/>
        </w:rPr>
        <w:t xml:space="preserve">Insight y decisión que apoya.</w:t>
      </w:r>
      <w:r>
        <w:t xml:space="preserve"> Comparar salarios dentro del mismo puesto antes de interpretar el efecto de la antigüedad.</w:t>
      </w:r>
    </w:p>
    <w:p>
      <w:pPr>
        <w:spacing w:after="120" w:line="276"/>
        <w:jc w:val="both"/>
      </w:pPr>
      <w:r>
        <w:rPr>
          <w:b/>
          <w:bCs/>
        </w:rPr>
        <w:t xml:space="preserve">Límite de interpretación.</w:t>
      </w:r>
      <w:r>
        <w:t xml:space="preserve"> La antigüedad en la empresa no equivale a experiencia profesional total. La densidad depende de la muestra y del suavizado.</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H05: salario por antigüedad, proxy de permanencia en la empresa.</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SELECT employee_id,salary,(DATE '2026-10-08'-hire_date)/365.25 AS antiguedad FROM employees;</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h['tenure'] = (pd.Timestamp('2026-10-08') - h.hire_date).dt.days / 365.25</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px.violin(h, x='level', y='salary', box=True)</w:t>
      </w:r>
    </w:p>
    <w:p>
      <w:pPr>
        <w:pStyle w:val="Heading3"/>
        <w:keepNext/>
        <w:pageBreakBefore/>
        <w:spacing w:before="180" w:after="80"/>
      </w:pPr>
      <w:r>
        <w:t xml:space="preserve">H06 · Sankey de cambios de departamento</w:t>
      </w:r>
    </w:p>
    <w:p>
      <w:pPr>
        <w:keepNext/>
        <w:spacing w:before="120" w:after="80"/>
        <w:jc w:val="center"/>
      </w:pPr>
      <w:r>
        <w:drawing>
          <wp:inline distT="0" distB="0" distL="0" distR="0">
            <wp:extent cx="5486400" cy="3095625"/>
            <wp:effectExtent t="0" r="0" b="0" l="0"/>
            <wp:docPr id="1" name="H06.png" descr="Sankey de cambios de departamento (H06). Fuente: Oracle / HR." title="Sankey de cambios de departamento (H06).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29. </w:t>
      </w:r>
      <w:r>
        <w:rPr>
          <w:i/>
          <w:iCs/>
          <w:color w:val="555555"/>
          <w:sz w:val="19"/>
          <w:szCs w:val="19"/>
        </w:rPr>
        <w:t xml:space="preserve">Sankey de cambios de departamento (H06). Fuente: Oracle / HR.</w:t>
      </w:r>
    </w:p>
    <w:p>
      <w:pPr>
        <w:spacing w:after="120" w:line="276"/>
        <w:jc w:val="both"/>
      </w:pPr>
      <w:r>
        <w:rPr>
          <w:b/>
          <w:bCs/>
        </w:rPr>
        <w:t xml:space="preserve">Construcción.</w:t>
      </w:r>
      <w:r>
        <w:t xml:space="preserve"> Por empleado se ordena job_history por start_date. Cada departamento se conecta con el siguiente registro y, al final, con el departamento actual. Los lados separan estado anterior y posterior.</w:t>
      </w:r>
    </w:p>
    <w:p>
      <w:pPr>
        <w:spacing w:after="120" w:line="276"/>
        <w:jc w:val="both"/>
      </w:pPr>
      <w:r>
        <w:rPr>
          <w:b/>
          <w:bCs/>
        </w:rPr>
        <w:t xml:space="preserve">Resultado observado.</w:t>
      </w:r>
      <w:r>
        <w:t xml:space="preserve"> Se reconstruyen 10 transiciones: 4 cambian de departamento y 6 permanecen en el mismo. El histórico contiene 7 empleados.</w:t>
      </w:r>
    </w:p>
    <w:p>
      <w:pPr>
        <w:spacing w:after="120" w:line="276"/>
        <w:jc w:val="both"/>
      </w:pPr>
      <w:r>
        <w:rPr>
          <w:b/>
          <w:bCs/>
        </w:rPr>
        <w:t xml:space="preserve">Insight y decisión que apoya.</w:t>
      </w:r>
      <w:r>
        <w:t xml:space="preserve"> Usar el flujo para formular preguntas sobre movilidad interna y cambios de puesto.</w:t>
      </w:r>
    </w:p>
    <w:p>
      <w:pPr>
        <w:spacing w:after="120" w:line="276"/>
        <w:jc w:val="both"/>
      </w:pPr>
      <w:r>
        <w:rPr>
          <w:b/>
          <w:bCs/>
        </w:rPr>
        <w:t xml:space="preserve">Límite de interpretación.</w:t>
      </w:r>
      <w:r>
        <w:t xml:space="preserve"> No existen bajas ni una población histórica completa. No se estima rotación de salida; un enlace al estado actual no documenta su fecha exacta.</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H06: histórico y asignación actual; reconstruir sucesiones por employee_id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employee_id,start_date,end_date,job_id,department_id FROM job_history ORDER BY</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employee_id,start_date;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SELECT employee_id,department_id FROM employees;</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seq = historial.sort_values('start_date').department_id.tolist()</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seq += [departamento_actual]</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transiciones = list(zip(seq, seq[1:]))</w:t>
      </w:r>
    </w:p>
    <w:p>
      <w:pPr>
        <w:pStyle w:val="Heading3"/>
        <w:keepNext/>
        <w:pageBreakBefore/>
        <w:spacing w:before="180" w:after="80"/>
      </w:pPr>
      <w:r>
        <w:t xml:space="preserve">H07 · Burbujas: salario y antigüedad</w:t>
      </w:r>
    </w:p>
    <w:p>
      <w:pPr>
        <w:keepNext/>
        <w:spacing w:before="120" w:after="80"/>
        <w:jc w:val="center"/>
      </w:pPr>
      <w:r>
        <w:drawing>
          <wp:inline distT="0" distB="0" distL="0" distR="0">
            <wp:extent cx="5486400" cy="3105150"/>
            <wp:effectExtent t="0" r="0" b="0" l="0"/>
            <wp:docPr id="1" name="H07.png" descr="Burbujas: salario y antigüedad (H07). Fuente: Oracle / HR." title="Burbujas: salario y antigüedad (H07).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105150"/>
                    </a:xfrm>
                    <a:prstGeom prst="rect">
                      <a:avLst/>
                    </a:prstGeom>
                  </pic:spPr>
                </pic:pic>
              </a:graphicData>
            </a:graphic>
          </wp:inline>
        </w:drawing>
      </w:r>
    </w:p>
    <w:p>
      <w:pPr>
        <w:spacing w:after="220"/>
        <w:jc w:val="center"/>
      </w:pPr>
      <w:r>
        <w:rPr>
          <w:b/>
          <w:bCs/>
          <w:i/>
          <w:iCs/>
          <w:color w:val="555555"/>
          <w:sz w:val="19"/>
          <w:szCs w:val="19"/>
        </w:rPr>
        <w:t xml:space="preserve">Figura 30. </w:t>
      </w:r>
      <w:r>
        <w:rPr>
          <w:i/>
          <w:iCs/>
          <w:color w:val="555555"/>
          <w:sz w:val="19"/>
          <w:szCs w:val="19"/>
        </w:rPr>
        <w:t xml:space="preserve">Burbujas: salario y antigüedad (H07). Fuente: Oracle / HR.</w:t>
      </w:r>
    </w:p>
    <w:p>
      <w:pPr>
        <w:spacing w:after="120" w:line="276"/>
        <w:jc w:val="both"/>
      </w:pPr>
      <w:r>
        <w:rPr>
          <w:b/>
          <w:bCs/>
        </w:rPr>
        <w:t xml:space="preserve">Construcción.</w:t>
      </w:r>
      <w:r>
        <w:t xml:space="preserve"> Cada punto es un empleado. El área de burbuja representa tamaño del departamento; el color representa departamento. Las coordenadas son antigüedad y salario.</w:t>
      </w:r>
    </w:p>
    <w:p>
      <w:pPr>
        <w:spacing w:after="120" w:line="276"/>
        <w:jc w:val="both"/>
      </w:pPr>
      <w:r>
        <w:rPr>
          <w:b/>
          <w:bCs/>
        </w:rPr>
        <w:t xml:space="preserve">Resultado observado.</w:t>
      </w:r>
      <w:r>
        <w:t xml:space="preserve"> La correlación de Pearson entre antigüedad y salario es 0.415.</w:t>
      </w:r>
    </w:p>
    <w:p>
      <w:pPr>
        <w:spacing w:after="120" w:line="276"/>
        <w:jc w:val="both"/>
      </w:pPr>
      <w:r>
        <w:rPr>
          <w:b/>
          <w:bCs/>
        </w:rPr>
        <w:t xml:space="preserve">Insight y decisión que apoya.</w:t>
      </w:r>
      <w:r>
        <w:t xml:space="preserve"> Examinar casos de compensación alta o baja dentro de grupos de puestos comparables.</w:t>
      </w:r>
    </w:p>
    <w:p>
      <w:pPr>
        <w:spacing w:after="120" w:line="276"/>
        <w:jc w:val="both"/>
      </w:pPr>
      <w:r>
        <w:rPr>
          <w:b/>
          <w:bCs/>
        </w:rPr>
        <w:t xml:space="preserve">Límite de interpretación.</w:t>
      </w:r>
      <w:r>
        <w:t xml:space="preserve"> El área repite el tamaño del departamento para cada empleado y no debe sumarse. La correlación está afectada por puesto, jerarquía y composición.</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H07: salario, antigüedad y tamaño departamental.</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employee_id,salary,(DATE '2026-10-08'-hire_date)/365.25 AS antiguedad,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department_id,COUNT(*) OVER(PARTITION BY department_id) AS plantilla_departamento FROM</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employees;</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h['department_size'] = h.department_name.map(h.department_name.value_counts())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px.scatter(h, x='tenure', y='salary', size='department_size',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color='department_name')</w:t>
      </w:r>
    </w:p>
    <w:p>
      <w:pPr>
        <w:pStyle w:val="Heading3"/>
        <w:keepNext/>
        <w:pageBreakBefore/>
        <w:spacing w:before="180" w:after="80"/>
      </w:pPr>
      <w:r>
        <w:t xml:space="preserve">H08 · Densidad de contrataciones por mes</w:t>
      </w:r>
    </w:p>
    <w:p>
      <w:pPr>
        <w:keepNext/>
        <w:spacing w:before="120" w:after="80"/>
        <w:jc w:val="center"/>
      </w:pPr>
      <w:r>
        <w:drawing>
          <wp:inline distT="0" distB="0" distL="0" distR="0">
            <wp:extent cx="5486400" cy="3095625"/>
            <wp:effectExtent t="0" r="0" b="0" l="0"/>
            <wp:docPr id="1" name="H08.png" descr="Densidad de contrataciones por mes (H08). Fuente: Oracle / HR." title="Densidad de contrataciones por mes (H08).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31. </w:t>
      </w:r>
      <w:r>
        <w:rPr>
          <w:i/>
          <w:iCs/>
          <w:color w:val="555555"/>
          <w:sz w:val="19"/>
          <w:szCs w:val="19"/>
        </w:rPr>
        <w:t xml:space="preserve">Densidad de contrataciones por mes (H08). Fuente: Oracle / HR.</w:t>
      </w:r>
    </w:p>
    <w:p>
      <w:pPr>
        <w:spacing w:after="120" w:line="276"/>
        <w:jc w:val="both"/>
      </w:pPr>
      <w:r>
        <w:rPr>
          <w:b/>
          <w:bCs/>
        </w:rPr>
        <w:t xml:space="preserve">Construcción.</w:t>
      </w:r>
      <w:r>
        <w:t xml:space="preserve"> Se combinan meses de contratación de todos los años. La curva aplica KDE con ancho relativo 0.25; es una aproximación suavizada de una variable discreta.</w:t>
      </w:r>
    </w:p>
    <w:p>
      <w:pPr>
        <w:spacing w:after="120" w:line="276"/>
        <w:jc w:val="both"/>
      </w:pPr>
      <w:r>
        <w:rPr>
          <w:b/>
          <w:bCs/>
        </w:rPr>
        <w:t xml:space="preserve">Resultado observado.</w:t>
      </w:r>
      <w:r>
        <w:t xml:space="preserve"> El mes con más contrataciones observadas es 3, con 17 empleados del catálogo actual.</w:t>
      </w:r>
    </w:p>
    <w:p>
      <w:pPr>
        <w:spacing w:after="120" w:line="276"/>
        <w:jc w:val="both"/>
      </w:pPr>
      <w:r>
        <w:rPr>
          <w:b/>
          <w:bCs/>
        </w:rPr>
        <w:t xml:space="preserve">Insight y decisión que apoya.</w:t>
      </w:r>
      <w:r>
        <w:t xml:space="preserve"> Examinar el conteo por año y mes antes de atribuir estacionalidad al proceso de contratación.</w:t>
      </w:r>
    </w:p>
    <w:p>
      <w:pPr>
        <w:spacing w:after="120" w:line="276"/>
        <w:jc w:val="both"/>
      </w:pPr>
      <w:r>
        <w:rPr>
          <w:b/>
          <w:bCs/>
        </w:rPr>
        <w:t xml:space="preserve">Límite de interpretación.</w:t>
      </w:r>
      <w:r>
        <w:t xml:space="preserve"> Enero y diciembre son adyacentes en un calendario, pero esta KDE no es circular. Sólo incluye empleados actuales y no permite estimar tasa histórica de contratación.</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H08: meses de contratación; KDE se calcula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EXTRACT(MONTH FROM hire_date) AS mes,COUNT(*) AS contrataciones</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FROM employees GROUP BY EXTRACT(MONTH FROM hire_date) ORDER BY mes;</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months = h.hire_date.dt.month</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kde = gaussian_kde(months, bw_method=0.25)</w:t>
      </w:r>
    </w:p>
    <w:p>
      <w:pPr>
        <w:pStyle w:val="Heading3"/>
        <w:keepNext/>
        <w:pageBreakBefore/>
        <w:spacing w:before="180" w:after="80"/>
      </w:pPr>
      <w:r>
        <w:t xml:space="preserve">H09 · Donut de empleados por región</w:t>
      </w:r>
    </w:p>
    <w:p>
      <w:pPr>
        <w:keepNext/>
        <w:spacing w:before="120" w:after="80"/>
        <w:jc w:val="center"/>
      </w:pPr>
      <w:r>
        <w:drawing>
          <wp:inline distT="0" distB="0" distL="0" distR="0">
            <wp:extent cx="3381375" cy="3295650"/>
            <wp:effectExtent t="0" r="0" b="0" l="0"/>
            <wp:docPr id="1" name="H09.png" descr="Donut de empleados por región (H09). Fuente: Oracle / HR." title="Donut de empleados por región (H09).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81375" cy="3295650"/>
                    </a:xfrm>
                    <a:prstGeom prst="rect">
                      <a:avLst/>
                    </a:prstGeom>
                  </pic:spPr>
                </pic:pic>
              </a:graphicData>
            </a:graphic>
          </wp:inline>
        </w:drawing>
      </w:r>
    </w:p>
    <w:p>
      <w:pPr>
        <w:spacing w:after="220"/>
        <w:jc w:val="center"/>
      </w:pPr>
      <w:r>
        <w:rPr>
          <w:b/>
          <w:bCs/>
          <w:i/>
          <w:iCs/>
          <w:color w:val="555555"/>
          <w:sz w:val="19"/>
          <w:szCs w:val="19"/>
        </w:rPr>
        <w:t xml:space="preserve">Figura 32. </w:t>
      </w:r>
      <w:r>
        <w:rPr>
          <w:i/>
          <w:iCs/>
          <w:color w:val="555555"/>
          <w:sz w:val="19"/>
          <w:szCs w:val="19"/>
        </w:rPr>
        <w:t xml:space="preserve">Donut de empleados por región (H09). Fuente: Oracle / HR.</w:t>
      </w:r>
    </w:p>
    <w:p>
      <w:pPr>
        <w:spacing w:after="120" w:line="276"/>
        <w:jc w:val="both"/>
      </w:pPr>
      <w:r>
        <w:rPr>
          <w:b/>
          <w:bCs/>
        </w:rPr>
        <w:t xml:space="preserve">Construcción.</w:t>
      </w:r>
      <w:r>
        <w:t xml:space="preserve"> Cada empleado se asigna a la región de su departamento mediante la cadena de ubicaciones. Se conserva Sin región para el registro sin departamento.</w:t>
      </w:r>
    </w:p>
    <w:p>
      <w:pPr>
        <w:spacing w:after="120" w:line="276"/>
        <w:jc w:val="both"/>
      </w:pPr>
      <w:r>
        <w:rPr>
          <w:b/>
          <w:bCs/>
        </w:rPr>
        <w:t xml:space="preserve">Resultado observado.</w:t>
      </w:r>
      <w:r>
        <w:t xml:space="preserve"> Americas concentra 70 de 107 empleados (65.4%).</w:t>
      </w:r>
    </w:p>
    <w:p>
      <w:pPr>
        <w:spacing w:after="120" w:line="276"/>
        <w:jc w:val="both"/>
      </w:pPr>
      <w:r>
        <w:rPr>
          <w:b/>
          <w:bCs/>
        </w:rPr>
        <w:t xml:space="preserve">Insight y decisión que apoya.</w:t>
      </w:r>
      <w:r>
        <w:t xml:space="preserve"> Evaluar concentración territorial del catálogo organizacional y calidad de asignaciones.</w:t>
      </w:r>
    </w:p>
    <w:p>
      <w:pPr>
        <w:spacing w:after="120" w:line="276"/>
        <w:jc w:val="both"/>
      </w:pPr>
      <w:r>
        <w:rPr>
          <w:b/>
          <w:bCs/>
        </w:rPr>
        <w:t xml:space="preserve">Límite de interpretación.</w:t>
      </w:r>
      <w:r>
        <w:t xml:space="preserve"> La región es una categoría geográfica corporativa de esta versión de HR. No aporta nacionalidad, edad, sexo ni otras variables demográficas personales.</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H09: región de departamento, no nacionalidad personal.</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NVL(r.region_name,'Sin región') AS region,COUNT(*) AS empleados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FROM employees e LEFT JOIN departments d ON d.department_id=e.department_id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LEFT JOIN locations l ON l.location_id=d.location_id LEFT JOIN countries c 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c.country_id=l.country_id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LEFT JOIN regions r ON r.region_id=c.region_id GROUP BY r.region_name;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val="false"/>
        <w:keepLines/>
        <w:pBdr>
          <w:left w:val="single" w:color="3A5F8A" w:sz="12" w:space="6"/>
        </w:pBdr>
        <w:shd w:fill="F3F4F6" w:color="auto" w:val="clear"/>
        <w:spacing w:before="80" w:after="180" w:line="240"/>
        <w:ind w:left="180"/>
      </w:pPr>
      <w:r>
        <w:rPr>
          <w:rFonts w:ascii="Consolas" w:cs="Consolas" w:eastAsia="Consolas" w:hAnsi="Consolas"/>
          <w:sz w:val="17"/>
          <w:szCs w:val="17"/>
        </w:rPr>
        <w:t xml:space="preserve">h.region_name.fillna('Sin región').value_counts()</w:t>
      </w:r>
    </w:p>
    <w:p>
      <w:pPr>
        <w:pStyle w:val="Heading3"/>
        <w:keepNext/>
        <w:pageBreakBefore/>
        <w:spacing w:before="180" w:after="80"/>
      </w:pPr>
      <w:r>
        <w:t xml:space="preserve">H10 · Waterfall de bandas salariales: escenario ilustrativo</w:t>
      </w:r>
    </w:p>
    <w:p>
      <w:pPr>
        <w:keepNext/>
        <w:spacing w:before="120" w:after="80"/>
        <w:jc w:val="center"/>
      </w:pPr>
      <w:r>
        <w:drawing>
          <wp:inline distT="0" distB="0" distL="0" distR="0">
            <wp:extent cx="5486400" cy="3095625"/>
            <wp:effectExtent t="0" r="0" b="0" l="0"/>
            <wp:docPr id="1" name="H10.png" descr="Waterfall de bandas salariales: escenario ilustrativo (H10). Fuente: Oracle / HR." title="Waterfall de bandas salariales: escenario ilustrativo (H10). Fuente: Oracle /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33. </w:t>
      </w:r>
      <w:r>
        <w:rPr>
          <w:i/>
          <w:iCs/>
          <w:color w:val="555555"/>
          <w:sz w:val="19"/>
          <w:szCs w:val="19"/>
        </w:rPr>
        <w:t xml:space="preserve">Waterfall de bandas salariales: escenario ilustrativo (H10). Fuente: Oracle / HR.</w:t>
      </w:r>
    </w:p>
    <w:p>
      <w:pPr>
        <w:spacing w:after="120" w:line="276"/>
        <w:jc w:val="both"/>
      </w:pPr>
      <w:r>
        <w:rPr>
          <w:b/>
          <w:bCs/>
        </w:rPr>
        <w:t xml:space="preserve">Construcción.</w:t>
      </w:r>
      <w:r>
        <w:t xml:space="preserve"> Se encadenan el mínimo y máximo de IT_PROG y los máximos de AD_VP y AD_PRES. Cada escalón representa diferencia entre límites de bandas definidos en jobs.</w:t>
      </w:r>
    </w:p>
    <w:p>
      <w:pPr>
        <w:spacing w:after="120" w:line="276"/>
        <w:jc w:val="both"/>
      </w:pPr>
      <w:r>
        <w:rPr>
          <w:b/>
          <w:bCs/>
        </w:rPr>
        <w:t xml:space="preserve">Resultado observado.</w:t>
      </w:r>
      <w:r>
        <w:t xml:space="preserve"> El escenario va de 4,000.00 a 40,000.00; la diferencia es 36,000.00.</w:t>
      </w:r>
    </w:p>
    <w:p>
      <w:pPr>
        <w:spacing w:after="120" w:line="276"/>
        <w:jc w:val="both"/>
      </w:pPr>
      <w:r>
        <w:rPr>
          <w:b/>
          <w:bCs/>
        </w:rPr>
        <w:t xml:space="preserve">Insight y decisión que apoya.</w:t>
      </w:r>
      <w:r>
        <w:t xml:space="preserve"> Ilustrar cómo se comparan bandas de puestos; reemplazarlo por un historial real si se desea analizar progresión de una carrera.</w:t>
      </w:r>
    </w:p>
    <w:p>
      <w:pPr>
        <w:spacing w:after="120" w:line="276"/>
        <w:jc w:val="both"/>
      </w:pPr>
      <w:r>
        <w:rPr>
          <w:b/>
          <w:bCs/>
        </w:rPr>
        <w:t xml:space="preserve">Límite de interpretación.</w:t>
      </w:r>
      <w:r>
        <w:t xml:space="preserve"> No representa ascensos observados, salarios pasados ni trayectoria de un empleado. La secuencia de puestos es hipotética y las bandas son datos oficiales.</w:t>
      </w:r>
    </w:p>
    <w:p>
      <w:pPr>
        <w:keepNext/>
        <w:spacing w:before="120" w:after="40"/>
      </w:pPr>
      <w:r>
        <w:rPr>
          <w:b/>
          <w:bCs/>
        </w:rPr>
        <w:t xml:space="preserve">Consulta</w:t>
      </w:r>
      <w:r>
        <w:t xml:space="preserve"> (</w:t>
      </w:r>
      <w:r>
        <w:rPr>
          <w:rFonts w:ascii="Consolas" w:cs="Consolas" w:eastAsia="Consolas" w:hAnsi="Consolas"/>
          <w:sz w:val="19"/>
          <w:szCs w:val="19"/>
        </w:rPr>
        <w:t xml:space="preserve">sql/hr.sql</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H10: escenario de bandas de puestos. No hay sueldos históricos individuales.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SELECT job_id,job_title,min_salary,max_salary FROM jobs</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WHERE job_id IN ('IT_PROG','AD_VP','AD_PRES') ORDER BY max_salary;</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jobs = read('hr_jobs').set_index('job_id')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limits = [jobs.loc['IT_PROG','min_salary'], jobs.loc['IT_PROG','max_salary'],</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jobs.loc['AD_VP','max_salary'], jobs.loc['AD_PRES','max_salary']]</w:t>
      </w:r>
    </w:p>
    <w:p>
      <w:pPr>
        <w:pStyle w:val="Heading2"/>
        <w:keepNext/>
        <w:spacing w:before="280" w:after="120"/>
      </w:pPr>
      <w:r>
        <w:t xml:space="preserve">5.5 Insights obtenidos de HR</w:t>
      </w:r>
    </w:p>
    <w:p>
      <w:pPr>
        <w:pStyle w:val="ListParagraph"/>
        <w:numPr>
          <w:ilvl w:val="0"/>
          <w:numId w:val="2"/>
        </w:numPr>
        <w:spacing w:after="60" w:line="264"/>
        <w:jc w:val="both"/>
      </w:pPr>
      <w:r>
        <w:rPr>
          <w:b/>
          <w:bCs/>
        </w:rPr>
        <w:t xml:space="preserve">Compensación.</w:t>
      </w:r>
      <w:r>
        <w:t xml:space="preserve"> El salario mediano es 6,200.00 y el promedio 6,461.83, con un máximo de 24,000.00: la distribución tiene cola hacia salarios altos concentrados en puestos directivos.</w:t>
      </w:r>
    </w:p>
    <w:p>
      <w:pPr>
        <w:pStyle w:val="ListParagraph"/>
        <w:numPr>
          <w:ilvl w:val="0"/>
          <w:numId w:val="2"/>
        </w:numPr>
        <w:spacing w:after="60" w:line="264"/>
        <w:jc w:val="both"/>
      </w:pPr>
      <w:r>
        <w:rPr>
          <w:b/>
          <w:bCs/>
        </w:rPr>
        <w:t xml:space="preserve">Antigüedad y salario.</w:t>
      </w:r>
      <w:r>
        <w:t xml:space="preserve"> La correlación es moderada (r = 0.415). La antigüedad mediana es 10.76 años; la mayoría de la plantilla (66 empleados) tiene entre 9 y 12 años.</w:t>
      </w:r>
    </w:p>
    <w:p>
      <w:pPr>
        <w:pStyle w:val="ListParagraph"/>
        <w:numPr>
          <w:ilvl w:val="0"/>
          <w:numId w:val="2"/>
        </w:numPr>
        <w:spacing w:after="60" w:line="264"/>
        <w:jc w:val="both"/>
      </w:pPr>
      <w:r>
        <w:rPr>
          <w:b/>
          <w:bCs/>
        </w:rPr>
        <w:t xml:space="preserve">Estructura.</w:t>
      </w:r>
      <w:r>
        <w:t xml:space="preserve"> El organigrama tiene una sola raíz y una profundidad máxima de 3 niveles para 107 empleados: una estructura plana con amplitudes de supervisión grandes en algunos gerentes.</w:t>
      </w:r>
    </w:p>
    <w:p>
      <w:pPr>
        <w:pStyle w:val="ListParagraph"/>
        <w:numPr>
          <w:ilvl w:val="0"/>
          <w:numId w:val="2"/>
        </w:numPr>
        <w:spacing w:after="60" w:line="264"/>
        <w:jc w:val="both"/>
      </w:pPr>
      <w:r>
        <w:rPr>
          <w:b/>
          <w:bCs/>
        </w:rPr>
        <w:t xml:space="preserve">Ubicación.</w:t>
      </w:r>
      <w:r>
        <w:t xml:space="preserve"> South San Francisco concentra 45 empleados y Americas el 65.4% de la plantilla; un empleado no tiene departamento ni ubicación, lo que señala un problema de calidad de datos.</w:t>
      </w:r>
    </w:p>
    <w:p>
      <w:pPr>
        <w:pStyle w:val="ListParagraph"/>
        <w:numPr>
          <w:ilvl w:val="0"/>
          <w:numId w:val="2"/>
        </w:numPr>
        <w:spacing w:after="60" w:line="264"/>
        <w:jc w:val="both"/>
      </w:pPr>
      <w:r>
        <w:rPr>
          <w:b/>
          <w:bCs/>
        </w:rPr>
        <w:t xml:space="preserve">Movilidad.</w:t>
      </w:r>
      <w:r>
        <w:t xml:space="preserve"> Sólo 7 empleados tienen historial (10 transiciones, 4 con cambio de departamento): no alcanza para estimar rotación, pero sí para formular preguntas sobre movilidad interna.</w:t>
      </w:r>
    </w:p>
    <w:p>
      <w:pPr>
        <w:pStyle w:val="Heading1"/>
        <w:pageBreakBefore/>
        <w:spacing w:after="240"/>
      </w:pPr>
      <w:bookmarkStart w:name="h6" w:id="1"/>
      <w:r>
        <w:t xml:space="preserve">6. MongoDB y sensores</w:t>
      </w:r>
      <w:bookmarkEnd w:id="1"/>
    </w:p>
    <w:p>
      <w:pPr>
        <w:pStyle w:val="Heading2"/>
        <w:keepNext/>
        <w:spacing w:before="280" w:after="120"/>
      </w:pPr>
      <w:r>
        <w:t xml:space="preserve">6.1 Descripción de la base de datos</w:t>
      </w:r>
    </w:p>
    <w:p>
      <w:pPr>
        <w:spacing w:after="120" w:line="276"/>
        <w:jc w:val="left"/>
      </w:pPr>
      <w:r>
        <w:t xml:space="preserve">La colección </w:t>
      </w:r>
      <w:r>
        <w:rPr>
          <w:rFonts w:ascii="Consolas" w:cs="Consolas" w:eastAsia="Consolas" w:hAnsi="Consolas"/>
          <w:sz w:val="19"/>
          <w:szCs w:val="19"/>
        </w:rPr>
        <w:t xml:space="preserve">sensores_datos</w:t>
      </w:r>
      <w:r>
        <w:t xml:space="preserve"> de la base </w:t>
      </w:r>
      <w:r>
        <w:rPr>
          <w:rFonts w:ascii="Consolas" w:cs="Consolas" w:eastAsia="Consolas" w:hAnsi="Consolas"/>
          <w:sz w:val="19"/>
          <w:szCs w:val="19"/>
        </w:rPr>
        <w:t xml:space="preserve">bigdata_final</w:t>
      </w:r>
      <w:r>
        <w:t xml:space="preserve"> guarda una lectura por documento: timestamp (BSON Date), city, station, sensor_id, type, value, unit, latitude, longitude e injected_anomaly. Los datos son una </w:t>
      </w:r>
      <w:r>
        <w:rPr>
          <w:b/>
          <w:bCs/>
        </w:rPr>
        <w:t xml:space="preserve">simulación propia</w:t>
      </w:r>
      <w:r>
        <w:t xml:space="preserve"> y reproducible (semilla 5122026) con ciclos diarios, ruido y 103 anomalías inyectadas; la etiqueta injected_anomaly sólo se usa para evaluar el detector, no para detectar.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6768"/>
      </w:tblGrid>
      <w:tr>
        <w:trPr>
          <w:cantSplit/>
          <w:tblHeader/>
        </w:trPr>
        <w:tc>
          <w:tcPr>
            <w:tcW w:type="dxa" w:w="2592"/>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Propiedad</w:t>
            </w:r>
          </w:p>
        </w:tc>
        <w:tc>
          <w:tcPr>
            <w:tcW w:type="dxa" w:w="6768"/>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Configuración</w:t>
            </w:r>
          </w:p>
        </w:tc>
      </w:tr>
      <w:tr>
        <w:trPr>
          <w:cantSplit/>
        </w:trPr>
        <w:tc>
          <w:tcPr>
            <w:tcW w:type="dxa" w:w="25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Ubicaciones</w:t>
            </w:r>
          </w:p>
        </w:tc>
        <w:tc>
          <w:tcPr>
            <w:tcW w:type="dxa" w:w="676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Santo Domingo, Santiago y Punta Cana; dos estaciones por ciudad</w:t>
            </w:r>
          </w:p>
        </w:tc>
      </w:tr>
      <w:tr>
        <w:trPr>
          <w:cantSplit/>
        </w:trPr>
        <w:tc>
          <w:tcPr>
            <w:tcW w:type="dxa" w:w="25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Magnitudes</w:t>
            </w:r>
          </w:p>
        </w:tc>
        <w:tc>
          <w:tcPr>
            <w:tcW w:type="dxa" w:w="676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Temperatura (°C), humedad (%) y CO2 (ppm)</w:t>
            </w:r>
          </w:p>
        </w:tc>
      </w:tr>
      <w:tr>
        <w:trPr>
          <w:cantSplit/>
        </w:trPr>
        <w:tc>
          <w:tcPr>
            <w:tcW w:type="dxa" w:w="25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Frecuencia y período</w:t>
            </w:r>
          </w:p>
        </w:tc>
        <w:tc>
          <w:tcPr>
            <w:tcW w:type="dxa" w:w="676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Una lectura por hora y sensor, septiembre de 2026</w:t>
            </w:r>
          </w:p>
        </w:tc>
      </w:tr>
      <w:tr>
        <w:trPr>
          <w:cantSplit/>
        </w:trPr>
        <w:tc>
          <w:tcPr>
            <w:tcW w:type="dxa" w:w="25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Tamaño</w:t>
            </w:r>
          </w:p>
        </w:tc>
        <w:tc>
          <w:tcPr>
            <w:tcW w:type="dxa" w:w="676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18 sensores × 720 horas = 12,960 documentos</w:t>
            </w:r>
          </w:p>
        </w:tc>
      </w:tr>
      <w:tr>
        <w:trPr>
          <w:cantSplit/>
        </w:trPr>
        <w:tc>
          <w:tcPr>
            <w:tcW w:type="dxa" w:w="25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Índices</w:t>
            </w:r>
          </w:p>
        </w:tc>
        <w:tc>
          <w:tcPr>
            <w:tcW w:type="dxa" w:w="676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Único (sensor_id, timestamp); compuesto (type, timestamp, city)</w:t>
            </w:r>
          </w:p>
        </w:tc>
      </w:tr>
    </w:tbl>
    <w:p>
      <w:pPr>
        <w:spacing w:after="120"/>
      </w:pPr>
    </w:p>
    <w:p>
      <w:pPr>
        <w:pStyle w:val="Heading2"/>
        <w:keepNext/>
        <w:spacing w:before="280" w:after="120"/>
      </w:pPr>
      <w:r>
        <w:t xml:space="preserve">6.2 Instalación y carga</w:t>
      </w:r>
    </w:p>
    <w:p>
      <w:pPr>
        <w:spacing w:after="120" w:line="276"/>
        <w:jc w:val="left"/>
      </w:pPr>
      <w:r>
        <w:rPr>
          <w:rFonts w:ascii="Consolas" w:cs="Consolas" w:eastAsia="Consolas" w:hAnsi="Consolas"/>
          <w:sz w:val="19"/>
          <w:szCs w:val="19"/>
        </w:rPr>
        <w:t xml:space="preserve">lab.py iniciar mongodb</w:t>
      </w:r>
      <w:r>
        <w:t xml:space="preserve"> crea una instancia con autenticación. </w:t>
      </w:r>
      <w:r>
        <w:rPr>
          <w:rFonts w:ascii="Consolas" w:cs="Consolas" w:eastAsia="Consolas" w:hAnsi="Consolas"/>
          <w:sz w:val="19"/>
          <w:szCs w:val="19"/>
        </w:rPr>
        <w:t xml:space="preserve">lab.py cargar mongodb</w:t>
      </w:r>
      <w:r>
        <w:t xml:space="preserve"> aplica un validador de esquema y los índices, e importa </w:t>
      </w:r>
      <w:r>
        <w:rPr>
          <w:rFonts w:ascii="Consolas" w:cs="Consolas" w:eastAsia="Consolas" w:hAnsi="Consolas"/>
          <w:sz w:val="19"/>
          <w:szCs w:val="19"/>
        </w:rPr>
        <w:t xml:space="preserve">sensores.jsonl</w:t>
      </w:r>
      <w:r>
        <w:t xml:space="preserve"> con </w:t>
      </w:r>
      <w:r>
        <w:rPr>
          <w:rFonts w:ascii="Consolas" w:cs="Consolas" w:eastAsia="Consolas" w:hAnsi="Consolas"/>
          <w:sz w:val="19"/>
          <w:szCs w:val="19"/>
        </w:rPr>
        <w:t xml:space="preserve">mongoimport</w:t>
      </w:r>
      <w:r>
        <w:t xml:space="preserve"> en modo </w:t>
      </w:r>
      <w:r>
        <w:rPr>
          <w:i/>
          <w:iCs/>
        </w:rPr>
        <w:t xml:space="preserve">upsert</w:t>
      </w:r>
      <w:r>
        <w:t xml:space="preserve"> por (sensor_id, timestamp), de modo que repetir la carga no duplica lecturas. Las fechas se importan como BSON Date mediante Extended JSON [6].</w:t>
      </w:r>
    </w:p>
    <w:p>
      <w:pPr>
        <w:keepNext/>
        <w:spacing w:before="120" w:after="80"/>
        <w:jc w:val="center"/>
      </w:pPr>
      <w:r>
        <w:drawing>
          <wp:inline distT="0" distB="0" distL="0" distR="0">
            <wp:extent cx="4752975" cy="2333625"/>
            <wp:effectExtent t="0" r="0" b="0" l="0"/>
            <wp:docPr id="1" name="carga_mongodb.png" descr="Creación del contenedor de MongoDB e importación de 12,960 documentos en sensores_datos." title="Creación del contenedor de MongoDB e importación de 12,960 documentos en sensores_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52975" cy="2333625"/>
                    </a:xfrm>
                    <a:prstGeom prst="rect">
                      <a:avLst/>
                    </a:prstGeom>
                  </pic:spPr>
                </pic:pic>
              </a:graphicData>
            </a:graphic>
          </wp:inline>
        </w:drawing>
      </w:r>
    </w:p>
    <w:p>
      <w:pPr>
        <w:spacing w:after="220"/>
        <w:jc w:val="center"/>
      </w:pPr>
      <w:r>
        <w:rPr>
          <w:b/>
          <w:bCs/>
          <w:i/>
          <w:iCs/>
          <w:color w:val="555555"/>
          <w:sz w:val="19"/>
          <w:szCs w:val="19"/>
        </w:rPr>
        <w:t xml:space="preserve">Figura 34. </w:t>
      </w:r>
      <w:r>
        <w:rPr>
          <w:i/>
          <w:iCs/>
          <w:color w:val="555555"/>
          <w:sz w:val="19"/>
          <w:szCs w:val="19"/>
        </w:rPr>
        <w:t xml:space="preserve">Creación del contenedor de MongoDB e importación de 12,960 documentos en sensores_datos.</w:t>
      </w:r>
    </w:p>
    <w:p>
      <w:pPr>
        <w:pStyle w:val="Heading2"/>
        <w:keepNext/>
        <w:spacing w:before="280" w:after="120"/>
      </w:pPr>
      <w:r>
        <w:t xml:space="preserve">6.3 Conexión con PyMongo y evidencia</w:t>
      </w:r>
    </w:p>
    <w:p>
      <w:pPr>
        <w:spacing w:after="120" w:line="276"/>
        <w:jc w:val="left"/>
      </w:pPr>
      <w:r>
        <w:t xml:space="preserve">La conexión usa </w:t>
      </w:r>
      <w:r>
        <w:rPr>
          <w:b/>
          <w:bCs/>
        </w:rPr>
        <w:t xml:space="preserve">PyMongo</w:t>
      </w:r>
      <w:r>
        <w:t xml:space="preserve"> con autenticación contra la base </w:t>
      </w:r>
      <w:r>
        <w:rPr>
          <w:rFonts w:ascii="Consolas" w:cs="Consolas" w:eastAsia="Consolas" w:hAnsi="Consolas"/>
          <w:sz w:val="19"/>
          <w:szCs w:val="19"/>
        </w:rPr>
        <w:t xml:space="preserve">admin</w:t>
      </w:r>
      <w:r>
        <w:t xml:space="preserve"> [5]. La prueba ejecuta </w:t>
      </w:r>
      <w:r>
        <w:rPr>
          <w:rFonts w:ascii="Consolas" w:cs="Consolas" w:eastAsia="Consolas" w:hAnsi="Consolas"/>
          <w:sz w:val="19"/>
          <w:szCs w:val="19"/>
        </w:rPr>
        <w:t xml:space="preserve">ping</w:t>
      </w:r>
      <w:r>
        <w:t xml:space="preserve"> y cuenta los documentos de </w:t>
      </w:r>
      <w:r>
        <w:rPr>
          <w:rFonts w:ascii="Consolas" w:cs="Consolas" w:eastAsia="Consolas" w:hAnsi="Consolas"/>
          <w:sz w:val="19"/>
          <w:szCs w:val="19"/>
        </w:rPr>
        <w:t xml:space="preserve">sensores_datos</w:t>
      </w:r>
      <w:r>
        <w:t xml:space="preserve">: devolvió 12,960 documentos. Última verificación registrada: 2026-10-12 00:41:35 UTC.</w:t>
      </w:r>
    </w:p>
    <w:p>
      <w:pPr>
        <w:keepNext/>
        <w:spacing w:before="120" w:after="80"/>
        <w:jc w:val="center"/>
      </w:pPr>
      <w:r>
        <w:drawing>
          <wp:inline distT="0" distB="0" distL="0" distR="0">
            <wp:extent cx="5848350" cy="514350"/>
            <wp:effectExtent t="0" r="0" b="0" l="0"/>
            <wp:docPr id="1" name="conexion_mongodb.png" descr="Conexión exitosa a MongoDB mediante PyMongo (CONEXIÓN VERIFICADA, 12,960 documentos)." title="Conexión exitosa a MongoDB mediante PyMongo (CONEXIÓN VERIFICADA, 12,960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48350" cy="514350"/>
                    </a:xfrm>
                    <a:prstGeom prst="rect">
                      <a:avLst/>
                    </a:prstGeom>
                  </pic:spPr>
                </pic:pic>
              </a:graphicData>
            </a:graphic>
          </wp:inline>
        </w:drawing>
      </w:r>
    </w:p>
    <w:p>
      <w:pPr>
        <w:spacing w:after="220"/>
        <w:jc w:val="center"/>
      </w:pPr>
      <w:r>
        <w:rPr>
          <w:b/>
          <w:bCs/>
          <w:i/>
          <w:iCs/>
          <w:color w:val="555555"/>
          <w:sz w:val="19"/>
          <w:szCs w:val="19"/>
        </w:rPr>
        <w:t xml:space="preserve">Figura 35. </w:t>
      </w:r>
      <w:r>
        <w:rPr>
          <w:i/>
          <w:iCs/>
          <w:color w:val="555555"/>
          <w:sz w:val="19"/>
          <w:szCs w:val="19"/>
        </w:rPr>
        <w:t xml:space="preserve">Conexión exitosa a MongoDB mediante PyMongo (CONEXIÓN VERIFICADA, 12,960 documentos).</w:t>
      </w:r>
    </w:p>
    <w:p>
      <w:pPr>
        <w:pStyle w:val="Heading2"/>
        <w:keepNext/>
        <w:spacing w:before="280" w:after="120"/>
      </w:pPr>
      <w:r>
        <w:t xml:space="preserve">6.4 Visualizaciones</w:t>
      </w:r>
    </w:p>
    <w:p>
      <w:pPr>
        <w:spacing w:after="120" w:line="276"/>
        <w:jc w:val="left"/>
      </w:pPr>
      <w:r>
        <w:t xml:space="preserve">Las diez figuras siguientes se calculan sobre los documentos extraídos de MongoDB. Las consultas están en </w:t>
      </w:r>
      <w:r>
        <w:rPr>
          <w:rFonts w:ascii="Consolas" w:cs="Consolas" w:eastAsia="Consolas" w:hAnsi="Consolas"/>
          <w:sz w:val="19"/>
          <w:szCs w:val="19"/>
        </w:rPr>
        <w:t xml:space="preserve">mongo/consultas.js</w:t>
      </w:r>
      <w:r>
        <w:t xml:space="preserve">; en todas, </w:t>
      </w:r>
      <w:r>
        <w:rPr>
          <w:rFonts w:ascii="Consolas" w:cs="Consolas" w:eastAsia="Consolas" w:hAnsi="Consolas"/>
          <w:sz w:val="19"/>
          <w:szCs w:val="19"/>
        </w:rPr>
        <w:t xml:space="preserve">c</w:t>
      </w:r>
      <w:r>
        <w:t xml:space="preserve"> es la colección </w:t>
      </w:r>
      <w:r>
        <w:rPr>
          <w:rFonts w:ascii="Consolas" w:cs="Consolas" w:eastAsia="Consolas" w:hAnsi="Consolas"/>
          <w:sz w:val="19"/>
          <w:szCs w:val="19"/>
        </w:rPr>
        <w:t xml:space="preserve">sensores_datos</w:t>
      </w:r>
      <w:r>
        <w:t xml:space="preserve"> y </w:t>
      </w:r>
      <w:r>
        <w:rPr>
          <w:rFonts w:ascii="Consolas" w:cs="Consolas" w:eastAsia="Consolas" w:hAnsi="Consolas"/>
          <w:sz w:val="19"/>
          <w:szCs w:val="19"/>
        </w:rPr>
        <w:t xml:space="preserve">tz</w:t>
      </w:r>
      <w:r>
        <w:t xml:space="preserve"> la zona </w:t>
      </w:r>
      <w:r>
        <w:rPr>
          <w:rFonts w:ascii="Consolas" w:cs="Consolas" w:eastAsia="Consolas" w:hAnsi="Consolas"/>
          <w:sz w:val="19"/>
          <w:szCs w:val="19"/>
        </w:rPr>
        <w:t xml:space="preserve">America/Santo_Domingo</w:t>
      </w:r>
      <w:r>
        <w:t xml:space="preserve">. Las magnitudes con unidades distintas nunca se suman entre sí.</w:t>
      </w:r>
    </w:p>
    <w:p>
      <w:pPr>
        <w:pStyle w:val="Heading3"/>
        <w:keepNext/>
        <w:spacing w:before="180" w:after="80"/>
      </w:pPr>
      <w:r>
        <w:t xml:space="preserve">S01 · Serie temporal de temperatura por ciudad</w:t>
      </w:r>
    </w:p>
    <w:p>
      <w:pPr>
        <w:keepNext/>
        <w:spacing w:before="120" w:after="80"/>
        <w:jc w:val="center"/>
      </w:pPr>
      <w:r>
        <w:drawing>
          <wp:inline distT="0" distB="0" distL="0" distR="0">
            <wp:extent cx="5486400" cy="3095625"/>
            <wp:effectExtent t="0" r="0" b="0" l="0"/>
            <wp:docPr id="1" name="S01.png" descr="Serie temporal de temperatura por ciudad (S01). Fuente: MongoDB / sensores (simulación)." title="Serie temporal de temperatura por ciudad (S01).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36. </w:t>
      </w:r>
      <w:r>
        <w:rPr>
          <w:i/>
          <w:iCs/>
          <w:color w:val="555555"/>
          <w:sz w:val="19"/>
          <w:szCs w:val="19"/>
        </w:rPr>
        <w:t xml:space="preserve">Serie temporal de temperatura por ciudad (S01). Fuente: MongoDB / sensores (simulación).</w:t>
      </w:r>
    </w:p>
    <w:p>
      <w:pPr>
        <w:spacing w:after="120" w:line="276"/>
        <w:jc w:val="both"/>
      </w:pPr>
      <w:r>
        <w:rPr>
          <w:b/>
          <w:bCs/>
        </w:rPr>
        <w:t xml:space="preserve">Construcción.</w:t>
      </w:r>
      <w:r>
        <w:t xml:space="preserve"> Se promedian dos estaciones y 24 lecturas horarias por día y ciudad. La fecha se obtiene después de convertir UTC a America/Santo_Domingo.</w:t>
      </w:r>
    </w:p>
    <w:p>
      <w:pPr>
        <w:spacing w:after="120" w:line="276"/>
        <w:jc w:val="both"/>
      </w:pPr>
      <w:r>
        <w:rPr>
          <w:b/>
          <w:bCs/>
        </w:rPr>
        <w:t xml:space="preserve">Resultado observado.</w:t>
      </w:r>
      <w:r>
        <w:t xml:space="preserve"> Santo Domingo tiene la mayor temperatura media: 28.24 °C.</w:t>
      </w:r>
    </w:p>
    <w:p>
      <w:pPr>
        <w:spacing w:after="120" w:line="276"/>
        <w:jc w:val="both"/>
      </w:pPr>
      <w:r>
        <w:rPr>
          <w:b/>
          <w:bCs/>
        </w:rPr>
        <w:t xml:space="preserve">Insight y decisión que apoya.</w:t>
      </w:r>
      <w:r>
        <w:t xml:space="preserve"> Inspeccionar cambios diarios y confirmar si responden a señales persistentes o a puntos anómalos.</w:t>
      </w:r>
    </w:p>
    <w:p>
      <w:pPr>
        <w:spacing w:after="120" w:line="276"/>
        <w:jc w:val="both"/>
      </w:pPr>
      <w:r>
        <w:rPr>
          <w:b/>
          <w:bCs/>
        </w:rPr>
        <w:t xml:space="preserve">Límite de interpretación.</w:t>
      </w:r>
      <w:r>
        <w:t xml:space="preserve"> Todas las lecturas son sintéticas; las diferencias entre ciudades se definieron en el generador y no describen el clima real.</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S01: media diaria por ciudad, sólo temperatura.</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c.aggregate([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$match: { type: 'temperatura'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$group: { _id: { date: { $dateTrunc: { date: '$timestamp', unit: 'day', timezone: tz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city: '$city'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mean: { $avg: '$value' }, n: { $sum: 1 }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$sort: { '_id.date': 1 }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temp = s[s.type == 'temperatura']</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daily = temp.groupby(['date','city'], as_index=False).value.mean()</w:t>
      </w:r>
    </w:p>
    <w:p>
      <w:pPr>
        <w:pStyle w:val="Heading3"/>
        <w:keepNext/>
        <w:pageBreakBefore/>
        <w:spacing w:before="180" w:after="80"/>
      </w:pPr>
      <w:r>
        <w:t xml:space="preserve">S02 · Mapa de calor geográfico de lecturas</w:t>
      </w:r>
    </w:p>
    <w:p>
      <w:pPr>
        <w:keepNext/>
        <w:spacing w:before="120" w:after="80"/>
        <w:jc w:val="center"/>
      </w:pPr>
      <w:r>
        <w:drawing>
          <wp:inline distT="0" distB="0" distL="0" distR="0">
            <wp:extent cx="5486400" cy="3105150"/>
            <wp:effectExtent t="0" r="0" b="0" l="0"/>
            <wp:docPr id="1" name="S02.png" descr="Mapa de calor geográfico de lecturas (S02). Fuente: MongoDB / sensores (simulación)." title="Mapa de calor geográfico de lecturas (S02).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105150"/>
                    </a:xfrm>
                    <a:prstGeom prst="rect">
                      <a:avLst/>
                    </a:prstGeom>
                  </pic:spPr>
                </pic:pic>
              </a:graphicData>
            </a:graphic>
          </wp:inline>
        </w:drawing>
      </w:r>
    </w:p>
    <w:p>
      <w:pPr>
        <w:spacing w:after="220"/>
        <w:jc w:val="center"/>
      </w:pPr>
      <w:r>
        <w:rPr>
          <w:b/>
          <w:bCs/>
          <w:i/>
          <w:iCs/>
          <w:color w:val="555555"/>
          <w:sz w:val="19"/>
          <w:szCs w:val="19"/>
        </w:rPr>
        <w:t xml:space="preserve">Figura 37. </w:t>
      </w:r>
      <w:r>
        <w:rPr>
          <w:i/>
          <w:iCs/>
          <w:color w:val="555555"/>
          <w:sz w:val="19"/>
          <w:szCs w:val="19"/>
        </w:rPr>
        <w:t xml:space="preserve">Mapa de calor geográfico de lecturas (S02). Fuente: MongoDB / sensores (simulación).</w:t>
      </w:r>
    </w:p>
    <w:p>
      <w:pPr>
        <w:spacing w:after="120" w:line="276"/>
        <w:jc w:val="both"/>
      </w:pPr>
      <w:r>
        <w:rPr>
          <w:b/>
          <w:bCs/>
        </w:rPr>
        <w:t xml:space="preserve">Construcción.</w:t>
      </w:r>
      <w:r>
        <w:t xml:space="preserve"> Se agregan lecturas por coordenada de estación. La figura estática ubica puntos coloreados en latitud/longitud; el dashboard muestra las estaciones en longitud/latitud con la misma escala, coloreadas por lecturas, sin depender de un mapa externo.</w:t>
      </w:r>
    </w:p>
    <w:p>
      <w:pPr>
        <w:spacing w:after="120" w:line="276"/>
        <w:jc w:val="both"/>
      </w:pPr>
      <w:r>
        <w:rPr>
          <w:b/>
          <w:bCs/>
        </w:rPr>
        <w:t xml:space="preserve">Resultado observado.</w:t>
      </w:r>
      <w:r>
        <w:t xml:space="preserve"> Las seis estaciones tienen 2,160 lecturas cada una; la cobertura de observación es uniforme.</w:t>
      </w:r>
    </w:p>
    <w:p>
      <w:pPr>
        <w:spacing w:after="120" w:line="276"/>
        <w:jc w:val="both"/>
      </w:pPr>
      <w:r>
        <w:rPr>
          <w:b/>
          <w:bCs/>
        </w:rPr>
        <w:t xml:space="preserve">Insight y decisión que apoya.</w:t>
      </w:r>
      <w:r>
        <w:t xml:space="preserve"> Utilizar el mapa para reconocer distribución de estaciones y revisar diferencias de cobertura cuando se incorporen datos reales.</w:t>
      </w:r>
    </w:p>
    <w:p>
      <w:pPr>
        <w:spacing w:after="120" w:line="276"/>
        <w:jc w:val="both"/>
      </w:pPr>
      <w:r>
        <w:rPr>
          <w:b/>
          <w:bCs/>
        </w:rPr>
        <w:t xml:space="preserve">Límite de interpretación.</w:t>
      </w:r>
      <w:r>
        <w:t xml:space="preserve"> El mapa representa conteo y no temperatura. Las coordenadas de estaciones son ilustrativas; no corresponden a instalaciones verificadas.</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S02: intensidad de lecturas por ubicación.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c.aggregate([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$group: { _id: { city: '$city', station: '$station', lat: '$latitude', lon: '$longitude'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n: { $sum: 1 } }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geo = s.groupby(['city','station','latitude','longitude'],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as_index=False).agg(readings=('value','size'))</w:t>
      </w:r>
    </w:p>
    <w:p>
      <w:pPr>
        <w:pStyle w:val="Heading3"/>
        <w:keepNext/>
        <w:pageBreakBefore/>
        <w:spacing w:before="180" w:after="80"/>
      </w:pPr>
      <w:r>
        <w:t xml:space="preserve">S03 · Violines por tipo de sensor</w:t>
      </w:r>
    </w:p>
    <w:p>
      <w:pPr>
        <w:keepNext/>
        <w:spacing w:before="120" w:after="80"/>
        <w:jc w:val="center"/>
      </w:pPr>
      <w:r>
        <w:drawing>
          <wp:inline distT="0" distB="0" distL="0" distR="0">
            <wp:extent cx="5486400" cy="3095625"/>
            <wp:effectExtent t="0" r="0" b="0" l="0"/>
            <wp:docPr id="1" name="S03.png" descr="Violines por tipo de sensor (S03). Fuente: MongoDB / sensores (simulación)." title="Violines por tipo de sensor (S03).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38. </w:t>
      </w:r>
      <w:r>
        <w:rPr>
          <w:i/>
          <w:iCs/>
          <w:color w:val="555555"/>
          <w:sz w:val="19"/>
          <w:szCs w:val="19"/>
        </w:rPr>
        <w:t xml:space="preserve">Violines por tipo de sensor (S03). Fuente: MongoDB / sensores (simulación).</w:t>
      </w:r>
    </w:p>
    <w:p>
      <w:pPr>
        <w:spacing w:after="120" w:line="276"/>
        <w:jc w:val="both"/>
      </w:pPr>
      <w:r>
        <w:rPr>
          <w:b/>
          <w:bCs/>
        </w:rPr>
        <w:t xml:space="preserve">Construcción.</w:t>
      </w:r>
      <w:r>
        <w:t xml:space="preserve"> Se dibujan tres distribuciones en paneles con escalas y unidades independientes. Las colas incluyen anomalías inyectadas.</w:t>
      </w:r>
    </w:p>
    <w:p>
      <w:pPr>
        <w:spacing w:after="120" w:line="276"/>
        <w:jc w:val="both"/>
      </w:pPr>
      <w:r>
        <w:rPr>
          <w:b/>
          <w:bCs/>
        </w:rPr>
        <w:t xml:space="preserve">Resultado observado.</w:t>
      </w:r>
      <w:r>
        <w:t xml:space="preserve"> Las medianas son temperatura 27.23 °C, humedad 71.64% y CO2 449.10 ppm.</w:t>
      </w:r>
    </w:p>
    <w:p>
      <w:pPr>
        <w:spacing w:after="120" w:line="276"/>
        <w:jc w:val="both"/>
      </w:pPr>
      <w:r>
        <w:rPr>
          <w:b/>
          <w:bCs/>
        </w:rPr>
        <w:t xml:space="preserve">Insight y decisión que apoya.</w:t>
      </w:r>
      <w:r>
        <w:t xml:space="preserve"> Comparar dispersión dentro de cada magnitud y revisar extremos con el detector robusto.</w:t>
      </w:r>
    </w:p>
    <w:p>
      <w:pPr>
        <w:spacing w:after="120" w:line="276"/>
        <w:jc w:val="both"/>
      </w:pPr>
      <w:r>
        <w:rPr>
          <w:b/>
          <w:bCs/>
        </w:rPr>
        <w:t xml:space="preserve">Límite de interpretación.</w:t>
      </w:r>
      <w:r>
        <w:t xml:space="preserve"> Las variables tienen unidades distintas. Las alturas entre paneles no deben compararse; la forma depende del ancho de suavizado.</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S03: observaciones separadas por tipo y unidad; nunca sumar magnitudes diferentes.</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c.find({}, { _id: 0, type: 1, value: 1, unit: 1 });</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for typ in ['temperatura','humedad','co2']:</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values = s.loc[s.type == typ, 'value']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 Un panel independiente y su unidad para cada magnitud.</w:t>
      </w:r>
    </w:p>
    <w:p>
      <w:pPr>
        <w:pStyle w:val="Heading3"/>
        <w:keepNext/>
        <w:pageBreakBefore/>
        <w:spacing w:before="180" w:after="80"/>
      </w:pPr>
      <w:r>
        <w:t xml:space="preserve">S04 · Matriz de dispersión entre sensores</w:t>
      </w:r>
    </w:p>
    <w:p>
      <w:pPr>
        <w:keepNext/>
        <w:spacing w:before="120" w:after="80"/>
        <w:jc w:val="center"/>
      </w:pPr>
      <w:r>
        <w:drawing>
          <wp:inline distT="0" distB="0" distL="0" distR="0">
            <wp:extent cx="5448300" cy="3295650"/>
            <wp:effectExtent t="0" r="0" b="0" l="0"/>
            <wp:docPr id="1" name="S04.png" descr="Matriz de dispersión entre sensores (S04). Fuente: MongoDB / sensores (simulación)." title="Matriz de dispersión entre sensores (S04).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48300" cy="3295650"/>
                    </a:xfrm>
                    <a:prstGeom prst="rect">
                      <a:avLst/>
                    </a:prstGeom>
                  </pic:spPr>
                </pic:pic>
              </a:graphicData>
            </a:graphic>
          </wp:inline>
        </w:drawing>
      </w:r>
    </w:p>
    <w:p>
      <w:pPr>
        <w:spacing w:after="220"/>
        <w:jc w:val="center"/>
      </w:pPr>
      <w:r>
        <w:rPr>
          <w:b/>
          <w:bCs/>
          <w:i/>
          <w:iCs/>
          <w:color w:val="555555"/>
          <w:sz w:val="19"/>
          <w:szCs w:val="19"/>
        </w:rPr>
        <w:t xml:space="preserve">Figura 39. </w:t>
      </w:r>
      <w:r>
        <w:rPr>
          <w:i/>
          <w:iCs/>
          <w:color w:val="555555"/>
          <w:sz w:val="19"/>
          <w:szCs w:val="19"/>
        </w:rPr>
        <w:t xml:space="preserve">Matriz de dispersión entre sensores (S04). Fuente: MongoDB / sensores (simulación).</w:t>
      </w:r>
    </w:p>
    <w:p>
      <w:pPr>
        <w:spacing w:after="120" w:line="276"/>
        <w:jc w:val="both"/>
      </w:pPr>
      <w:r>
        <w:rPr>
          <w:b/>
          <w:bCs/>
        </w:rPr>
        <w:t xml:space="preserve">Construcción.</w:t>
      </w:r>
      <w:r>
        <w:t xml:space="preserve"> Se alinea cada estación y timestamp antes de pivotar tipos. No se correlacionan listas de lecturas sin correspondencia temporal.</w:t>
      </w:r>
    </w:p>
    <w:p>
      <w:pPr>
        <w:spacing w:after="120" w:line="276"/>
        <w:jc w:val="both"/>
      </w:pPr>
      <w:r>
        <w:rPr>
          <w:b/>
          <w:bCs/>
        </w:rPr>
        <w:t xml:space="preserve">Resultado observado.</w:t>
      </w:r>
      <w:r>
        <w:t xml:space="preserve"> La correlación temperatura-humedad es -0.590; temperatura-CO2 es 0.341.</w:t>
      </w:r>
    </w:p>
    <w:p>
      <w:pPr>
        <w:spacing w:after="120" w:line="276"/>
        <w:jc w:val="both"/>
      </w:pPr>
      <w:r>
        <w:rPr>
          <w:b/>
          <w:bCs/>
        </w:rPr>
        <w:t xml:space="preserve">Insight y decisión que apoya.</w:t>
      </w:r>
      <w:r>
        <w:t xml:space="preserve"> Inspeccionar dependencias y diferencias entre estaciones, y recalcular correlaciones excluyendo anomalías para analizar sensibilidad.</w:t>
      </w:r>
    </w:p>
    <w:p>
      <w:pPr>
        <w:spacing w:after="120" w:line="276"/>
        <w:jc w:val="both"/>
      </w:pPr>
      <w:r>
        <w:rPr>
          <w:b/>
          <w:bCs/>
        </w:rPr>
        <w:t xml:space="preserve">Límite de interpretación.</w:t>
      </w:r>
      <w:r>
        <w:t xml:space="preserve"> La relación inversa entre humedad y temperatura fue introducida por el generador. Los puntos extremos alteran Pearson y no constituyen evidencia física de campo.</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S04: alineación por estación y timestamp; los tipos se pivotan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c.aggregate([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$group: { _id: { station: '$station', timestamp: '$timestamp'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readings: { $push: { type: '$type', value: '$value' } }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$sort: { '_id.timestamp': 1 }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wide = s.pivot(index=['station','timestamp'],</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columns='type', values='value')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correlations = wide.corr()</w:t>
      </w:r>
    </w:p>
    <w:p>
      <w:pPr>
        <w:pStyle w:val="Heading3"/>
        <w:keepNext/>
        <w:pageBreakBefore/>
        <w:spacing w:before="180" w:after="80"/>
      </w:pPr>
      <w:r>
        <w:t xml:space="preserve">S05 · Áreas apiladas por ubicación</w:t>
      </w:r>
    </w:p>
    <w:p>
      <w:pPr>
        <w:keepNext/>
        <w:spacing w:before="120" w:after="80"/>
        <w:jc w:val="center"/>
      </w:pPr>
      <w:r>
        <w:drawing>
          <wp:inline distT="0" distB="0" distL="0" distR="0">
            <wp:extent cx="5486400" cy="3095625"/>
            <wp:effectExtent t="0" r="0" b="0" l="0"/>
            <wp:docPr id="1" name="S05.png" descr="Áreas apiladas por ubicación (S05). Fuente: MongoDB / sensores (simulación)." title="Áreas apiladas por ubicación (S05).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40. </w:t>
      </w:r>
      <w:r>
        <w:rPr>
          <w:i/>
          <w:iCs/>
          <w:color w:val="555555"/>
          <w:sz w:val="19"/>
          <w:szCs w:val="19"/>
        </w:rPr>
        <w:t xml:space="preserve">Áreas apiladas por ubicación (S05). Fuente: MongoDB / sensores (simulación).</w:t>
      </w:r>
    </w:p>
    <w:p>
      <w:pPr>
        <w:spacing w:after="120" w:line="276"/>
        <w:jc w:val="both"/>
      </w:pPr>
      <w:r>
        <w:rPr>
          <w:b/>
          <w:bCs/>
        </w:rPr>
        <w:t xml:space="preserve">Construcción.</w:t>
      </w:r>
      <w:r>
        <w:t xml:space="preserve"> Se apilan conteos diarios por ciudad. Se usa conteo para evitar sumar temperatura, humedad y CO2, magnitudes incompatibles.</w:t>
      </w:r>
    </w:p>
    <w:p>
      <w:pPr>
        <w:spacing w:after="120" w:line="276"/>
        <w:jc w:val="both"/>
      </w:pPr>
      <w:r>
        <w:rPr>
          <w:b/>
          <w:bCs/>
        </w:rPr>
        <w:t xml:space="preserve">Resultado observado.</w:t>
      </w:r>
      <w:r>
        <w:t xml:space="preserve"> Cada ciudad aporta 4,320 lecturas en 30 días; la participación diaria es 33.3% por ciudad.</w:t>
      </w:r>
    </w:p>
    <w:p>
      <w:pPr>
        <w:spacing w:after="120" w:line="276"/>
        <w:jc w:val="both"/>
      </w:pPr>
      <w:r>
        <w:rPr>
          <w:b/>
          <w:bCs/>
        </w:rPr>
        <w:t xml:space="preserve">Insight y decisión que apoya.</w:t>
      </w:r>
      <w:r>
        <w:t xml:space="preserve"> Identificar pérdida de cobertura si una banda disminuye en un despliegue real.</w:t>
      </w:r>
    </w:p>
    <w:p>
      <w:pPr>
        <w:spacing w:after="120" w:line="276"/>
        <w:jc w:val="both"/>
      </w:pPr>
      <w:r>
        <w:rPr>
          <w:b/>
          <w:bCs/>
        </w:rPr>
        <w:t xml:space="preserve">Límite de interpretación.</w:t>
      </w:r>
      <w:r>
        <w:t xml:space="preserve"> La estabilidad procede del muestreo sintético uniforme. La suma representa eventos y no intensidad de una variable física.</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S05: conteo de eventos diarios por ciudad.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c.aggregate([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$group: { _id: { date: { $dateTrunc: { date: '$timestamp', unit: 'day', timezone: tz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city: '$city'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n: { $sum: 1 }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$sort: { '_id.date': 1 }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val="false"/>
        <w:keepLines/>
        <w:pBdr>
          <w:left w:val="single" w:color="3A5F8A" w:sz="12" w:space="6"/>
        </w:pBdr>
        <w:shd w:fill="F3F4F6" w:color="auto" w:val="clear"/>
        <w:spacing w:before="80" w:after="180" w:line="240"/>
        <w:ind w:left="180"/>
      </w:pPr>
      <w:r>
        <w:rPr>
          <w:rFonts w:ascii="Consolas" w:cs="Consolas" w:eastAsia="Consolas" w:hAnsi="Consolas"/>
          <w:sz w:val="17"/>
          <w:szCs w:val="17"/>
        </w:rPr>
        <w:t xml:space="preserve">counts = s.groupby(['date','city']).size().unstack(fill_value=0)</w:t>
      </w:r>
    </w:p>
    <w:p>
      <w:pPr>
        <w:pStyle w:val="Heading3"/>
        <w:keepNext/>
        <w:pageBreakBefore/>
        <w:spacing w:before="180" w:after="80"/>
      </w:pPr>
      <w:r>
        <w:t xml:space="preserve">S06 · Detección de anomalías con MAD</w:t>
      </w:r>
    </w:p>
    <w:p>
      <w:pPr>
        <w:keepNext/>
        <w:spacing w:before="120" w:after="80"/>
        <w:jc w:val="center"/>
      </w:pPr>
      <w:r>
        <w:drawing>
          <wp:inline distT="0" distB="0" distL="0" distR="0">
            <wp:extent cx="5486400" cy="3095625"/>
            <wp:effectExtent t="0" r="0" b="0" l="0"/>
            <wp:docPr id="1" name="S06.png" descr="Detección de anomalías con MAD (S06). Fuente: MongoDB / sensores (simulación)." title="Detección de anomalías con MAD (S06).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41. </w:t>
      </w:r>
      <w:r>
        <w:rPr>
          <w:i/>
          <w:iCs/>
          <w:color w:val="555555"/>
          <w:sz w:val="19"/>
          <w:szCs w:val="19"/>
        </w:rPr>
        <w:t xml:space="preserve">Detección de anomalías con MAD (S06). Fuente: MongoDB / sensores (simulación).</w:t>
      </w:r>
    </w:p>
    <w:p>
      <w:pPr>
        <w:spacing w:after="120" w:line="276"/>
        <w:jc w:val="both"/>
      </w:pPr>
      <w:r>
        <w:rPr>
          <w:b/>
          <w:bCs/>
        </w:rPr>
        <w:t xml:space="preserve">Construcción.</w:t>
      </w:r>
      <w:r>
        <w:t xml:space="preserve"> Por sensor y hora del día se calcula mediana y MAD. Se alerta si |valor - mediana| / (1.4826 × MAD) &gt; 3.5. La etiqueta inyectada sólo se usa para evaluar.</w:t>
      </w:r>
    </w:p>
    <w:p>
      <w:pPr>
        <w:spacing w:after="120" w:line="276"/>
        <w:jc w:val="both"/>
      </w:pPr>
      <w:r>
        <w:rPr>
          <w:b/>
          <w:bCs/>
        </w:rPr>
        <w:t xml:space="preserve">Resultado observado.</w:t>
      </w:r>
      <w:r>
        <w:t xml:space="preserve"> En las 12,960 lecturas se detectan 137 alertas: 103 verdaderos positivos, 34 falsos positivos y 0 falsos negativos. Precisión 75.2%; sensibilidad 100.0%.</w:t>
      </w:r>
    </w:p>
    <w:p>
      <w:pPr>
        <w:spacing w:after="120" w:line="276"/>
        <w:jc w:val="both"/>
      </w:pPr>
      <w:r>
        <w:rPr>
          <w:b/>
          <w:bCs/>
        </w:rPr>
        <w:t xml:space="preserve">Insight y decisión que apoya.</w:t>
      </w:r>
      <w:r>
        <w:t xml:space="preserve"> Revisar alertas antes de eliminar datos y calibrar el umbral con una ventana histórica independiente.</w:t>
      </w:r>
    </w:p>
    <w:p>
      <w:pPr>
        <w:spacing w:after="120" w:line="276"/>
        <w:jc w:val="both"/>
      </w:pPr>
      <w:r>
        <w:rPr>
          <w:b/>
          <w:bCs/>
        </w:rPr>
        <w:t xml:space="preserve">Límite de interpretación.</w:t>
      </w:r>
      <w:r>
        <w:t xml:space="preserve"> La referencia usa todo septiembre: es detección retrospectiva, no validación predictiva. En producción debe entrenarse sobre datos previos y controlar MAD igual a cero.</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S06: series para mediana/MAD por sensor y hora local (cálculo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c.aggregate([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$project: { _id: 0, sensor_id: 1, value: 1, timestamp: 1,</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hour: { $hour: { date: '$timestamp', timezone: tz } } } },</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$sort: { sensor_id: 1, timestamp: 1 }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s['score'] = abs(s.value - s.baseline) / (1.4826 * s.mad)</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s['detected'] = s.score &gt; 3.5</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injected_anomaly NO participa en la regla.</w:t>
      </w:r>
    </w:p>
    <w:p>
      <w:pPr>
        <w:pStyle w:val="Heading3"/>
        <w:keepNext/>
        <w:pageBreakBefore/>
        <w:spacing w:before="180" w:after="80"/>
      </w:pPr>
      <w:r>
        <w:t xml:space="preserve">S07 · Calendario de patrones diarios</w:t>
      </w:r>
    </w:p>
    <w:p>
      <w:pPr>
        <w:keepNext/>
        <w:spacing w:before="120" w:after="80"/>
        <w:jc w:val="center"/>
      </w:pPr>
      <w:r>
        <w:drawing>
          <wp:inline distT="0" distB="0" distL="0" distR="0">
            <wp:extent cx="5486400" cy="3105150"/>
            <wp:effectExtent t="0" r="0" b="0" l="0"/>
            <wp:docPr id="1" name="S07.png" descr="Calendario de patrones diarios (S07). Fuente: MongoDB / sensores (simulación)." title="Calendario de patrones diarios (S07).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3105150"/>
                    </a:xfrm>
                    <a:prstGeom prst="rect">
                      <a:avLst/>
                    </a:prstGeom>
                  </pic:spPr>
                </pic:pic>
              </a:graphicData>
            </a:graphic>
          </wp:inline>
        </w:drawing>
      </w:r>
    </w:p>
    <w:p>
      <w:pPr>
        <w:spacing w:after="220"/>
        <w:jc w:val="center"/>
      </w:pPr>
      <w:r>
        <w:rPr>
          <w:b/>
          <w:bCs/>
          <w:i/>
          <w:iCs/>
          <w:color w:val="555555"/>
          <w:sz w:val="19"/>
          <w:szCs w:val="19"/>
        </w:rPr>
        <w:t xml:space="preserve">Figura 42. </w:t>
      </w:r>
      <w:r>
        <w:rPr>
          <w:i/>
          <w:iCs/>
          <w:color w:val="555555"/>
          <w:sz w:val="19"/>
          <w:szCs w:val="19"/>
        </w:rPr>
        <w:t xml:space="preserve">Calendario de patrones diarios (S07). Fuente: MongoDB / sensores (simulación).</w:t>
      </w:r>
    </w:p>
    <w:p>
      <w:pPr>
        <w:spacing w:after="120" w:line="276"/>
        <w:jc w:val="both"/>
      </w:pPr>
      <w:r>
        <w:rPr>
          <w:b/>
          <w:bCs/>
        </w:rPr>
        <w:t xml:space="preserve">Construcción.</w:t>
      </w:r>
      <w:r>
        <w:t xml:space="preserve"> Se suman alertas por día local y se organizan en semanas de lunes a domingo. Celdas fuera de septiembre permanecen vacías.</w:t>
      </w:r>
    </w:p>
    <w:p>
      <w:pPr>
        <w:spacing w:after="120" w:line="276"/>
        <w:jc w:val="both"/>
      </w:pPr>
      <w:r>
        <w:rPr>
          <w:b/>
          <w:bCs/>
        </w:rPr>
        <w:t xml:space="preserve">Resultado observado.</w:t>
      </w:r>
      <w:r>
        <w:t xml:space="preserve"> El mayor conteo corresponde al 2026-09-25: 9 alertas sobre 432 lecturas diarias.</w:t>
      </w:r>
    </w:p>
    <w:p>
      <w:pPr>
        <w:spacing w:after="120" w:line="276"/>
        <w:jc w:val="both"/>
      </w:pPr>
      <w:r>
        <w:rPr>
          <w:b/>
          <w:bCs/>
        </w:rPr>
        <w:t xml:space="preserve">Insight y decisión que apoya.</w:t>
      </w:r>
      <w:r>
        <w:t xml:space="preserve"> Comparar alertas diarias con volumen de lecturas para localizar jornadas de revisión.</w:t>
      </w:r>
    </w:p>
    <w:p>
      <w:pPr>
        <w:spacing w:after="120" w:line="276"/>
        <w:jc w:val="both"/>
      </w:pPr>
      <w:r>
        <w:rPr>
          <w:b/>
          <w:bCs/>
        </w:rPr>
        <w:t xml:space="preserve">Límite de interpretación.</w:t>
      </w:r>
      <w:r>
        <w:t xml:space="preserve"> Sólo hay un mes de datos simulados. El máximo no confirma un patrón semanal estable ni una falla real.</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S07: datos para el calendario; las alertas se derivan en Python.</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c.find({}, { _id: 0, timestamp: 1, sensor_id: 1, value: 1 });</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daily_alerts = s.groupby('date').detected.sum()</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Matriz calendario con huecos fuera del mes.</w:t>
      </w:r>
    </w:p>
    <w:p>
      <w:pPr>
        <w:pStyle w:val="Heading3"/>
        <w:keepNext/>
        <w:pageBreakBefore/>
        <w:spacing w:before="180" w:after="80"/>
      </w:pPr>
      <w:r>
        <w:t xml:space="preserve">S08 · Red de relaciones entre sensores</w:t>
      </w:r>
    </w:p>
    <w:p>
      <w:pPr>
        <w:keepNext/>
        <w:spacing w:before="120" w:after="80"/>
        <w:jc w:val="center"/>
      </w:pPr>
      <w:r>
        <w:drawing>
          <wp:inline distT="0" distB="0" distL="0" distR="0">
            <wp:extent cx="3390900" cy="3295650"/>
            <wp:effectExtent t="0" r="0" b="0" l="0"/>
            <wp:docPr id="1" name="S08.png" descr="Red de relaciones entre sensores (S08). Fuente: MongoDB / sensores (simulación)." title="Red de relaciones entre sensores (S08).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3295650"/>
                    </a:xfrm>
                    <a:prstGeom prst="rect">
                      <a:avLst/>
                    </a:prstGeom>
                  </pic:spPr>
                </pic:pic>
              </a:graphicData>
            </a:graphic>
          </wp:inline>
        </w:drawing>
      </w:r>
    </w:p>
    <w:p>
      <w:pPr>
        <w:spacing w:after="220"/>
        <w:jc w:val="center"/>
      </w:pPr>
      <w:r>
        <w:rPr>
          <w:b/>
          <w:bCs/>
          <w:i/>
          <w:iCs/>
          <w:color w:val="555555"/>
          <w:sz w:val="19"/>
          <w:szCs w:val="19"/>
        </w:rPr>
        <w:t xml:space="preserve">Figura 43. </w:t>
      </w:r>
      <w:r>
        <w:rPr>
          <w:i/>
          <w:iCs/>
          <w:color w:val="555555"/>
          <w:sz w:val="19"/>
          <w:szCs w:val="19"/>
        </w:rPr>
        <w:t xml:space="preserve">Red de relaciones entre sensores (S08). Fuente: MongoDB / sensores (simulación).</w:t>
      </w:r>
    </w:p>
    <w:p>
      <w:pPr>
        <w:spacing w:after="120" w:line="276"/>
        <w:jc w:val="both"/>
      </w:pPr>
      <w:r>
        <w:rPr>
          <w:b/>
          <w:bCs/>
        </w:rPr>
        <w:t xml:space="preserve">Construcción.</w:t>
      </w:r>
      <w:r>
        <w:t xml:space="preserve"> Se crea un enlace entre dos sensores cuando comparten station. La posición es un diseño de red; no expresa coordenadas geográficas.</w:t>
      </w:r>
    </w:p>
    <w:p>
      <w:pPr>
        <w:spacing w:after="120" w:line="276"/>
        <w:jc w:val="both"/>
      </w:pPr>
      <w:r>
        <w:rPr>
          <w:b/>
          <w:bCs/>
        </w:rPr>
        <w:t xml:space="preserve">Resultado observado.</w:t>
      </w:r>
      <w:r>
        <w:t xml:space="preserve"> La red tiene 18 sensores, 18 relaciones y seis grupos de tres sensores.</w:t>
      </w:r>
    </w:p>
    <w:p>
      <w:pPr>
        <w:spacing w:after="120" w:line="276"/>
        <w:jc w:val="both"/>
      </w:pPr>
      <w:r>
        <w:rPr>
          <w:b/>
          <w:bCs/>
        </w:rPr>
        <w:t xml:space="preserve">Insight y decisión que apoya.</w:t>
      </w:r>
      <w:r>
        <w:t xml:space="preserve"> Examinar qué magnitudes se observan conjuntamente y organizar validaciones por estación.</w:t>
      </w:r>
    </w:p>
    <w:p>
      <w:pPr>
        <w:spacing w:after="120" w:line="276"/>
        <w:jc w:val="both"/>
      </w:pPr>
      <w:r>
        <w:rPr>
          <w:b/>
          <w:bCs/>
        </w:rPr>
        <w:t xml:space="preserve">Límite de interpretación.</w:t>
      </w:r>
      <w:r>
        <w:t xml:space="preserve"> La relación es de co-localización definida en el esquema sintético. No representa conexiones físicas, tráfico de red ni causalidad.</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S08: co-localización de sensores, no conectividad física.</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c.aggregate([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  { $group: { _id: { sensor_id: '$sensor_id', station: '$station', type: '$type' } }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nodes = s[['sensor_id','station','type']].drop_duplicates()</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Enlace sólo si dos nodos comparten station.</w:t>
      </w:r>
    </w:p>
    <w:p>
      <w:pPr>
        <w:pStyle w:val="Heading3"/>
        <w:keepNext/>
        <w:pageBreakBefore/>
        <w:spacing w:before="180" w:after="80"/>
      </w:pPr>
      <w:r>
        <w:t xml:space="preserve">S09 · Dispersión 3D: valor, ubicación y tiempo</w:t>
      </w:r>
    </w:p>
    <w:p>
      <w:pPr>
        <w:keepNext/>
        <w:spacing w:before="120" w:after="80"/>
        <w:jc w:val="center"/>
      </w:pPr>
      <w:r>
        <w:drawing>
          <wp:inline distT="0" distB="0" distL="0" distR="0">
            <wp:extent cx="3752850" cy="3295650"/>
            <wp:effectExtent t="0" r="0" b="0" l="0"/>
            <wp:docPr id="1" name="S09.png" descr="Dispersión 3D: valor, ubicación y tiempo (S09). Fuente: MongoDB / sensores (simulación)." title="Dispersión 3D: valor, ubicación y tiempo (S09).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52850" cy="3295650"/>
                    </a:xfrm>
                    <a:prstGeom prst="rect">
                      <a:avLst/>
                    </a:prstGeom>
                  </pic:spPr>
                </pic:pic>
              </a:graphicData>
            </a:graphic>
          </wp:inline>
        </w:drawing>
      </w:r>
    </w:p>
    <w:p>
      <w:pPr>
        <w:spacing w:after="220"/>
        <w:jc w:val="center"/>
      </w:pPr>
      <w:r>
        <w:rPr>
          <w:b/>
          <w:bCs/>
          <w:i/>
          <w:iCs/>
          <w:color w:val="555555"/>
          <w:sz w:val="19"/>
          <w:szCs w:val="19"/>
        </w:rPr>
        <w:t xml:space="preserve">Figura 44. </w:t>
      </w:r>
      <w:r>
        <w:rPr>
          <w:i/>
          <w:iCs/>
          <w:color w:val="555555"/>
          <w:sz w:val="19"/>
          <w:szCs w:val="19"/>
        </w:rPr>
        <w:t xml:space="preserve">Dispersión 3D: valor, ubicación y tiempo (S09). Fuente: MongoDB / sensores (simulación).</w:t>
      </w:r>
    </w:p>
    <w:p>
      <w:pPr>
        <w:spacing w:after="120" w:line="276"/>
        <w:jc w:val="both"/>
      </w:pPr>
      <w:r>
        <w:rPr>
          <w:b/>
          <w:bCs/>
        </w:rPr>
        <w:t xml:space="preserve">Construcción.</w:t>
      </w:r>
      <w:r>
        <w:t xml:space="preserve"> Se usa sólo temperatura para mantener una unidad coherente. Se toma una fila de cada doce y se codifica la estación como índice categórico.</w:t>
      </w:r>
    </w:p>
    <w:p>
      <w:pPr>
        <w:spacing w:after="120" w:line="276"/>
        <w:jc w:val="both"/>
      </w:pPr>
      <w:r>
        <w:rPr>
          <w:b/>
          <w:bCs/>
        </w:rPr>
        <w:t xml:space="preserve">Resultado observado.</w:t>
      </w:r>
      <w:r>
        <w:t xml:space="preserve"> El gráfico contiene 360 puntos de 4,320 lecturas de temperatura.</w:t>
      </w:r>
    </w:p>
    <w:p>
      <w:pPr>
        <w:spacing w:after="120" w:line="276"/>
        <w:jc w:val="both"/>
      </w:pPr>
      <w:r>
        <w:rPr>
          <w:b/>
          <w:bCs/>
        </w:rPr>
        <w:t xml:space="preserve">Insight y decisión que apoya.</w:t>
      </w:r>
      <w:r>
        <w:t xml:space="preserve"> Rotar y explorar el gráfico para localizar valores altos y comparar con las series temporales completas.</w:t>
      </w:r>
    </w:p>
    <w:p>
      <w:pPr>
        <w:spacing w:after="120" w:line="276"/>
        <w:jc w:val="both"/>
      </w:pPr>
      <w:r>
        <w:rPr>
          <w:b/>
          <w:bCs/>
        </w:rPr>
        <w:t xml:space="preserve">Límite de interpretación.</w:t>
      </w:r>
      <w:r>
        <w:t xml:space="preserve"> La distancia entre índices de estación no es distancia geográfica. El muestreo reduce carga y puede omitir anomalías; el detector utiliza todas las lecturas.</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S09: sólo temperatura; muestreo sistemático reproducible en Python.</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c.find({ type: 'temperatura' }, { _id: 0, station: 1, city: 1, value: 1, timestamp: 1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.sort({ station: 1, timestamp: 1 });</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sample = temp.iloc[::12].copy()</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px.scatter_3d(sample, x='elapsed', y='station_index', z='value',</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color='city', hover_name='station')</w:t>
      </w:r>
    </w:p>
    <w:p>
      <w:pPr>
        <w:pStyle w:val="Heading3"/>
        <w:keepNext/>
        <w:pageBreakBefore/>
        <w:spacing w:before="180" w:after="80"/>
      </w:pPr>
      <w:r>
        <w:t xml:space="preserve">S10 · Dashboard de monitoreo simulado</w:t>
      </w:r>
    </w:p>
    <w:p>
      <w:pPr>
        <w:keepNext/>
        <w:spacing w:before="120" w:after="80"/>
        <w:jc w:val="center"/>
      </w:pPr>
      <w:r>
        <w:drawing>
          <wp:inline distT="0" distB="0" distL="0" distR="0">
            <wp:extent cx="5486400" cy="3095625"/>
            <wp:effectExtent t="0" r="0" b="0" l="0"/>
            <wp:docPr id="1" name="S10.png" descr="Dashboard de monitoreo simulado (S10). Fuente: MongoDB / sensores (simulación)." title="Dashboard de monitoreo simulado (S10). Fuente: MongoDB / sensores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3095625"/>
                    </a:xfrm>
                    <a:prstGeom prst="rect">
                      <a:avLst/>
                    </a:prstGeom>
                  </pic:spPr>
                </pic:pic>
              </a:graphicData>
            </a:graphic>
          </wp:inline>
        </w:drawing>
      </w:r>
    </w:p>
    <w:p>
      <w:pPr>
        <w:spacing w:after="220"/>
        <w:jc w:val="center"/>
      </w:pPr>
      <w:r>
        <w:rPr>
          <w:b/>
          <w:bCs/>
          <w:i/>
          <w:iCs/>
          <w:color w:val="555555"/>
          <w:sz w:val="19"/>
          <w:szCs w:val="19"/>
        </w:rPr>
        <w:t xml:space="preserve">Figura 45. </w:t>
      </w:r>
      <w:r>
        <w:rPr>
          <w:i/>
          <w:iCs/>
          <w:color w:val="555555"/>
          <w:sz w:val="19"/>
          <w:szCs w:val="19"/>
        </w:rPr>
        <w:t xml:space="preserve">Dashboard de monitoreo simulado (S10). Fuente: MongoDB / sensores (simulación).</w:t>
      </w:r>
    </w:p>
    <w:p>
      <w:pPr>
        <w:spacing w:after="120" w:line="276"/>
        <w:jc w:val="both"/>
      </w:pPr>
      <w:r>
        <w:rPr>
          <w:b/>
          <w:bCs/>
        </w:rPr>
        <w:t xml:space="preserve">Construcción.</w:t>
      </w:r>
      <w:r>
        <w:t xml:space="preserve"> El dashboard incorpora controles de reproducir, pausar y reiniciar. Cada segundo agrega una lectura histórica de SDQ-1 a una ventana de 48 puntos.</w:t>
      </w:r>
    </w:p>
    <w:p>
      <w:pPr>
        <w:spacing w:after="120" w:line="276"/>
        <w:jc w:val="both"/>
      </w:pPr>
      <w:r>
        <w:rPr>
          <w:b/>
          <w:bCs/>
        </w:rPr>
        <w:t xml:space="preserve">Resultado observado.</w:t>
      </w:r>
      <w:r>
        <w:t xml:space="preserve"> La última lectura histórica de SDQ-1 es 27.89 °C, registrada el 30/09/2026 23:00.</w:t>
      </w:r>
    </w:p>
    <w:p>
      <w:pPr>
        <w:spacing w:after="120" w:line="276"/>
        <w:jc w:val="both"/>
      </w:pPr>
      <w:r>
        <w:rPr>
          <w:b/>
          <w:bCs/>
        </w:rPr>
        <w:t xml:space="preserve">Insight y decisión que apoya.</w:t>
      </w:r>
      <w:r>
        <w:t xml:space="preserve"> Usar la reproducción para probar controles, alertas visuales y actualización de una serie antes de conectar un flujo real.</w:t>
      </w:r>
    </w:p>
    <w:p>
      <w:pPr>
        <w:spacing w:after="120" w:line="276"/>
        <w:jc w:val="both"/>
      </w:pPr>
      <w:r>
        <w:rPr>
          <w:b/>
          <w:bCs/>
        </w:rPr>
        <w:t xml:space="preserve">Límite de interpretación.</w:t>
      </w:r>
      <w:r>
        <w:t xml:space="preserve"> Un segundo de reproducción equivale a una hora histórica. No hay streaming desde MongoDB ni medición ambiental en vivo. El umbral de 35 °C es ilustrativo.</w:t>
      </w:r>
    </w:p>
    <w:p>
      <w:pPr>
        <w:keepNext/>
        <w:spacing w:before="120" w:after="40"/>
      </w:pPr>
      <w:r>
        <w:rPr>
          <w:b/>
          <w:bCs/>
        </w:rPr>
        <w:t xml:space="preserve">Consulta</w:t>
      </w:r>
      <w:r>
        <w:t xml:space="preserve"> (</w:t>
      </w:r>
      <w:r>
        <w:rPr>
          <w:rFonts w:ascii="Consolas" w:cs="Consolas" w:eastAsia="Consolas" w:hAnsi="Consolas"/>
          <w:sz w:val="19"/>
          <w:szCs w:val="19"/>
        </w:rPr>
        <w:t xml:space="preserve">mongo/consultas.js</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 S10: reproducción histórica; últimas 48 lecturas de un sensor.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c.find({ sensor_id: 'SDQ-1-temperatura' }, { _id: 0, value: 1, timestamp: 1 })</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.sort({ timestamp: -1 }).limit(48);</w:t>
      </w:r>
    </w:p>
    <w:p>
      <w:pPr>
        <w:keepNext/>
        <w:spacing w:before="120" w:after="40"/>
      </w:pPr>
      <w:r>
        <w:rPr>
          <w:b/>
          <w:bCs/>
        </w:rPr>
        <w:t xml:space="preserve">Transformación y visualización en Python</w:t>
      </w:r>
      <w:r>
        <w:t xml:space="preserve"> (</w:t>
      </w:r>
      <w:r>
        <w:rPr>
          <w:rFonts w:ascii="Consolas" w:cs="Consolas" w:eastAsia="Consolas" w:hAnsi="Consolas"/>
          <w:sz w:val="19"/>
          <w:szCs w:val="19"/>
        </w:rPr>
        <w:t xml:space="preserve">src/analisis.py</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history = temp[temp.station == 'SDQ-1']</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 JavaScript avanza una lectura por segundo y conserva 48 puntos.</w:t>
      </w:r>
    </w:p>
    <w:p>
      <w:pPr>
        <w:pStyle w:val="Heading2"/>
        <w:keepNext/>
        <w:spacing w:before="280" w:after="120"/>
      </w:pPr>
      <w:r>
        <w:t xml:space="preserve">6.5 Insights obtenidos de los sensores</w:t>
      </w:r>
    </w:p>
    <w:p>
      <w:pPr>
        <w:pStyle w:val="ListParagraph"/>
        <w:numPr>
          <w:ilvl w:val="0"/>
          <w:numId w:val="2"/>
        </w:numPr>
        <w:spacing w:after="60" w:line="264"/>
        <w:jc w:val="both"/>
      </w:pPr>
      <w:r>
        <w:rPr>
          <w:b/>
          <w:bCs/>
        </w:rPr>
        <w:t xml:space="preserve">Patrones por ubicación.</w:t>
      </w:r>
      <w:r>
        <w:t xml:space="preserve"> Santo Domingo registra la mayor temperatura media (28.24 °C). La cobertura es uniforme: cada estación aporta 2,160 lecturas y cada ciudad el 33.3% diario.</w:t>
      </w:r>
    </w:p>
    <w:p>
      <w:pPr>
        <w:pStyle w:val="ListParagraph"/>
        <w:numPr>
          <w:ilvl w:val="0"/>
          <w:numId w:val="2"/>
        </w:numPr>
        <w:spacing w:after="60" w:line="264"/>
        <w:jc w:val="both"/>
      </w:pPr>
      <w:r>
        <w:rPr>
          <w:b/>
          <w:bCs/>
        </w:rPr>
        <w:t xml:space="preserve">Correlación entre sensores.</w:t>
      </w:r>
      <w:r>
        <w:t xml:space="preserve"> Temperatura y humedad se relacionan de forma inversa (r = −0.590) y temperatura y CO2 de forma directa (r = 0.341), relaciones definidas por el generador.</w:t>
      </w:r>
    </w:p>
    <w:p>
      <w:pPr>
        <w:pStyle w:val="ListParagraph"/>
        <w:numPr>
          <w:ilvl w:val="0"/>
          <w:numId w:val="2"/>
        </w:numPr>
        <w:spacing w:after="60" w:line="264"/>
        <w:jc w:val="both"/>
      </w:pPr>
      <w:r>
        <w:rPr>
          <w:b/>
          <w:bCs/>
        </w:rPr>
        <w:t xml:space="preserve">Anomalías.</w:t>
      </w:r>
      <w:r>
        <w:t xml:space="preserve"> El detector MAD identifica las 103 anomalías inyectadas (sensibilidad 100%) con 34 falsos positivos (precisión 75.2%): conviene revisar las alertas antes de descartar datos y calibrar el umbral.</w:t>
      </w:r>
    </w:p>
    <w:p>
      <w:pPr>
        <w:pStyle w:val="ListParagraph"/>
        <w:numPr>
          <w:ilvl w:val="0"/>
          <w:numId w:val="2"/>
        </w:numPr>
        <w:spacing w:after="60" w:line="264"/>
        <w:jc w:val="both"/>
      </w:pPr>
      <w:r>
        <w:rPr>
          <w:b/>
          <w:bCs/>
        </w:rPr>
        <w:t xml:space="preserve">Patrón diario.</w:t>
      </w:r>
      <w:r>
        <w:t xml:space="preserve"> El 25 de septiembre concentra 9 alertas sobre 432 lecturas, la jornada que más revisión requiere.</w:t>
      </w:r>
    </w:p>
    <w:p>
      <w:pPr>
        <w:pStyle w:val="ListParagraph"/>
        <w:numPr>
          <w:ilvl w:val="0"/>
          <w:numId w:val="2"/>
        </w:numPr>
        <w:spacing w:after="60" w:line="264"/>
        <w:jc w:val="both"/>
      </w:pPr>
      <w:r>
        <w:rPr>
          <w:b/>
          <w:bCs/>
        </w:rPr>
        <w:t xml:space="preserve">Monitoreo.</w:t>
      </w:r>
      <w:r>
        <w:t xml:space="preserve"> La reproducción histórica permite probar alertas visuales y controles antes de conectar un flujo real.</w:t>
      </w:r>
    </w:p>
    <w:p>
      <w:pPr>
        <w:pStyle w:val="Heading1"/>
        <w:pageBreakBefore/>
        <w:spacing w:after="240"/>
      </w:pPr>
      <w:bookmarkStart w:name="h7" w:id="1"/>
      <w:r>
        <w:t xml:space="preserve">7. Extracción integrada, validación y dashboard</w:t>
      </w:r>
      <w:bookmarkEnd w:id="1"/>
    </w:p>
    <w:p>
      <w:pPr>
        <w:pStyle w:val="Heading2"/>
        <w:keepNext/>
        <w:spacing w:before="280" w:after="120"/>
      </w:pPr>
      <w:r>
        <w:t xml:space="preserve">7.1 Extracción desde los tres gestores</w:t>
      </w:r>
    </w:p>
    <w:p>
      <w:pPr>
        <w:spacing w:after="120" w:line="276"/>
        <w:jc w:val="left"/>
      </w:pPr>
      <w:r>
        <w:rPr>
          <w:rFonts w:ascii="Consolas" w:cs="Consolas" w:eastAsia="Consolas" w:hAnsi="Consolas"/>
          <w:sz w:val="19"/>
          <w:szCs w:val="19"/>
        </w:rPr>
        <w:t xml:space="preserve">lab.py integrar</w:t>
      </w:r>
      <w:r>
        <w:t xml:space="preserve"> respalda los resultados anteriores y ejecuta </w:t>
      </w:r>
      <w:r>
        <w:rPr>
          <w:rFonts w:ascii="Consolas" w:cs="Consolas" w:eastAsia="Consolas" w:hAnsi="Consolas"/>
          <w:sz w:val="19"/>
          <w:szCs w:val="19"/>
        </w:rPr>
        <w:t xml:space="preserve">run.py --desde-bd</w:t>
      </w:r>
      <w:r>
        <w:t xml:space="preserve"> dentro del cliente. Este comando vuelve a verificar las tres conexiones, exporta las tablas de Northwind y HR por ODBC y la colección por PyMongo, registra la fecha y el hash SHA-256 de cada CSV en </w:t>
      </w:r>
      <w:r>
        <w:rPr>
          <w:rFonts w:ascii="Consolas" w:cs="Consolas" w:eastAsia="Consolas" w:hAnsi="Consolas"/>
          <w:sz w:val="19"/>
          <w:szCs w:val="19"/>
        </w:rPr>
        <w:t xml:space="preserve">proveniencia_fuentes.json</w:t>
      </w:r>
      <w:r>
        <w:t xml:space="preserve">, recalcula las 30 visualizaciones, ejecuta las 17 comprobaciones y regenera el dashboard. Si una conexión falla, se detiene antes de modificar los datos.</w:t>
      </w:r>
    </w:p>
    <w:p>
      <w:pPr>
        <w:keepNext/>
        <w:spacing w:before="120" w:after="80"/>
        <w:jc w:val="center"/>
      </w:pPr>
      <w:r>
        <w:drawing>
          <wp:inline distT="0" distB="0" distL="0" distR="0">
            <wp:extent cx="5848350" cy="990600"/>
            <wp:effectExtent t="0" r="0" b="0" l="0"/>
            <wp:docPr id="1" name="lab_integrar.png" descr="Integración: respaldo, verificación de las tres conexiones y extracción de sólo lectura desde SQL Server, Oracle y MongoDB." title="Integración: respaldo, verificación de las tres conexiones y extracción de sólo lectura desde SQL Server, Oracle y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48350" cy="990600"/>
                    </a:xfrm>
                    <a:prstGeom prst="rect">
                      <a:avLst/>
                    </a:prstGeom>
                  </pic:spPr>
                </pic:pic>
              </a:graphicData>
            </a:graphic>
          </wp:inline>
        </w:drawing>
      </w:r>
    </w:p>
    <w:p>
      <w:pPr>
        <w:spacing w:after="220"/>
        <w:jc w:val="center"/>
      </w:pPr>
      <w:r>
        <w:rPr>
          <w:b/>
          <w:bCs/>
          <w:i/>
          <w:iCs/>
          <w:color w:val="555555"/>
          <w:sz w:val="19"/>
          <w:szCs w:val="19"/>
        </w:rPr>
        <w:t xml:space="preserve">Figura 46. </w:t>
      </w:r>
      <w:r>
        <w:rPr>
          <w:i/>
          <w:iCs/>
          <w:color w:val="555555"/>
          <w:sz w:val="19"/>
          <w:szCs w:val="19"/>
        </w:rPr>
        <w:t xml:space="preserve">Integración: respaldo, verificación de las tres conexiones y extracción de sólo lectura desde SQL Server, Oracle y MongoDB.</w:t>
      </w:r>
    </w:p>
    <w:p>
      <w:pPr>
        <w:keepNext/>
        <w:spacing w:before="120" w:after="80"/>
        <w:jc w:val="center"/>
      </w:pPr>
      <w:r>
        <w:drawing>
          <wp:inline distT="0" distB="0" distL="0" distR="0">
            <wp:extent cx="3838575" cy="1000125"/>
            <wp:effectExtent t="0" r="0" b="0" l="0"/>
            <wp:docPr id="1" name="lab_integrar_fin.png" descr="Final de la integración: dashboard regenerado y 17/17 comprobaciones correctas." title="Final de la integración: dashboard regenerado y 17/17 comprobaciones 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838575" cy="1000125"/>
                    </a:xfrm>
                    <a:prstGeom prst="rect">
                      <a:avLst/>
                    </a:prstGeom>
                  </pic:spPr>
                </pic:pic>
              </a:graphicData>
            </a:graphic>
          </wp:inline>
        </w:drawing>
      </w:r>
    </w:p>
    <w:p>
      <w:pPr>
        <w:spacing w:after="220"/>
        <w:jc w:val="center"/>
      </w:pPr>
      <w:r>
        <w:rPr>
          <w:b/>
          <w:bCs/>
          <w:i/>
          <w:iCs/>
          <w:color w:val="555555"/>
          <w:sz w:val="19"/>
          <w:szCs w:val="19"/>
        </w:rPr>
        <w:t xml:space="preserve">Figura 47. </w:t>
      </w:r>
      <w:r>
        <w:rPr>
          <w:i/>
          <w:iCs/>
          <w:color w:val="555555"/>
          <w:sz w:val="19"/>
          <w:szCs w:val="19"/>
        </w:rPr>
        <w:t xml:space="preserve">Final de la integración: dashboard regenerado y 17/17 comprobaciones correctas.</w:t>
      </w:r>
    </w:p>
    <w:p>
      <w:pPr>
        <w:pStyle w:val="Heading2"/>
        <w:keepNext/>
        <w:spacing w:before="280" w:after="120"/>
      </w:pPr>
      <w:r>
        <w:t xml:space="preserve">7.2 Dashboard interactivo</w:t>
      </w:r>
    </w:p>
    <w:p>
      <w:pPr>
        <w:spacing w:after="120" w:line="276"/>
        <w:jc w:val="left"/>
      </w:pPr>
      <w:r>
        <w:t xml:space="preserve">El dashboard (</w:t>
      </w:r>
      <w:r>
        <w:rPr>
          <w:rFonts w:ascii="Consolas" w:cs="Consolas" w:eastAsia="Consolas" w:hAnsi="Consolas"/>
          <w:sz w:val="19"/>
          <w:szCs w:val="19"/>
        </w:rPr>
        <w:t xml:space="preserve">dashboard/index.html</w:t>
      </w:r>
      <w:r>
        <w:t xml:space="preserve">) organiza las 30 visualizaciones por base de datos. Un selector elige la base y otro la figura; los botones Anterior y Siguiente recorren las diez figuras. Cada vista muestra tres indicadores clave, el gráfico interactivo de Plotly (información al pasar el cursor, zoom, series activables desde la leyenda, treemap navegable y gráfico 3D rotable) y un panel con el método, el resultado, la decisión y el límite, además de la fórmula o el código [7].</w:t>
      </w:r>
    </w:p>
    <w:p>
      <w:pPr>
        <w:spacing w:after="120" w:line="276"/>
        <w:jc w:val="both"/>
      </w:pPr>
      <w:r>
        <w:t xml:space="preserve">Hay filtros específicos en N01 (país), H01 (departamento), S06 y S10 (sensor). El aviso superior indica la procedencia de los datos: tras la integración, informa que se extrajeron de SQL Server, Oracle y MongoDB. El archivo incluye los datos y una copia local de Plotly, por lo que funciona sin Internet ni servidor.</w:t>
      </w:r>
    </w:p>
    <w:p>
      <w:pPr>
        <w:keepNext/>
        <w:spacing w:before="120" w:after="80"/>
        <w:jc w:val="center"/>
      </w:pPr>
      <w:r>
        <w:drawing>
          <wp:inline distT="0" distB="0" distL="0" distR="0">
            <wp:extent cx="5762625" cy="3152775"/>
            <wp:effectExtent t="0" r="0" b="0" l="0"/>
            <wp:docPr id="1" name="vista_general.png" descr="Vista general del dashboard: aviso de procedencia, selectores, filtro de país, indicadores y N01." title="Vista general del dashboard: aviso de procedencia, selectores, filtro de país, indicadores y 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62625" cy="3152775"/>
                    </a:xfrm>
                    <a:prstGeom prst="rect">
                      <a:avLst/>
                    </a:prstGeom>
                  </pic:spPr>
                </pic:pic>
              </a:graphicData>
            </a:graphic>
          </wp:inline>
        </w:drawing>
      </w:r>
    </w:p>
    <w:p>
      <w:pPr>
        <w:spacing w:after="220"/>
        <w:jc w:val="center"/>
      </w:pPr>
      <w:r>
        <w:rPr>
          <w:b/>
          <w:bCs/>
          <w:i/>
          <w:iCs/>
          <w:color w:val="555555"/>
          <w:sz w:val="19"/>
          <w:szCs w:val="19"/>
        </w:rPr>
        <w:t xml:space="preserve">Figura 48. </w:t>
      </w:r>
      <w:r>
        <w:rPr>
          <w:i/>
          <w:iCs/>
          <w:color w:val="555555"/>
          <w:sz w:val="19"/>
          <w:szCs w:val="19"/>
        </w:rPr>
        <w:t xml:space="preserve">Vista general del dashboard: aviso de procedencia, selectores, filtro de país, indicadores y N01.</w:t>
      </w:r>
    </w:p>
    <w:p>
      <w:pPr>
        <w:spacing w:after="120" w:line="276"/>
        <w:jc w:val="both"/>
      </w:pPr>
      <w:r>
        <w:t xml:space="preserve">El monitoreo en tiempo real se simula en S10: con Reproducir, Pausar y Reiniciar, cada segundo agrega una hora histórica de un sensor a una ventana de 48 lecturas y muestra el umbral de alerta. No es </w:t>
      </w:r>
      <w:r>
        <w:rPr>
          <w:i/>
          <w:iCs/>
        </w:rPr>
        <w:t xml:space="preserve">streaming</w:t>
      </w:r>
      <w:r>
        <w:t xml:space="preserve"> desde MongoDB, sino una reproducción de la serie extraída.</w:t>
      </w:r>
    </w:p>
    <w:p>
      <w:pPr>
        <w:keepNext/>
        <w:spacing w:before="120" w:after="80"/>
        <w:jc w:val="center"/>
      </w:pPr>
      <w:r>
        <w:drawing>
          <wp:inline distT="0" distB="0" distL="0" distR="0">
            <wp:extent cx="5762625" cy="3152775"/>
            <wp:effectExtent t="0" r="0" b="0" l="0"/>
            <wp:docPr id="1" name="vista_sensores_s10.png" descr="Dashboard de monitoreo simulado (S10) con controles de reproducción y filtro de sensor." title="Dashboard de monitoreo simulado (S10) con controles de reproducción y filtro d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62625" cy="3152775"/>
                    </a:xfrm>
                    <a:prstGeom prst="rect">
                      <a:avLst/>
                    </a:prstGeom>
                  </pic:spPr>
                </pic:pic>
              </a:graphicData>
            </a:graphic>
          </wp:inline>
        </w:drawing>
      </w:r>
    </w:p>
    <w:p>
      <w:pPr>
        <w:spacing w:after="220"/>
        <w:jc w:val="center"/>
      </w:pPr>
      <w:r>
        <w:rPr>
          <w:b/>
          <w:bCs/>
          <w:i/>
          <w:iCs/>
          <w:color w:val="555555"/>
          <w:sz w:val="19"/>
          <w:szCs w:val="19"/>
        </w:rPr>
        <w:t xml:space="preserve">Figura 49. </w:t>
      </w:r>
      <w:r>
        <w:rPr>
          <w:i/>
          <w:iCs/>
          <w:color w:val="555555"/>
          <w:sz w:val="19"/>
          <w:szCs w:val="19"/>
        </w:rPr>
        <w:t xml:space="preserve">Dashboard de monitoreo simulado (S10) con controles de reproducción y filtro de sensor.</w:t>
      </w:r>
    </w:p>
    <w:p>
      <w:pPr>
        <w:pStyle w:val="Heading2"/>
        <w:keepNext/>
        <w:spacing w:before="280" w:after="120"/>
      </w:pPr>
      <w:r>
        <w:t xml:space="preserve">7.3 Pruebas de usabilidad</w:t>
      </w:r>
    </w:p>
    <w:p>
      <w:pPr>
        <w:spacing w:after="120" w:line="276"/>
        <w:jc w:val="both"/>
      </w:pPr>
      <w:r>
        <w:t xml:space="preserve">Se recorrieron las 30 visualizaciones en el navegador, verificando que cada una se dibuja sin errores, y se probaron los filtros, la navegación y los controles de reproducción. En la revisión, el mapa de S02 aparecía en blanco: las seis estaciones tienen el mismo número de lecturas, por lo que la escala de densidad quedaba sin rango y Plotly no dibujaba nada. Se reemplazó por un gráfico de estaciones en longitud y latitud a igual escala, coloreado por número de lecturas, que además funciona sin mapas externos. El diseño apila los paneles en pantallas estrechas y los controles tienen etiquetas y foco visible para el teclado. El Anexo C reúne las capturas de las 30 vistas.</w:t>
      </w:r>
    </w:p>
    <w:p>
      <w:pPr>
        <w:pStyle w:val="Heading1"/>
        <w:pageBreakBefore/>
        <w:spacing w:after="240"/>
      </w:pPr>
      <w:bookmarkStart w:name="h8" w:id="1"/>
      <w:r>
        <w:t xml:space="preserve">8. Discusión y recomendaciones</w:t>
      </w:r>
      <w:bookmarkEnd w:id="1"/>
    </w:p>
    <w:p>
      <w:pPr>
        <w:pStyle w:val="Heading2"/>
        <w:keepNext/>
        <w:spacing w:before="280" w:after="120"/>
      </w:pPr>
      <w:r>
        <w:t xml:space="preserve">8.1 Interpretación de los resultados</w:t>
      </w:r>
    </w:p>
    <w:p>
      <w:pPr>
        <w:spacing w:after="120" w:line="276"/>
        <w:jc w:val="both"/>
      </w:pPr>
      <w:r>
        <w:t xml:space="preserve">La venta neta cuantifica ingresos después de descuentos, pero no utilidad: el treemap y el ranking de clientes señalan dónde concentrar el seguimiento, no dónde está el margen. El pico de abril de 1998 debe leerse en una serie cuyos extremos son meses incompletos; para reportes operativos conviene mostrar también los días cubiertos y la venta por día.</w:t>
      </w:r>
    </w:p>
    <w:p>
      <w:pPr>
        <w:spacing w:after="120" w:line="276"/>
        <w:jc w:val="both"/>
      </w:pPr>
      <w:r>
        <w:t xml:space="preserve">En HR, los histogramas y violines muestran la heterogeneidad salarial, pero explicar diferencias exige comparar puestos equivalentes. El historial de siete empleados describe cambios registrados y no permite estimar rotación. En los sensores, la MAD controla la influencia de los extremos; su precisión de 75.2% justifica una revisión manual, y la evaluación es retrospectiva: para medir generalización habría que calibrar con datos anteriores y probar con datos posteriores.</w:t>
      </w:r>
    </w:p>
    <w:p>
      <w:pPr>
        <w:pStyle w:val="Heading2"/>
        <w:keepNext/>
        <w:spacing w:before="280" w:after="120"/>
      </w:pPr>
      <w:r>
        <w:t xml:space="preserve">8.2 Escalabilidad y recomendaciones técnicas</w:t>
      </w:r>
    </w:p>
    <w:p>
      <w:pPr>
        <w:spacing w:after="120" w:line="276"/>
        <w:jc w:val="both"/>
      </w:pPr>
      <w:r>
        <w:t xml:space="preserve">Con volúmenes mayores, agregar en el gestor (por día, mes, departamento o ubicación) reduce la transferencia de datos; la extracción completa usada aquí es adecuada para el tamaño de las muestras, pero no se midió con millones de filas. Las siguientes mejoras se proponen como trabajo futuro, no como resultados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3802"/>
        <w:gridCol w:w="3803"/>
      </w:tblGrid>
      <w:tr>
        <w:trPr>
          <w:cantSplit/>
          <w:tblHeader/>
        </w:trPr>
        <w:tc>
          <w:tcPr>
            <w:tcW w:type="dxa" w:w="1755"/>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Componente</w:t>
            </w:r>
          </w:p>
        </w:tc>
        <w:tc>
          <w:tcPr>
            <w:tcW w:type="dxa" w:w="3802"/>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Mejora propuesta</w:t>
            </w:r>
          </w:p>
        </w:tc>
        <w:tc>
          <w:tcPr>
            <w:tcW w:type="dxa" w:w="3803"/>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Comprobación necesaria</w:t>
            </w:r>
          </w:p>
        </w:tc>
      </w:tr>
      <w:tr>
        <w:trPr>
          <w:cantSplit/>
        </w:trPr>
        <w:tc>
          <w:tcPr>
            <w:tcW w:type="dxa" w:w="17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SQL Server</w:t>
            </w:r>
          </w:p>
        </w:tc>
        <w:tc>
          <w:tcPr>
            <w:tcW w:type="dxa" w:w="380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Índices sobre fechas y claves de unión; preagregación mensual</w:t>
            </w:r>
          </w:p>
        </w:tc>
        <w:tc>
          <w:tcPr>
            <w:tcW w:type="dxa" w:w="38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Plan de ejecución y tiempos con volumen representativo</w:t>
            </w:r>
          </w:p>
        </w:tc>
      </w:tr>
      <w:tr>
        <w:trPr>
          <w:cantSplit/>
        </w:trPr>
        <w:tc>
          <w:tcPr>
            <w:tcW w:type="dxa" w:w="17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Oracle</w:t>
            </w:r>
          </w:p>
        </w:tc>
        <w:tc>
          <w:tcPr>
            <w:tcW w:type="dxa" w:w="380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Filtrar columnas y fechas; revisar índices de las relaciones</w:t>
            </w:r>
          </w:p>
        </w:tc>
        <w:tc>
          <w:tcPr>
            <w:tcW w:type="dxa" w:w="38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Plan de consulta y conteos después de filtros</w:t>
            </w:r>
          </w:p>
        </w:tc>
      </w:tr>
      <w:tr>
        <w:trPr>
          <w:cantSplit/>
        </w:trPr>
        <w:tc>
          <w:tcPr>
            <w:tcW w:type="dxa" w:w="17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MongoDB</w:t>
            </w:r>
          </w:p>
        </w:tc>
        <w:tc>
          <w:tcPr>
            <w:tcW w:type="dxa" w:w="380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Agregaciones temporales con índice compuesto; política de retención</w:t>
            </w:r>
          </w:p>
        </w:tc>
        <w:tc>
          <w:tcPr>
            <w:tcW w:type="dxa" w:w="38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explain(), selectividad y tamaño de la colección</w:t>
            </w:r>
          </w:p>
        </w:tc>
      </w:tr>
      <w:tr>
        <w:trPr>
          <w:cantSplit/>
        </w:trPr>
        <w:tc>
          <w:tcPr>
            <w:tcW w:type="dxa" w:w="17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Sensores</w:t>
            </w:r>
          </w:p>
        </w:tc>
        <w:tc>
          <w:tcPr>
            <w:tcW w:type="dxa" w:w="380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Referencia robusta entrenada sólo con datos anteriores</w:t>
            </w:r>
          </w:p>
        </w:tc>
        <w:tc>
          <w:tcPr>
            <w:tcW w:type="dxa" w:w="38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Prueba temporal separada: precisión y sensibilidad</w:t>
            </w:r>
          </w:p>
        </w:tc>
      </w:tr>
      <w:tr>
        <w:trPr>
          <w:cantSplit/>
        </w:trPr>
        <w:tc>
          <w:tcPr>
            <w:tcW w:type="dxa" w:w="17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Dashboard</w:t>
            </w:r>
          </w:p>
        </w:tc>
        <w:tc>
          <w:tcPr>
            <w:tcW w:type="dxa" w:w="380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Muestrear figuras densas conservando métricas completas</w:t>
            </w:r>
          </w:p>
        </w:tc>
        <w:tc>
          <w:tcPr>
            <w:tcW w:type="dxa" w:w="3803"/>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Tiempo de carga y pérdida visual por muestreo</w:t>
            </w:r>
          </w:p>
        </w:tc>
      </w:tr>
    </w:tbl>
    <w:p>
      <w:pPr>
        <w:spacing w:after="120"/>
      </w:pPr>
    </w:p>
    <w:p>
      <w:pPr>
        <w:spacing w:after="120" w:line="276"/>
        <w:jc w:val="both"/>
      </w:pPr>
      <w:r>
        <w:t xml:space="preserve">En cuanto a fechas, todas las agregaciones de sensores declaran la zona horaria explícitamente y Northwind usa la fecha del pedido sin hora, lo que evita desplazamientos de día al agrupar.</w:t>
      </w:r>
    </w:p>
    <w:p>
      <w:pPr>
        <w:pStyle w:val="Heading1"/>
        <w:pageBreakBefore/>
        <w:spacing w:after="240"/>
      </w:pPr>
      <w:bookmarkStart w:name="h9" w:id="1"/>
      <w:r>
        <w:t xml:space="preserve">9. Conclusiones</w:t>
      </w:r>
      <w:bookmarkEnd w:id="1"/>
    </w:p>
    <w:p>
      <w:pPr>
        <w:spacing w:after="120" w:line="276"/>
        <w:jc w:val="both"/>
      </w:pPr>
      <w:r>
        <w:t xml:space="preserve">Se establecieron las tres conexiones requeridas: SQL Server y Oracle mediante ODBC (Microsoft ODBC Driver 18 y Oracle Instant Client ODBC) y MongoDB mediante PyMongo, todas verificadas con consultas reales sobre tablas y colecciones del trabajo. Los datos de las 30 visualizaciones provienen de esas conexiones, con procedencia trazable por hash.</w:t>
      </w:r>
    </w:p>
    <w:p>
      <w:pPr>
        <w:spacing w:after="120" w:line="276"/>
        <w:jc w:val="both"/>
      </w:pPr>
      <w:r>
        <w:t xml:space="preserve">Las visualizaciones cubren los requisitos de cada gestor: ventas, clientes, empleados, tendencias y productos en Northwind; compensación, ubicación, estructura, movilidad y desempeño por departamento en HR; y series temporales, patrones por ubicación, anomalías, correlaciones y monitoreo simulado en los sensores. Cada figura explica su método, resultado, decisión y límite, y su precisión se respalda con 17 comprobaciones automáticas.</w:t>
      </w:r>
    </w:p>
    <w:p>
      <w:pPr>
        <w:spacing w:after="120" w:line="276"/>
        <w:jc w:val="both"/>
      </w:pPr>
      <w:r>
        <w:t xml:space="preserve">La principal lección metodológica es mantener coherencia entre lo que contiene la fuente y lo que comunica el gráfico: el ingreso no se presenta como utilidad, las métricas estructurales no se presentan como competencias, los cambios registrados no se extrapolan a rotación y la reproducción histórica no se presenta como </w:t>
      </w:r>
      <w:r>
        <w:rPr>
          <w:i/>
          <w:iCs/>
        </w:rPr>
        <w:t xml:space="preserve">streaming</w:t>
      </w:r>
      <w:r>
        <w:t xml:space="preserve">. El laboratorio en Docker, la extracción automatizada y el dashboard sin dependencias permiten reproducir todo el trabajo con unos pocos comandos.</w:t>
      </w:r>
    </w:p>
    <w:p>
      <w:pPr>
        <w:pStyle w:val="Heading1"/>
        <w:pageBreakBefore/>
        <w:spacing w:after="240"/>
      </w:pPr>
      <w:r>
        <w:t xml:space="preserve">Referencias</w:t>
      </w:r>
    </w:p>
    <w:p>
      <w:pPr>
        <w:tabs>
          <w:tab w:val="left" w:pos="540"/>
        </w:tabs>
        <w:spacing w:after="80"/>
        <w:ind w:left="540" w:hanging="540"/>
      </w:pPr>
      <w:r>
        <w:rPr>
          <w:sz w:val="20"/>
          <w:szCs w:val="20"/>
        </w:rPr>
        <w:t xml:space="preserve">[1]	Microsoft. Northwind and pubs sample databases for SQL Server (instnwnd.sql). </w:t>
      </w:r>
      <w:hyperlink w:history="1" r:id="rIdoqai8jgf-ucjvnhe0mnwx">
        <w:r>
          <w:rPr>
            <w:rStyle w:val="Hyperlink"/>
            <w:sz w:val="20"/>
            <w:szCs w:val="20"/>
          </w:rPr>
          <w:t xml:space="preserve">https://github.com/microsoft/sql-server-samples/blob/master/samples/databases/northwind-pubs/instnwnd.sql</w:t>
        </w:r>
      </w:hyperlink>
    </w:p>
    <w:p>
      <w:pPr>
        <w:tabs>
          <w:tab w:val="left" w:pos="540"/>
        </w:tabs>
        <w:spacing w:after="80"/>
        <w:ind w:left="540" w:hanging="540"/>
      </w:pPr>
      <w:r>
        <w:rPr>
          <w:sz w:val="20"/>
          <w:szCs w:val="20"/>
        </w:rPr>
        <w:t xml:space="preserve">[2]	Oracle. Database Sample Schemas: Human Resources (HR). </w:t>
      </w:r>
      <w:hyperlink w:history="1" r:id="rIdtjzdbp5okcsb2a8xfqfg6">
        <w:r>
          <w:rPr>
            <w:rStyle w:val="Hyperlink"/>
            <w:sz w:val="20"/>
            <w:szCs w:val="20"/>
          </w:rPr>
          <w:t xml:space="preserve">https://github.com/oracle-samples/db-sample-schemas/tree/main/human_resources</w:t>
        </w:r>
      </w:hyperlink>
    </w:p>
    <w:p>
      <w:pPr>
        <w:tabs>
          <w:tab w:val="left" w:pos="540"/>
        </w:tabs>
        <w:spacing w:after="80"/>
        <w:ind w:left="540" w:hanging="540"/>
      </w:pPr>
      <w:r>
        <w:rPr>
          <w:sz w:val="20"/>
          <w:szCs w:val="20"/>
        </w:rPr>
        <w:t xml:space="preserve">[3]	Microsoft Learn. Install the Microsoft ODBC driver for SQL Server (Linux). </w:t>
      </w:r>
      <w:hyperlink w:history="1" r:id="rIdmjeny72oppyktf1zsc0mt">
        <w:r>
          <w:rPr>
            <w:rStyle w:val="Hyperlink"/>
            <w:sz w:val="20"/>
            <w:szCs w:val="20"/>
          </w:rPr>
          <w:t xml:space="preserve">https://learn.microsoft.com/en-us/sql/connect/odbc/linux-mac/installing-the-microsoft-odbc-driver-for-sql-server</w:t>
        </w:r>
      </w:hyperlink>
    </w:p>
    <w:p>
      <w:pPr>
        <w:tabs>
          <w:tab w:val="left" w:pos="540"/>
        </w:tabs>
        <w:spacing w:after="80"/>
        <w:ind w:left="540" w:hanging="540"/>
      </w:pPr>
      <w:r>
        <w:rPr>
          <w:sz w:val="20"/>
          <w:szCs w:val="20"/>
        </w:rPr>
        <w:t xml:space="preserve">[4]	Oracle. Oracle Instant Client Downloads for Linux x86-64 (Basic y ODBC). </w:t>
      </w:r>
      <w:hyperlink w:history="1" r:id="rIdlrhlgh8sexxeptyliyhi5">
        <w:r>
          <w:rPr>
            <w:rStyle w:val="Hyperlink"/>
            <w:sz w:val="20"/>
            <w:szCs w:val="20"/>
          </w:rPr>
          <w:t xml:space="preserve">https://www.oracle.com/database/technologies/instant-client/linux-x86-64-downloads.html</w:t>
        </w:r>
      </w:hyperlink>
    </w:p>
    <w:p>
      <w:pPr>
        <w:tabs>
          <w:tab w:val="left" w:pos="540"/>
        </w:tabs>
        <w:spacing w:after="80"/>
        <w:ind w:left="540" w:hanging="540"/>
      </w:pPr>
      <w:r>
        <w:rPr>
          <w:sz w:val="20"/>
          <w:szCs w:val="20"/>
        </w:rPr>
        <w:t xml:space="preserve">[5]	MongoDB. PyMongo Driver: Connect to MongoDB. </w:t>
      </w:r>
      <w:hyperlink w:history="1" r:id="rIddkbmjwknd1sesm_dsjqg8">
        <w:r>
          <w:rPr>
            <w:rStyle w:val="Hyperlink"/>
            <w:sz w:val="20"/>
            <w:szCs w:val="20"/>
          </w:rPr>
          <w:t xml:space="preserve">https://www.mongodb.com/docs/languages/python/pymongo-driver/current/connect/</w:t>
        </w:r>
      </w:hyperlink>
    </w:p>
    <w:p>
      <w:pPr>
        <w:tabs>
          <w:tab w:val="left" w:pos="540"/>
        </w:tabs>
        <w:spacing w:after="80"/>
        <w:ind w:left="540" w:hanging="540"/>
      </w:pPr>
      <w:r>
        <w:rPr>
          <w:sz w:val="20"/>
          <w:szCs w:val="20"/>
        </w:rPr>
        <w:t xml:space="preserve">[6]	MongoDB. $dateTrunc (aggregation expression operator). </w:t>
      </w:r>
      <w:hyperlink w:history="1" r:id="rIdnzc27e0i0rkmsee2k9sfd">
        <w:r>
          <w:rPr>
            <w:rStyle w:val="Hyperlink"/>
            <w:sz w:val="20"/>
            <w:szCs w:val="20"/>
          </w:rPr>
          <w:t xml:space="preserve">https://www.mongodb.com/docs/manual/reference/operator/aggregation/dateTrunc/</w:t>
        </w:r>
      </w:hyperlink>
    </w:p>
    <w:p>
      <w:pPr>
        <w:tabs>
          <w:tab w:val="left" w:pos="540"/>
        </w:tabs>
        <w:spacing w:after="80"/>
        <w:ind w:left="540" w:hanging="540"/>
      </w:pPr>
      <w:r>
        <w:rPr>
          <w:sz w:val="20"/>
          <w:szCs w:val="20"/>
        </w:rPr>
        <w:t xml:space="preserve">[7]	Plotly. Plotly Open Source Graphing Library for Python. </w:t>
      </w:r>
      <w:hyperlink w:history="1" r:id="rIdvmq2vv1zqdsg7hrxawyac">
        <w:r>
          <w:rPr>
            <w:rStyle w:val="Hyperlink"/>
            <w:sz w:val="20"/>
            <w:szCs w:val="20"/>
          </w:rPr>
          <w:t xml:space="preserve">https://plotly.com/python/</w:t>
        </w:r>
      </w:hyperlink>
    </w:p>
    <w:p>
      <w:pPr>
        <w:tabs>
          <w:tab w:val="left" w:pos="540"/>
        </w:tabs>
        <w:spacing w:after="80"/>
        <w:ind w:left="540" w:hanging="540"/>
      </w:pPr>
      <w:r>
        <w:rPr>
          <w:sz w:val="20"/>
          <w:szCs w:val="20"/>
        </w:rPr>
        <w:t xml:space="preserve">[8]	Microsoft Learn. Deploy and connect to SQL Server Linux containers. </w:t>
      </w:r>
      <w:hyperlink w:history="1" r:id="rIdoacmk_len0wpezhjqpgyz">
        <w:r>
          <w:rPr>
            <w:rStyle w:val="Hyperlink"/>
            <w:sz w:val="20"/>
            <w:szCs w:val="20"/>
          </w:rPr>
          <w:t xml:space="preserve">https://learn.microsoft.com/en-us/sql/linux/sql-server-linux-docker-container-deployment</w:t>
        </w:r>
      </w:hyperlink>
    </w:p>
    <w:p>
      <w:pPr>
        <w:tabs>
          <w:tab w:val="left" w:pos="540"/>
        </w:tabs>
        <w:spacing w:after="80"/>
        <w:ind w:left="540" w:hanging="540"/>
      </w:pPr>
      <w:r>
        <w:rPr>
          <w:sz w:val="20"/>
          <w:szCs w:val="20"/>
        </w:rPr>
        <w:t xml:space="preserve">[9]	Oracle. Oracle Database Free container images (Oracle Container Registry). </w:t>
      </w:r>
      <w:hyperlink w:history="1" r:id="rIdvay0u1ylq1chotmektgxb">
        <w:r>
          <w:rPr>
            <w:rStyle w:val="Hyperlink"/>
            <w:sz w:val="20"/>
            <w:szCs w:val="20"/>
          </w:rPr>
          <w:t xml:space="preserve">https://container-registry.oracle.com/ords/ocr/ba/database/free</w:t>
        </w:r>
      </w:hyperlink>
    </w:p>
    <w:p>
      <w:pPr>
        <w:tabs>
          <w:tab w:val="left" w:pos="540"/>
        </w:tabs>
        <w:spacing w:after="80"/>
        <w:ind w:left="540" w:hanging="540"/>
      </w:pPr>
      <w:r>
        <w:rPr>
          <w:sz w:val="20"/>
          <w:szCs w:val="20"/>
        </w:rPr>
        <w:t xml:space="preserve">[10]	Docker. Docker Desktop settings: Virtual Machine Options y Rosetta. </w:t>
      </w:r>
      <w:hyperlink w:history="1" r:id="rId9w864lxm2ajln8umjaggv">
        <w:r>
          <w:rPr>
            <w:rStyle w:val="Hyperlink"/>
            <w:sz w:val="20"/>
            <w:szCs w:val="20"/>
          </w:rPr>
          <w:t xml:space="preserve">https://docs.docker.com/desktop/settings-and-maintenance/settings/</w:t>
        </w:r>
      </w:hyperlink>
    </w:p>
    <w:p>
      <w:pPr>
        <w:tabs>
          <w:tab w:val="left" w:pos="540"/>
        </w:tabs>
        <w:spacing w:after="80"/>
        <w:ind w:left="540" w:hanging="540"/>
      </w:pPr>
      <w:r>
        <w:rPr>
          <w:sz w:val="20"/>
          <w:szCs w:val="20"/>
        </w:rPr>
        <w:t xml:space="preserve">[11]	Leys, C., Ley, C., Klein, O., Bernard, P. y Licata, L. (2013). Detecting outliers: Do not use standard deviation around the mean, use absolute deviation around the median. Journal of Experimental Social Psychology, 49(4), 764–766. </w:t>
      </w:r>
      <w:hyperlink w:history="1" r:id="rIdugno_ftfkcq96lcyufz1t">
        <w:r>
          <w:rPr>
            <w:rStyle w:val="Hyperlink"/>
            <w:sz w:val="20"/>
            <w:szCs w:val="20"/>
          </w:rPr>
          <w:t xml:space="preserve">https://doi.org/10.1016/j.jesp.2013.03.013</w:t>
        </w:r>
      </w:hyperlink>
    </w:p>
    <w:p>
      <w:pPr>
        <w:spacing w:before="200" w:after="120" w:line="276"/>
        <w:jc w:val="both"/>
      </w:pPr>
      <w:r>
        <w:t xml:space="preserve">Guía docente: Trabajo final de Big Data, MCD512, INTEC, Prof. José M. Aquino, marzo de 2026. Se utilizó para definir los entregables y criterios del trabajo.</w:t>
      </w:r>
    </w:p>
    <w:p>
      <w:pPr>
        <w:pStyle w:val="Heading1"/>
        <w:pageBreakBefore/>
        <w:spacing w:after="240"/>
      </w:pPr>
      <w:bookmarkStart w:name="h10" w:id="1"/>
      <w:r>
        <w:t xml:space="preserve">Anexo A. Reproducción del laboratorio</w:t>
      </w:r>
      <w:bookmarkEnd w:id="1"/>
    </w:p>
    <w:p>
      <w:pPr>
        <w:spacing w:after="120" w:line="276"/>
        <w:jc w:val="left"/>
      </w:pPr>
      <w:r>
        <w:t xml:space="preserve">Desde la carpeta del proyecto, con Docker Desktop abierto y Rosetta activado, la secuencia completa es la siguiente. Cada comando debe terminar correctamente antes de ejecutar el siguiente; la guía detallada está en </w:t>
      </w:r>
      <w:r>
        <w:rPr>
          <w:rFonts w:ascii="Consolas" w:cs="Consolas" w:eastAsia="Consolas" w:hAnsi="Consolas"/>
          <w:sz w:val="19"/>
          <w:szCs w:val="19"/>
        </w:rPr>
        <w:t xml:space="preserve">COMO_CORRER.md</w:t>
      </w:r>
      <w:r>
        <w:t xml:space="preserve">.</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python3 docker/lab.py configurar          # contraseñas en docker/.env</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validar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iniciar sqlserver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cargar sqlserver</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iniciar oracle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cargar oracle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iniciar mongodb</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cargar mongodb</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construir-cliente</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drivers</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verificar sqlserver   # también oracle y mongodb</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python3 docker/lab.py integrar             # extracción, análisis, validación y dashboard</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python3 docker/lab.py detener              # detiene los gestores conservando los datos</w:t>
      </w:r>
    </w:p>
    <w:p>
      <w:pPr>
        <w:spacing w:after="120" w:line="276"/>
        <w:jc w:val="both"/>
      </w:pPr>
      <w:r>
        <w:t xml:space="preserve">Para ejecutar el análisis sin Docker sobre los CSV ya extraídos se usa un entorno local de Python:</w:t>
      </w:r>
    </w:p>
    <w:p>
      <w:pPr>
        <w:keepNext/>
        <w:keepLines/>
        <w:pBdr>
          <w:left w:val="single" w:color="3A5F8A" w:sz="12" w:space="6"/>
        </w:pBdr>
        <w:shd w:fill="F3F4F6" w:color="auto" w:val="clear"/>
        <w:spacing w:before="80" w:after="0" w:line="240"/>
        <w:ind w:left="180"/>
      </w:pPr>
      <w:r>
        <w:rPr>
          <w:rFonts w:ascii="Consolas" w:cs="Consolas" w:eastAsia="Consolas" w:hAnsi="Consolas"/>
          <w:sz w:val="17"/>
          <w:szCs w:val="17"/>
        </w:rPr>
        <w:t xml:space="preserve">python3 -m venv .venv</w:t>
      </w:r>
    </w:p>
    <w:p>
      <w:pPr>
        <w:keepNext/>
        <w:keepLines/>
        <w:pBdr>
          <w:left w:val="single" w:color="3A5F8A" w:sz="12" w:space="6"/>
        </w:pBdr>
        <w:shd w:fill="F3F4F6" w:color="auto" w:val="clear"/>
        <w:spacing w:before="0" w:after="0" w:line="240"/>
        <w:ind w:left="180"/>
      </w:pPr>
      <w:r>
        <w:rPr>
          <w:rFonts w:ascii="Consolas" w:cs="Consolas" w:eastAsia="Consolas" w:hAnsi="Consolas"/>
          <w:sz w:val="17"/>
          <w:szCs w:val="17"/>
        </w:rPr>
        <w:t xml:space="preserve">.venv/bin/python -m pip install -r requirements.txt</w:t>
      </w:r>
    </w:p>
    <w:p>
      <w:pPr>
        <w:keepNext w:val="false"/>
        <w:keepLines/>
        <w:pBdr>
          <w:left w:val="single" w:color="3A5F8A" w:sz="12" w:space="6"/>
        </w:pBdr>
        <w:shd w:fill="F3F4F6" w:color="auto" w:val="clear"/>
        <w:spacing w:before="0" w:after="180" w:line="240"/>
        <w:ind w:left="180"/>
      </w:pPr>
      <w:r>
        <w:rPr>
          <w:rFonts w:ascii="Consolas" w:cs="Consolas" w:eastAsia="Consolas" w:hAnsi="Consolas"/>
          <w:sz w:val="17"/>
          <w:szCs w:val="17"/>
        </w:rPr>
        <w:t xml:space="preserve">.venv/bin/python run.py --usar-exportados</w:t>
      </w:r>
    </w:p>
    <w:p>
      <w:pPr>
        <w:spacing w:after="120" w:line="276"/>
        <w:jc w:val="left"/>
      </w:pPr>
      <w:r>
        <w:t xml:space="preserve">El notebook </w:t>
      </w:r>
      <w:r>
        <w:rPr>
          <w:rFonts w:ascii="Consolas" w:cs="Consolas" w:eastAsia="Consolas" w:hAnsi="Consolas"/>
          <w:sz w:val="19"/>
          <w:szCs w:val="19"/>
        </w:rPr>
        <w:t xml:space="preserve">Trabajo_final_Big_Data.ipynb</w:t>
      </w:r>
      <w:r>
        <w:t xml:space="preserve"> ejecuta las mismas etapas y muestra las figuras; detecta si los datos provienen de los gestores y, en ese caso, no los reemplaza por las muestras.</w:t>
      </w:r>
    </w:p>
    <w:p>
      <w:pPr>
        <w:pStyle w:val="Heading1"/>
        <w:pageBreakBefore/>
        <w:spacing w:after="240"/>
      </w:pPr>
      <w:bookmarkStart w:name="h11" w:id="1"/>
      <w:r>
        <w:t xml:space="preserve">Anexo B. Código fuente y configuración</w:t>
      </w:r>
      <w:bookmarkEnd w:id="1"/>
    </w:p>
    <w:p>
      <w:pPr>
        <w:spacing w:after="120" w:line="276"/>
        <w:jc w:val="left"/>
      </w:pPr>
      <w:r>
        <w:t xml:space="preserve">El proyecto completo está publicado en </w:t>
      </w:r>
      <w:hyperlink w:history="1" r:id="rIdffv8rtv8igeipgpxdaqwv">
        <w:r>
          <w:rPr>
            <w:rStyle w:val="Hyperlink"/>
          </w:rPr>
          <w:t xml:space="preserve">https://github.com/dcarrioncordones/proyecto-final-db</w:t>
        </w:r>
      </w:hyperlink>
      <w:r>
        <w:t xml:space="preserve">. La tabla resume los archivos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Archivo</w:t>
            </w:r>
          </w:p>
        </w:tc>
        <w:tc>
          <w:tcPr>
            <w:tcW w:type="dxa" w:w="5616"/>
            <w:tcBorders>
              <w:top w:val="single" w:color="BFC7D1" w:sz="4"/>
              <w:left w:val="single" w:color="BFC7D1" w:sz="4"/>
              <w:bottom w:val="single" w:color="BFC7D1" w:sz="4"/>
              <w:right w:val="single" w:color="BFC7D1" w:sz="4"/>
            </w:tcBorders>
            <w:shd w:fill="3A5F8A" w:color="auto" w:val="clear"/>
            <w:tcMar>
              <w:top w:type="dxa" w:w="60"/>
              <w:left w:type="dxa" w:w="100"/>
              <w:bottom w:type="dxa" w:w="60"/>
              <w:right w:type="dxa" w:w="100"/>
            </w:tcMar>
          </w:tcPr>
          <w:p>
            <w:r>
              <w:rPr>
                <w:b/>
                <w:bCs/>
                <w:color w:val="FFFFFF"/>
                <w:sz w:val="19"/>
                <w:szCs w:val="19"/>
              </w:rPr>
              <w:t xml:space="preserve">Contenido</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sql/northwind.sql</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Consultas de SQL Server por visualización (N01–N10)</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sql/hr.sql</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Consultas de Oracle por visualización (H01–H10)</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mongo/consultas.js</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Agregaciones de MongoDB por visualización (S01–S10)</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mongo/preparar_coleccion.js</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Validador de esquema e índices de la colección</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src/conexiones.py</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Verificación de conexiones (ODBC y PyMongo) y extracción de sólo lectura</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src/analisis.py</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Preparación analítica y las 30 figuras (PNG y Plotly)</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src/validar.py</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17 comprobaciones de datos y resultados</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src/dashboard.py, dashboard_template.html</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Construcción del dashboard interactivo</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src/origen.py</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Registro y comprobación de procedencia por hash</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run.py</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Orquestación del análisis: --desde-bd y --usar-exportados</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Trabajo_final_Big_Data.ipynb</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Notebook de Jupyter ejecutable</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docker/compose.yaml, Dockerfile</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Gestores, volúmenes, puertos y cliente con drivers ODBC</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docker/lab.py, docker/cliente.py</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Operación del laboratorio y cadenas de conexión</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config/.env.example, odbc.ini.example</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Plantillas de conexión sin credenciales reales</w:t>
            </w:r>
          </w:p>
        </w:tc>
      </w:tr>
      <w:tr>
        <w:trPr>
          <w:cantSplit/>
        </w:trPr>
        <w:tc>
          <w:tcPr>
            <w:tcW w:type="dxa" w:w="374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requirements.txt, README.md, COMO_CORRER.md</w:t>
            </w:r>
          </w:p>
        </w:tc>
        <w:tc>
          <w:tcPr>
            <w:tcW w:type="dxa" w:w="561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sz w:val="19"/>
                <w:szCs w:val="19"/>
              </w:rPr>
              <w:t xml:space="preserve">Dependencias e instrucciones de instalación y ejecución</w:t>
            </w:r>
          </w:p>
        </w:tc>
      </w:tr>
    </w:tbl>
    <w:p>
      <w:pPr>
        <w:spacing w:after="120"/>
      </w:pPr>
    </w:p>
    <w:p>
      <w:pPr>
        <w:pStyle w:val="Heading1"/>
        <w:pageBreakBefore/>
        <w:spacing w:after="240"/>
      </w:pPr>
      <w:bookmarkStart w:name="h12" w:id="1"/>
      <w:r>
        <w:t xml:space="preserve">Anexo C. Capturas del dashboard</w:t>
      </w:r>
      <w:bookmarkEnd w:id="1"/>
    </w:p>
    <w:p>
      <w:pPr>
        <w:spacing w:after="120" w:line="276"/>
        <w:jc w:val="both"/>
      </w:pPr>
      <w:r>
        <w:t xml:space="preserve">Las capturas siguientes muestran la versión interactiva de cada visualización en el dashboard, con su panel explicativo. Se tomaron en Safari después de la integración con los tres gestores. Cada base comienza con una vista general que incluye el aviso de procedencia, los selectores y sus tres indicadores clave, comunes a sus diez visualizaciones.</w:t>
      </w:r>
    </w:p>
    <w:p>
      <w:pPr>
        <w:pStyle w:val="Heading2"/>
        <w:keepNext/>
        <w:pageBreakBefore/>
        <w:spacing w:before="200" w:after="120"/>
      </w:pPr>
      <w:r>
        <w:t xml:space="preserve">C.1 SQL Server / Northwind</w:t>
      </w:r>
    </w:p>
    <w:p>
      <w:pPr>
        <w:keepNext/>
        <w:spacing w:before="120" w:after="80"/>
        <w:jc w:val="center"/>
      </w:pPr>
      <w:r>
        <w:drawing>
          <wp:inline distT="0" distB="0" distL="0" distR="0">
            <wp:extent cx="5667375" cy="3105150"/>
            <wp:effectExtent t="0" r="0" b="0" l="0"/>
            <wp:docPr id="1" name="vista_general.png" descr="Dashboard: vista general de SQL Server / Northwind con indicadores clave." title="Dashboard: vista general de SQL Server / Northwind con indicadore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50. </w:t>
      </w:r>
      <w:r>
        <w:rPr>
          <w:i/>
          <w:iCs/>
          <w:color w:val="555555"/>
          <w:sz w:val="19"/>
          <w:szCs w:val="19"/>
        </w:rPr>
        <w:t xml:space="preserve">Dashboard: vista general de SQL Server / Northwind con indicadores clave.</w:t>
      </w:r>
    </w:p>
    <w:p>
      <w:pPr>
        <w:keepNext/>
        <w:spacing w:before="120" w:after="80"/>
        <w:jc w:val="center"/>
      </w:pPr>
      <w:r>
        <w:drawing>
          <wp:inline distT="0" distB="0" distL="0" distR="0">
            <wp:extent cx="5667375" cy="3105150"/>
            <wp:effectExtent t="0" r="0" b="0" l="0"/>
            <wp:docPr id="1" name="N01.png" descr="Dashboard: N01 · Ventas mensuales y tendencia." title="Dashboard: N01 · Ventas mensuales y ten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51. </w:t>
      </w:r>
      <w:r>
        <w:rPr>
          <w:i/>
          <w:iCs/>
          <w:color w:val="555555"/>
          <w:sz w:val="19"/>
          <w:szCs w:val="19"/>
        </w:rPr>
        <w:t xml:space="preserve">Dashboard: N01 · Ventas mensuales y tendencia.</w:t>
      </w:r>
    </w:p>
    <w:p>
      <w:r>
        <w:br w:type="page"/>
      </w:r>
    </w:p>
    <w:p>
      <w:pPr>
        <w:keepNext/>
        <w:spacing w:before="120" w:after="80"/>
        <w:jc w:val="center"/>
      </w:pPr>
      <w:r>
        <w:drawing>
          <wp:inline distT="0" distB="0" distL="0" distR="0">
            <wp:extent cx="5667375" cy="3105150"/>
            <wp:effectExtent t="0" r="0" b="0" l="0"/>
            <wp:docPr id="1" name="N02.png" descr="Dashboard: N02 · Mapa de calor: categoría y país." title="Dashboard: N02 · Mapa de calor: categoría y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52. </w:t>
      </w:r>
      <w:r>
        <w:rPr>
          <w:i/>
          <w:iCs/>
          <w:color w:val="555555"/>
          <w:sz w:val="19"/>
          <w:szCs w:val="19"/>
        </w:rPr>
        <w:t xml:space="preserve">Dashboard: N02 · Mapa de calor: categoría y país.</w:t>
      </w:r>
    </w:p>
    <w:p>
      <w:pPr>
        <w:keepNext/>
        <w:spacing w:before="120" w:after="80"/>
        <w:jc w:val="center"/>
      </w:pPr>
      <w:r>
        <w:drawing>
          <wp:inline distT="0" distB="0" distL="0" distR="0">
            <wp:extent cx="5667375" cy="3105150"/>
            <wp:effectExtent t="0" r="0" b="0" l="0"/>
            <wp:docPr id="1" name="N03.png" descr="Dashboard: N03 · Top 10 clientes por volumen monetario." title="Dashboard: N03 · Top 10 clientes por volumen mon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53. </w:t>
      </w:r>
      <w:r>
        <w:rPr>
          <w:i/>
          <w:iCs/>
          <w:color w:val="555555"/>
          <w:sz w:val="19"/>
          <w:szCs w:val="19"/>
        </w:rPr>
        <w:t xml:space="preserve">Dashboard: N03 · Top 10 clientes por volumen monetario.</w:t>
      </w:r>
    </w:p>
    <w:p>
      <w:r>
        <w:br w:type="page"/>
      </w:r>
    </w:p>
    <w:p>
      <w:pPr>
        <w:keepNext/>
        <w:spacing w:before="120" w:after="80"/>
        <w:jc w:val="center"/>
      </w:pPr>
      <w:r>
        <w:drawing>
          <wp:inline distT="0" distB="0" distL="0" distR="0">
            <wp:extent cx="5667375" cy="3105150"/>
            <wp:effectExtent t="0" r="0" b="0" l="0"/>
            <wp:docPr id="1" name="N04.png" descr="Dashboard: N04 · Evolución de ventas trimestrales." title="Dashboard: N04 · Evolución de ventas trimest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54. </w:t>
      </w:r>
      <w:r>
        <w:rPr>
          <w:i/>
          <w:iCs/>
          <w:color w:val="555555"/>
          <w:sz w:val="19"/>
          <w:szCs w:val="19"/>
        </w:rPr>
        <w:t xml:space="preserve">Dashboard: N04 · Evolución de ventas trimestrales.</w:t>
      </w:r>
    </w:p>
    <w:p>
      <w:pPr>
        <w:keepNext/>
        <w:spacing w:before="120" w:after="80"/>
        <w:jc w:val="center"/>
      </w:pPr>
      <w:r>
        <w:drawing>
          <wp:inline distT="0" distB="0" distL="0" distR="0">
            <wp:extent cx="5667375" cy="3105150"/>
            <wp:effectExtent t="0" r="0" b="0" l="0"/>
            <wp:docPr id="1" name="N05.png" descr="Dashboard: N05 · Treemap de productos por categoría." title="Dashboard: N05 · Treemap de productos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55. </w:t>
      </w:r>
      <w:r>
        <w:rPr>
          <w:i/>
          <w:iCs/>
          <w:color w:val="555555"/>
          <w:sz w:val="19"/>
          <w:szCs w:val="19"/>
        </w:rPr>
        <w:t xml:space="preserve">Dashboard: N05 · Treemap de productos por categoría.</w:t>
      </w:r>
    </w:p>
    <w:p>
      <w:r>
        <w:br w:type="page"/>
      </w:r>
    </w:p>
    <w:p>
      <w:pPr>
        <w:keepNext/>
        <w:spacing w:before="120" w:after="80"/>
        <w:jc w:val="center"/>
      </w:pPr>
      <w:r>
        <w:drawing>
          <wp:inline distT="0" distB="0" distL="0" distR="0">
            <wp:extent cx="5667375" cy="3105150"/>
            <wp:effectExtent t="0" r="0" b="0" l="0"/>
            <wp:docPr id="1" name="N06.png" descr="Dashboard: N06 · Dispersión: descuento y cantidad." title="Dashboard: N06 · Dispersión: descuento y ca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56. </w:t>
      </w:r>
      <w:r>
        <w:rPr>
          <w:i/>
          <w:iCs/>
          <w:color w:val="555555"/>
          <w:sz w:val="19"/>
          <w:szCs w:val="19"/>
        </w:rPr>
        <w:t xml:space="preserve">Dashboard: N06 · Dispersión: descuento y cantidad.</w:t>
      </w:r>
    </w:p>
    <w:p>
      <w:pPr>
        <w:keepNext/>
        <w:spacing w:before="120" w:after="80"/>
        <w:jc w:val="center"/>
      </w:pPr>
      <w:r>
        <w:drawing>
          <wp:inline distT="0" distB="0" distL="0" distR="0">
            <wp:extent cx="5667375" cy="3105150"/>
            <wp:effectExtent t="0" r="0" b="0" l="0"/>
            <wp:docPr id="1" name="N07.png" descr="Dashboard: N07 · Distribución de países de clientes." title="Dashboard: N07 · Distribución de países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57. </w:t>
      </w:r>
      <w:r>
        <w:rPr>
          <w:i/>
          <w:iCs/>
          <w:color w:val="555555"/>
          <w:sz w:val="19"/>
          <w:szCs w:val="19"/>
        </w:rPr>
        <w:t xml:space="preserve">Dashboard: N07 · Distribución de países de clientes.</w:t>
      </w:r>
    </w:p>
    <w:p>
      <w:r>
        <w:br w:type="page"/>
      </w:r>
    </w:p>
    <w:p>
      <w:pPr>
        <w:keepNext/>
        <w:spacing w:before="120" w:after="80"/>
        <w:jc w:val="center"/>
      </w:pPr>
      <w:r>
        <w:drawing>
          <wp:inline distT="0" distB="0" distL="0" distR="0">
            <wp:extent cx="5667375" cy="3105150"/>
            <wp:effectExtent t="0" r="0" b="0" l="0"/>
            <wp:docPr id="1" name="N08.png" descr="Dashboard: N08 · Box plot de precios por proveedor." title="Dashboard: N08 · Box plot de precios por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58. </w:t>
      </w:r>
      <w:r>
        <w:rPr>
          <w:i/>
          <w:iCs/>
          <w:color w:val="555555"/>
          <w:sz w:val="19"/>
          <w:szCs w:val="19"/>
        </w:rPr>
        <w:t xml:space="preserve">Dashboard: N08 · Box plot de precios por proveedor.</w:t>
      </w:r>
    </w:p>
    <w:p>
      <w:pPr>
        <w:keepNext/>
        <w:spacing w:before="120" w:after="80"/>
        <w:jc w:val="center"/>
      </w:pPr>
      <w:r>
        <w:drawing>
          <wp:inline distT="0" distB="0" distL="0" distR="0">
            <wp:extent cx="5667375" cy="3105150"/>
            <wp:effectExtent t="0" r="0" b="0" l="0"/>
            <wp:docPr id="1" name="N09.png" descr="Dashboard: N09 · Áreas: ventas acumuladas por empleado." title="Dashboard: N09 · Áreas: ventas acumuladas po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59. </w:t>
      </w:r>
      <w:r>
        <w:rPr>
          <w:i/>
          <w:iCs/>
          <w:color w:val="555555"/>
          <w:sz w:val="19"/>
          <w:szCs w:val="19"/>
        </w:rPr>
        <w:t xml:space="preserve">Dashboard: N09 · Áreas: ventas acumuladas por empleado.</w:t>
      </w:r>
    </w:p>
    <w:p>
      <w:r>
        <w:br w:type="page"/>
      </w:r>
    </w:p>
    <w:p>
      <w:pPr>
        <w:keepNext/>
        <w:spacing w:before="120" w:after="80"/>
        <w:jc w:val="center"/>
      </w:pPr>
      <w:r>
        <w:drawing>
          <wp:inline distT="0" distB="0" distL="0" distR="0">
            <wp:extent cx="5667375" cy="3105150"/>
            <wp:effectExtent t="0" r="0" b="0" l="0"/>
            <wp:docPr id="1" name="N10.png" descr="Dashboard: N10 · Heatmap temporal de pedidos." title="Dashboard: N10 · Heatmap temporal de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60. </w:t>
      </w:r>
      <w:r>
        <w:rPr>
          <w:i/>
          <w:iCs/>
          <w:color w:val="555555"/>
          <w:sz w:val="19"/>
          <w:szCs w:val="19"/>
        </w:rPr>
        <w:t xml:space="preserve">Dashboard: N10 · Heatmap temporal de pedidos.</w:t>
      </w:r>
    </w:p>
    <w:p>
      <w:pPr>
        <w:pStyle w:val="Heading2"/>
        <w:keepNext/>
        <w:pageBreakBefore/>
        <w:spacing w:before="200" w:after="120"/>
      </w:pPr>
      <w:r>
        <w:t xml:space="preserve">C.2 Oracle / HR</w:t>
      </w:r>
    </w:p>
    <w:p>
      <w:pPr>
        <w:keepNext/>
        <w:spacing w:before="120" w:after="80"/>
        <w:jc w:val="center"/>
      </w:pPr>
      <w:r>
        <w:drawing>
          <wp:inline distT="0" distB="0" distL="0" distR="0">
            <wp:extent cx="5667375" cy="3105150"/>
            <wp:effectExtent t="0" r="0" b="0" l="0"/>
            <wp:docPr id="1" name="vista_hr.png" descr="Dashboard: vista general de Oracle / HR con indicadores clave." title="Dashboard: vista general de Oracle / HR con indicadore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61. </w:t>
      </w:r>
      <w:r>
        <w:rPr>
          <w:i/>
          <w:iCs/>
          <w:color w:val="555555"/>
          <w:sz w:val="19"/>
          <w:szCs w:val="19"/>
        </w:rPr>
        <w:t xml:space="preserve">Dashboard: vista general de Oracle / HR con indicadores clave.</w:t>
      </w:r>
    </w:p>
    <w:p>
      <w:pPr>
        <w:keepNext/>
        <w:spacing w:before="120" w:after="80"/>
        <w:jc w:val="center"/>
      </w:pPr>
      <w:r>
        <w:drawing>
          <wp:inline distT="0" distB="0" distL="0" distR="0">
            <wp:extent cx="5667375" cy="3105150"/>
            <wp:effectExtent t="0" r="0" b="0" l="0"/>
            <wp:docPr id="1" name="H01.png" descr="Dashboard: H01 · Histograma salarial por departamento." title="Dashboard: H01 · Histograma salarial por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62. </w:t>
      </w:r>
      <w:r>
        <w:rPr>
          <w:i/>
          <w:iCs/>
          <w:color w:val="555555"/>
          <w:sz w:val="19"/>
          <w:szCs w:val="19"/>
        </w:rPr>
        <w:t xml:space="preserve">Dashboard: H01 · Histograma salarial por departamento.</w:t>
      </w:r>
    </w:p>
    <w:p>
      <w:r>
        <w:br w:type="page"/>
      </w:r>
    </w:p>
    <w:p>
      <w:pPr>
        <w:keepNext/>
        <w:spacing w:before="120" w:after="80"/>
        <w:jc w:val="center"/>
      </w:pPr>
      <w:r>
        <w:drawing>
          <wp:inline distT="0" distB="0" distL="0" distR="0">
            <wp:extent cx="5667375" cy="3105150"/>
            <wp:effectExtent t="0" r="0" b="0" l="0"/>
            <wp:docPr id="1" name="H02.png" descr="Dashboard: H02 · Radar de perfiles de puesto." title="Dashboard: H02 · Radar de perfiles de 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63. </w:t>
      </w:r>
      <w:r>
        <w:rPr>
          <w:i/>
          <w:iCs/>
          <w:color w:val="555555"/>
          <w:sz w:val="19"/>
          <w:szCs w:val="19"/>
        </w:rPr>
        <w:t xml:space="preserve">Dashboard: H02 · Radar de perfiles de puesto.</w:t>
      </w:r>
    </w:p>
    <w:p>
      <w:pPr>
        <w:keepNext/>
        <w:spacing w:before="120" w:after="80"/>
        <w:jc w:val="center"/>
      </w:pPr>
      <w:r>
        <w:drawing>
          <wp:inline distT="0" distB="0" distL="0" distR="0">
            <wp:extent cx="5667375" cy="3105150"/>
            <wp:effectExtent t="0" r="0" b="0" l="0"/>
            <wp:docPr id="1" name="H03.png" descr="Dashboard: H03 · Organigrama interactivo." title="Dashboard: H03 · Organigrama inter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64. </w:t>
      </w:r>
      <w:r>
        <w:rPr>
          <w:i/>
          <w:iCs/>
          <w:color w:val="555555"/>
          <w:sz w:val="19"/>
          <w:szCs w:val="19"/>
        </w:rPr>
        <w:t xml:space="preserve">Dashboard: H03 · Organigrama interactivo.</w:t>
      </w:r>
    </w:p>
    <w:p>
      <w:r>
        <w:br w:type="page"/>
      </w:r>
    </w:p>
    <w:p>
      <w:pPr>
        <w:keepNext/>
        <w:spacing w:before="120" w:after="80"/>
        <w:jc w:val="center"/>
      </w:pPr>
      <w:r>
        <w:drawing>
          <wp:inline distT="0" distB="0" distL="0" distR="0">
            <wp:extent cx="5667375" cy="3105150"/>
            <wp:effectExtent t="0" r="0" b="0" l="0"/>
            <wp:docPr id="1" name="H04.png" descr="Dashboard: H04 · Mapa de calor de dotación por ubicación." title="Dashboard: H04 · Mapa de calor de dotación por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65. </w:t>
      </w:r>
      <w:r>
        <w:rPr>
          <w:i/>
          <w:iCs/>
          <w:color w:val="555555"/>
          <w:sz w:val="19"/>
          <w:szCs w:val="19"/>
        </w:rPr>
        <w:t xml:space="preserve">Dashboard: H04 · Mapa de calor de dotación por ubicación.</w:t>
      </w:r>
    </w:p>
    <w:p>
      <w:pPr>
        <w:keepNext/>
        <w:spacing w:before="120" w:after="80"/>
        <w:jc w:val="center"/>
      </w:pPr>
      <w:r>
        <w:drawing>
          <wp:inline distT="0" distB="0" distL="0" distR="0">
            <wp:extent cx="5667375" cy="3105150"/>
            <wp:effectExtent t="0" r="0" b="0" l="0"/>
            <wp:docPr id="1" name="H05.png" descr="Dashboard: H05 · Violín salarial por antigüedad." title="Dashboard: H05 · Violín salarial por antigü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66. </w:t>
      </w:r>
      <w:r>
        <w:rPr>
          <w:i/>
          <w:iCs/>
          <w:color w:val="555555"/>
          <w:sz w:val="19"/>
          <w:szCs w:val="19"/>
        </w:rPr>
        <w:t xml:space="preserve">Dashboard: H05 · Violín salarial por antigüedad.</w:t>
      </w:r>
    </w:p>
    <w:p>
      <w:r>
        <w:br w:type="page"/>
      </w:r>
    </w:p>
    <w:p>
      <w:pPr>
        <w:keepNext/>
        <w:spacing w:before="120" w:after="80"/>
        <w:jc w:val="center"/>
      </w:pPr>
      <w:r>
        <w:drawing>
          <wp:inline distT="0" distB="0" distL="0" distR="0">
            <wp:extent cx="5667375" cy="3105150"/>
            <wp:effectExtent t="0" r="0" b="0" l="0"/>
            <wp:docPr id="1" name="H06.png" descr="Dashboard: H06 · Sankey de cambios de departamento." title="Dashboard: H06 · Sankey de cambios de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67. </w:t>
      </w:r>
      <w:r>
        <w:rPr>
          <w:i/>
          <w:iCs/>
          <w:color w:val="555555"/>
          <w:sz w:val="19"/>
          <w:szCs w:val="19"/>
        </w:rPr>
        <w:t xml:space="preserve">Dashboard: H06 · Sankey de cambios de departamento.</w:t>
      </w:r>
    </w:p>
    <w:p>
      <w:pPr>
        <w:keepNext/>
        <w:spacing w:before="120" w:after="80"/>
        <w:jc w:val="center"/>
      </w:pPr>
      <w:r>
        <w:drawing>
          <wp:inline distT="0" distB="0" distL="0" distR="0">
            <wp:extent cx="5667375" cy="3105150"/>
            <wp:effectExtent t="0" r="0" b="0" l="0"/>
            <wp:docPr id="1" name="H07.png" descr="Dashboard: H07 · Burbujas: salario y antigüedad." title="Dashboard: H07 · Burbujas: salario y antigü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68. </w:t>
      </w:r>
      <w:r>
        <w:rPr>
          <w:i/>
          <w:iCs/>
          <w:color w:val="555555"/>
          <w:sz w:val="19"/>
          <w:szCs w:val="19"/>
        </w:rPr>
        <w:t xml:space="preserve">Dashboard: H07 · Burbujas: salario y antigüedad.</w:t>
      </w:r>
    </w:p>
    <w:p>
      <w:r>
        <w:br w:type="page"/>
      </w:r>
    </w:p>
    <w:p>
      <w:pPr>
        <w:keepNext/>
        <w:spacing w:before="120" w:after="80"/>
        <w:jc w:val="center"/>
      </w:pPr>
      <w:r>
        <w:drawing>
          <wp:inline distT="0" distB="0" distL="0" distR="0">
            <wp:extent cx="5667375" cy="3105150"/>
            <wp:effectExtent t="0" r="0" b="0" l="0"/>
            <wp:docPr id="1" name="H08.png" descr="Dashboard: H08 · Densidad de contrataciones por mes." title="Dashboard: H08 · Densidad de contrataciones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69. </w:t>
      </w:r>
      <w:r>
        <w:rPr>
          <w:i/>
          <w:iCs/>
          <w:color w:val="555555"/>
          <w:sz w:val="19"/>
          <w:szCs w:val="19"/>
        </w:rPr>
        <w:t xml:space="preserve">Dashboard: H08 · Densidad de contrataciones por mes.</w:t>
      </w:r>
    </w:p>
    <w:p>
      <w:pPr>
        <w:keepNext/>
        <w:spacing w:before="120" w:after="80"/>
        <w:jc w:val="center"/>
      </w:pPr>
      <w:r>
        <w:drawing>
          <wp:inline distT="0" distB="0" distL="0" distR="0">
            <wp:extent cx="5667375" cy="3105150"/>
            <wp:effectExtent t="0" r="0" b="0" l="0"/>
            <wp:docPr id="1" name="H09.png" descr="Dashboard: H09 · Donut de empleados por región." title="Dashboard: H09 · Donut de empleados por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70. </w:t>
      </w:r>
      <w:r>
        <w:rPr>
          <w:i/>
          <w:iCs/>
          <w:color w:val="555555"/>
          <w:sz w:val="19"/>
          <w:szCs w:val="19"/>
        </w:rPr>
        <w:t xml:space="preserve">Dashboard: H09 · Donut de empleados por región.</w:t>
      </w:r>
    </w:p>
    <w:p>
      <w:r>
        <w:br w:type="page"/>
      </w:r>
    </w:p>
    <w:p>
      <w:pPr>
        <w:keepNext/>
        <w:spacing w:before="120" w:after="80"/>
        <w:jc w:val="center"/>
      </w:pPr>
      <w:r>
        <w:drawing>
          <wp:inline distT="0" distB="0" distL="0" distR="0">
            <wp:extent cx="5667375" cy="3105150"/>
            <wp:effectExtent t="0" r="0" b="0" l="0"/>
            <wp:docPr id="1" name="H10.png" descr="Dashboard: H10 · Waterfall de bandas salariales: escenario ilustrativo." title="Dashboard: H10 · Waterfall de bandas salariales: escenario i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71. </w:t>
      </w:r>
      <w:r>
        <w:rPr>
          <w:i/>
          <w:iCs/>
          <w:color w:val="555555"/>
          <w:sz w:val="19"/>
          <w:szCs w:val="19"/>
        </w:rPr>
        <w:t xml:space="preserve">Dashboard: H10 · Waterfall de bandas salariales: escenario ilustrativo.</w:t>
      </w:r>
    </w:p>
    <w:p>
      <w:pPr>
        <w:pStyle w:val="Heading2"/>
        <w:keepNext/>
        <w:pageBreakBefore/>
        <w:spacing w:before="200" w:after="120"/>
      </w:pPr>
      <w:r>
        <w:t xml:space="preserve">C.3 MongoDB / sensores</w:t>
      </w:r>
    </w:p>
    <w:p>
      <w:pPr>
        <w:keepNext/>
        <w:spacing w:before="120" w:after="80"/>
        <w:jc w:val="center"/>
      </w:pPr>
      <w:r>
        <w:drawing>
          <wp:inline distT="0" distB="0" distL="0" distR="0">
            <wp:extent cx="5667375" cy="3105150"/>
            <wp:effectExtent t="0" r="0" b="0" l="0"/>
            <wp:docPr id="1" name="vista_sensores_s10.png" descr="Dashboard: vista general de MongoDB / sensores con indicadores clave." title="Dashboard: vista general de MongoDB / sensores con indicadore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72. </w:t>
      </w:r>
      <w:r>
        <w:rPr>
          <w:i/>
          <w:iCs/>
          <w:color w:val="555555"/>
          <w:sz w:val="19"/>
          <w:szCs w:val="19"/>
        </w:rPr>
        <w:t xml:space="preserve">Dashboard: vista general de MongoDB / sensores con indicadores clave.</w:t>
      </w:r>
    </w:p>
    <w:p>
      <w:pPr>
        <w:keepNext/>
        <w:spacing w:before="120" w:after="80"/>
        <w:jc w:val="center"/>
      </w:pPr>
      <w:r>
        <w:drawing>
          <wp:inline distT="0" distB="0" distL="0" distR="0">
            <wp:extent cx="5667375" cy="3105150"/>
            <wp:effectExtent t="0" r="0" b="0" l="0"/>
            <wp:docPr id="1" name="S01.png" descr="Dashboard: S01 · Serie temporal de temperatura por ciudad." title="Dashboard: S01 · Serie temporal de temperatura por ciu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73. </w:t>
      </w:r>
      <w:r>
        <w:rPr>
          <w:i/>
          <w:iCs/>
          <w:color w:val="555555"/>
          <w:sz w:val="19"/>
          <w:szCs w:val="19"/>
        </w:rPr>
        <w:t xml:space="preserve">Dashboard: S01 · Serie temporal de temperatura por ciudad.</w:t>
      </w:r>
    </w:p>
    <w:p>
      <w:r>
        <w:br w:type="page"/>
      </w:r>
    </w:p>
    <w:p>
      <w:pPr>
        <w:keepNext/>
        <w:spacing w:before="120" w:after="80"/>
        <w:jc w:val="center"/>
      </w:pPr>
      <w:r>
        <w:drawing>
          <wp:inline distT="0" distB="0" distL="0" distR="0">
            <wp:extent cx="5667375" cy="3105150"/>
            <wp:effectExtent t="0" r="0" b="0" l="0"/>
            <wp:docPr id="1" name="S02.png" descr="Dashboard: S02 · Mapa de calor geográfico de lecturas." title="Dashboard: S02 · Mapa de calor geográfico de lec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74. </w:t>
      </w:r>
      <w:r>
        <w:rPr>
          <w:i/>
          <w:iCs/>
          <w:color w:val="555555"/>
          <w:sz w:val="19"/>
          <w:szCs w:val="19"/>
        </w:rPr>
        <w:t xml:space="preserve">Dashboard: S02 · Mapa de calor geográfico de lecturas.</w:t>
      </w:r>
    </w:p>
    <w:p>
      <w:pPr>
        <w:keepNext/>
        <w:spacing w:before="120" w:after="80"/>
        <w:jc w:val="center"/>
      </w:pPr>
      <w:r>
        <w:drawing>
          <wp:inline distT="0" distB="0" distL="0" distR="0">
            <wp:extent cx="5667375" cy="3105150"/>
            <wp:effectExtent t="0" r="0" b="0" l="0"/>
            <wp:docPr id="1" name="S03.png" descr="Dashboard: S03 · Violines por tipo de sensor." title="Dashboard: S03 · Violines por tipo d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75. </w:t>
      </w:r>
      <w:r>
        <w:rPr>
          <w:i/>
          <w:iCs/>
          <w:color w:val="555555"/>
          <w:sz w:val="19"/>
          <w:szCs w:val="19"/>
        </w:rPr>
        <w:t xml:space="preserve">Dashboard: S03 · Violines por tipo de sensor.</w:t>
      </w:r>
    </w:p>
    <w:p>
      <w:r>
        <w:br w:type="page"/>
      </w:r>
    </w:p>
    <w:p>
      <w:pPr>
        <w:keepNext/>
        <w:spacing w:before="120" w:after="80"/>
        <w:jc w:val="center"/>
      </w:pPr>
      <w:r>
        <w:drawing>
          <wp:inline distT="0" distB="0" distL="0" distR="0">
            <wp:extent cx="5667375" cy="3105150"/>
            <wp:effectExtent t="0" r="0" b="0" l="0"/>
            <wp:docPr id="1" name="S04.png" descr="Dashboard: S04 · Matriz de dispersión entre sensores." title="Dashboard: S04 · Matriz de dispersión entre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76. </w:t>
      </w:r>
      <w:r>
        <w:rPr>
          <w:i/>
          <w:iCs/>
          <w:color w:val="555555"/>
          <w:sz w:val="19"/>
          <w:szCs w:val="19"/>
        </w:rPr>
        <w:t xml:space="preserve">Dashboard: S04 · Matriz de dispersión entre sensores.</w:t>
      </w:r>
    </w:p>
    <w:p>
      <w:pPr>
        <w:keepNext/>
        <w:spacing w:before="120" w:after="80"/>
        <w:jc w:val="center"/>
      </w:pPr>
      <w:r>
        <w:drawing>
          <wp:inline distT="0" distB="0" distL="0" distR="0">
            <wp:extent cx="5667375" cy="3105150"/>
            <wp:effectExtent t="0" r="0" b="0" l="0"/>
            <wp:docPr id="1" name="S05.png" descr="Dashboard: S05 · Áreas apiladas por ubicación." title="Dashboard: S05 · Áreas apiladas por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77. </w:t>
      </w:r>
      <w:r>
        <w:rPr>
          <w:i/>
          <w:iCs/>
          <w:color w:val="555555"/>
          <w:sz w:val="19"/>
          <w:szCs w:val="19"/>
        </w:rPr>
        <w:t xml:space="preserve">Dashboard: S05 · Áreas apiladas por ubicación.</w:t>
      </w:r>
    </w:p>
    <w:p>
      <w:r>
        <w:br w:type="page"/>
      </w:r>
    </w:p>
    <w:p>
      <w:pPr>
        <w:keepNext/>
        <w:spacing w:before="120" w:after="80"/>
        <w:jc w:val="center"/>
      </w:pPr>
      <w:r>
        <w:drawing>
          <wp:inline distT="0" distB="0" distL="0" distR="0">
            <wp:extent cx="5667375" cy="3105150"/>
            <wp:effectExtent t="0" r="0" b="0" l="0"/>
            <wp:docPr id="1" name="S06.png" descr="Dashboard: S06 · Detección de anomalías con MAD." title="Dashboard: S06 · Detección de anomalías con 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78. </w:t>
      </w:r>
      <w:r>
        <w:rPr>
          <w:i/>
          <w:iCs/>
          <w:color w:val="555555"/>
          <w:sz w:val="19"/>
          <w:szCs w:val="19"/>
        </w:rPr>
        <w:t xml:space="preserve">Dashboard: S06 · Detección de anomalías con MAD.</w:t>
      </w:r>
    </w:p>
    <w:p>
      <w:pPr>
        <w:keepNext/>
        <w:spacing w:before="120" w:after="80"/>
        <w:jc w:val="center"/>
      </w:pPr>
      <w:r>
        <w:drawing>
          <wp:inline distT="0" distB="0" distL="0" distR="0">
            <wp:extent cx="5667375" cy="3105150"/>
            <wp:effectExtent t="0" r="0" b="0" l="0"/>
            <wp:docPr id="1" name="S07.png" descr="Dashboard: S07 · Calendario de patrones diarios." title="Dashboard: S07 · Calendario de patrones di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79. </w:t>
      </w:r>
      <w:r>
        <w:rPr>
          <w:i/>
          <w:iCs/>
          <w:color w:val="555555"/>
          <w:sz w:val="19"/>
          <w:szCs w:val="19"/>
        </w:rPr>
        <w:t xml:space="preserve">Dashboard: S07 · Calendario de patrones diarios.</w:t>
      </w:r>
    </w:p>
    <w:p>
      <w:r>
        <w:br w:type="page"/>
      </w:r>
    </w:p>
    <w:p>
      <w:pPr>
        <w:keepNext/>
        <w:spacing w:before="120" w:after="80"/>
        <w:jc w:val="center"/>
      </w:pPr>
      <w:r>
        <w:drawing>
          <wp:inline distT="0" distB="0" distL="0" distR="0">
            <wp:extent cx="5667375" cy="3105150"/>
            <wp:effectExtent t="0" r="0" b="0" l="0"/>
            <wp:docPr id="1" name="S08.png" descr="Dashboard: S08 · Red de relaciones entre sensores." title="Dashboard: S08 · Red de relaciones entre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80. </w:t>
      </w:r>
      <w:r>
        <w:rPr>
          <w:i/>
          <w:iCs/>
          <w:color w:val="555555"/>
          <w:sz w:val="19"/>
          <w:szCs w:val="19"/>
        </w:rPr>
        <w:t xml:space="preserve">Dashboard: S08 · Red de relaciones entre sensores.</w:t>
      </w:r>
    </w:p>
    <w:p>
      <w:pPr>
        <w:keepNext/>
        <w:spacing w:before="120" w:after="80"/>
        <w:jc w:val="center"/>
      </w:pPr>
      <w:r>
        <w:drawing>
          <wp:inline distT="0" distB="0" distL="0" distR="0">
            <wp:extent cx="5667375" cy="3105150"/>
            <wp:effectExtent t="0" r="0" b="0" l="0"/>
            <wp:docPr id="1" name="S09.png" descr="Dashboard: S09 · Dispersión 3D: valor, ubicación y tiempo." title="Dashboard: S09 · Dispersión 3D: valor, ubicación y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81. </w:t>
      </w:r>
      <w:r>
        <w:rPr>
          <w:i/>
          <w:iCs/>
          <w:color w:val="555555"/>
          <w:sz w:val="19"/>
          <w:szCs w:val="19"/>
        </w:rPr>
        <w:t xml:space="preserve">Dashboard: S09 · Dispersión 3D: valor, ubicación y tiempo.</w:t>
      </w:r>
    </w:p>
    <w:p>
      <w:r>
        <w:br w:type="page"/>
      </w:r>
    </w:p>
    <w:p>
      <w:pPr>
        <w:keepNext/>
        <w:spacing w:before="120" w:after="80"/>
        <w:jc w:val="center"/>
      </w:pPr>
      <w:r>
        <w:drawing>
          <wp:inline distT="0" distB="0" distL="0" distR="0">
            <wp:extent cx="5667375" cy="3105150"/>
            <wp:effectExtent t="0" r="0" b="0" l="0"/>
            <wp:docPr id="1" name="S10.png" descr="Dashboard: S10 · Dashboard de monitoreo simulado." title="Dashboard: S10 · Dashboard de monitoreo sim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667375" cy="3105150"/>
                    </a:xfrm>
                    <a:prstGeom prst="rect">
                      <a:avLst/>
                    </a:prstGeom>
                  </pic:spPr>
                </pic:pic>
              </a:graphicData>
            </a:graphic>
          </wp:inline>
        </w:drawing>
      </w:r>
    </w:p>
    <w:p>
      <w:pPr>
        <w:spacing w:after="220"/>
        <w:jc w:val="center"/>
      </w:pPr>
      <w:r>
        <w:rPr>
          <w:b/>
          <w:bCs/>
          <w:i/>
          <w:iCs/>
          <w:color w:val="555555"/>
          <w:sz w:val="19"/>
          <w:szCs w:val="19"/>
        </w:rPr>
        <w:t xml:space="preserve">Figura 82. </w:t>
      </w:r>
      <w:r>
        <w:rPr>
          <w:i/>
          <w:iCs/>
          <w:color w:val="555555"/>
          <w:sz w:val="19"/>
          <w:szCs w:val="19"/>
        </w:rPr>
        <w:t xml:space="preserve">Dashboard: S10 · Dashboard de monitoreo simulado.</w:t>
      </w:r>
    </w:p>
    <w:sectPr>
      <w:footerReference w:type="default" r:id="rId6"/>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MCD512 · Dan Carrión (1131022) ·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B5C"/>
      <w:sz w:val="32"/>
      <w:szCs w:val="32"/>
    </w:rPr>
  </w:style>
  <w:style w:type="paragraph" w:styleId="Heading2">
    <w:name w:val="Heading 2"/>
    <w:basedOn w:val="Normal"/>
    <w:next w:val="Normal"/>
    <w:qFormat/>
    <w:pPr>
      <w:outlineLvl w:val="1"/>
    </w:pPr>
    <w:rPr>
      <w:rFonts w:ascii="Arial" w:cs="Arial" w:eastAsia="Arial" w:hAnsi="Arial"/>
      <w:b/>
      <w:bCs/>
      <w:color w:val="3A5F8A"/>
      <w:sz w:val="26"/>
      <w:szCs w:val="26"/>
    </w:rPr>
  </w:style>
  <w:style w:type="paragraph" w:styleId="Heading3">
    <w:name w:val="Heading 3"/>
    <w:basedOn w:val="Normal"/>
    <w:next w:val="Normal"/>
    <w:qFormat/>
    <w:pPr>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cuynvnbcxhvpb-vxdlskd" Type="http://schemas.openxmlformats.org/officeDocument/2006/relationships/hyperlink" Target="https://github.com/dcarrioncordones/proyecto-final-db" TargetMode="External"/><Relationship Id="rIdr260--xemkjdkdfqtirao" Type="http://schemas.openxmlformats.org/officeDocument/2006/relationships/hyperlink" Target="https://github.com/dcarrioncordones/proyecto-final-db" TargetMode="External"/><Relationship Id="rIdoqai8jgf-ucjvnhe0mnwx" Type="http://schemas.openxmlformats.org/officeDocument/2006/relationships/hyperlink" Target="https://github.com/microsoft/sql-server-samples/blob/master/samples/databases/northwind-pubs/instnwnd.sql" TargetMode="External"/><Relationship Id="rIdtjzdbp5okcsb2a8xfqfg6" Type="http://schemas.openxmlformats.org/officeDocument/2006/relationships/hyperlink" Target="https://github.com/oracle-samples/db-sample-schemas/tree/main/human_resources" TargetMode="External"/><Relationship Id="rIdmjeny72oppyktf1zsc0mt" Type="http://schemas.openxmlformats.org/officeDocument/2006/relationships/hyperlink" Target="https://learn.microsoft.com/en-us/sql/connect/odbc/linux-mac/installing-the-microsoft-odbc-driver-for-sql-server" TargetMode="External"/><Relationship Id="rIdlrhlgh8sexxeptyliyhi5" Type="http://schemas.openxmlformats.org/officeDocument/2006/relationships/hyperlink" Target="https://www.oracle.com/database/technologies/instant-client/linux-x86-64-downloads.html" TargetMode="External"/><Relationship Id="rIddkbmjwknd1sesm_dsjqg8" Type="http://schemas.openxmlformats.org/officeDocument/2006/relationships/hyperlink" Target="https://www.mongodb.com/docs/languages/python/pymongo-driver/current/connect/" TargetMode="External"/><Relationship Id="rIdnzc27e0i0rkmsee2k9sfd" Type="http://schemas.openxmlformats.org/officeDocument/2006/relationships/hyperlink" Target="https://www.mongodb.com/docs/manual/reference/operator/aggregation/dateTrunc/" TargetMode="External"/><Relationship Id="rIdvmq2vv1zqdsg7hrxawyac" Type="http://schemas.openxmlformats.org/officeDocument/2006/relationships/hyperlink" Target="https://plotly.com/python/" TargetMode="External"/><Relationship Id="rIdoacmk_len0wpezhjqpgyz" Type="http://schemas.openxmlformats.org/officeDocument/2006/relationships/hyperlink" Target="https://learn.microsoft.com/en-us/sql/linux/sql-server-linux-docker-container-deployment" TargetMode="External"/><Relationship Id="rIdvay0u1ylq1chotmektgxb" Type="http://schemas.openxmlformats.org/officeDocument/2006/relationships/hyperlink" Target="https://container-registry.oracle.com/ords/ocr/ba/database/free" TargetMode="External"/><Relationship Id="rId9w864lxm2ajln8umjaggv" Type="http://schemas.openxmlformats.org/officeDocument/2006/relationships/hyperlink" Target="https://docs.docker.com/desktop/settings-and-maintenance/settings/" TargetMode="External"/><Relationship Id="rIdugno_ftfkcq96lcyufz1t" Type="http://schemas.openxmlformats.org/officeDocument/2006/relationships/hyperlink" Target="https://doi.org/10.1016/j.jesp.2013.03.013" TargetMode="External"/><Relationship Id="rIdffv8rtv8igeipgpxdaqwv" Type="http://schemas.openxmlformats.org/officeDocument/2006/relationships/hyperlink" Target="https://github.com/dcarrioncordones/proyecto-final-db" TargetMode="External"/><Relationship Id="rId7" Type="http://schemas.openxmlformats.org/officeDocument/2006/relationships/image" Target="media/14c7a0af332bb917ac7e2a7e162f8cb3caa8e790.jpg"/><Relationship Id="rId8" Type="http://schemas.openxmlformats.org/officeDocument/2006/relationships/image" Target="media/f2b586a6ac1cdf5121b386f8654a8d88818632f0.png"/><Relationship Id="rId9" Type="http://schemas.openxmlformats.org/officeDocument/2006/relationships/image" Target="media/0e75dc2959dd47b6d1a817edf145432f6ad25fbb.png"/><Relationship Id="rId10" Type="http://schemas.openxmlformats.org/officeDocument/2006/relationships/image" Target="media/44bb28bf509840c02ad7f15de347c37f1efd1575.png"/><Relationship Id="rId11" Type="http://schemas.openxmlformats.org/officeDocument/2006/relationships/image" Target="media/41016b66d77bd94fcab5c425a0c5a295479148fe.png"/><Relationship Id="rId12" Type="http://schemas.openxmlformats.org/officeDocument/2006/relationships/image" Target="media/b46e5883697ad7bc90bd34b45984906f21f3baee.png"/><Relationship Id="rId13" Type="http://schemas.openxmlformats.org/officeDocument/2006/relationships/image" Target="media/e5acaaca4ea7802e6f50687634fbb1373b230750.png"/><Relationship Id="rId14" Type="http://schemas.openxmlformats.org/officeDocument/2006/relationships/image" Target="media/568139bcd30c88f934115670092ff1e49189ad80.png"/><Relationship Id="rId15" Type="http://schemas.openxmlformats.org/officeDocument/2006/relationships/image" Target="media/ab280e55e19c41d595d03aa206cf6ab8cb5ab284.png"/><Relationship Id="rId16" Type="http://schemas.openxmlformats.org/officeDocument/2006/relationships/image" Target="media/0ee54da8247eb3db7700186d0d726ecd323389f1.png"/><Relationship Id="rId17" Type="http://schemas.openxmlformats.org/officeDocument/2006/relationships/image" Target="media/de613fbff0f2370509f67072f6439fde4c06fd08.png"/><Relationship Id="rId18" Type="http://schemas.openxmlformats.org/officeDocument/2006/relationships/image" Target="media/70f73bdec13610bb4af871ba13342f67426013d2.png"/><Relationship Id="rId19" Type="http://schemas.openxmlformats.org/officeDocument/2006/relationships/image" Target="media/59c27bd4edf16afd9f917d2b68014003f1a3ad62.png"/><Relationship Id="rId20" Type="http://schemas.openxmlformats.org/officeDocument/2006/relationships/image" Target="media/ae3fc325b1d27b0fef810b87e98cf4ba7c8d268e.png"/><Relationship Id="rId21" Type="http://schemas.openxmlformats.org/officeDocument/2006/relationships/image" Target="media/cf3e3a26ff8ae865fc6ac03925c370ba3b6ef39d.png"/><Relationship Id="rId22" Type="http://schemas.openxmlformats.org/officeDocument/2006/relationships/image" Target="media/d8a2df490220eb95f531192d8aa117e054aa3023.png"/><Relationship Id="rId23" Type="http://schemas.openxmlformats.org/officeDocument/2006/relationships/image" Target="media/31b503410a4157accd588b9def1d6a2506e357a8.png"/><Relationship Id="rId24" Type="http://schemas.openxmlformats.org/officeDocument/2006/relationships/image" Target="media/e3644842a4c51cd75243823e56876ba7c4524589.png"/><Relationship Id="rId25" Type="http://schemas.openxmlformats.org/officeDocument/2006/relationships/image" Target="media/4840e22b5ccf78f1b94e5a817f7982c034c7d7a6.png"/><Relationship Id="rId26" Type="http://schemas.openxmlformats.org/officeDocument/2006/relationships/image" Target="media/992a761bad35571f678cc10de9f7878fe58ef02c.png"/><Relationship Id="rId27" Type="http://schemas.openxmlformats.org/officeDocument/2006/relationships/image" Target="media/c83229a1a8c5143cc95764a3939803dc97fe5aa9.png"/><Relationship Id="rId28" Type="http://schemas.openxmlformats.org/officeDocument/2006/relationships/image" Target="media/a384ac0adb35e758d5f786c8c6d66edc66f57639.png"/><Relationship Id="rId29" Type="http://schemas.openxmlformats.org/officeDocument/2006/relationships/image" Target="media/e25ae49a91619ac809d10d4ae198f07210850840.png"/><Relationship Id="rId30" Type="http://schemas.openxmlformats.org/officeDocument/2006/relationships/image" Target="media/e5dbd83ff35ca598edf80b344b5a85a68b1646a2.png"/><Relationship Id="rId31" Type="http://schemas.openxmlformats.org/officeDocument/2006/relationships/image" Target="media/700b81dc0ee803738bdeb4cff0dba06b6d5a0ab2.png"/><Relationship Id="rId32" Type="http://schemas.openxmlformats.org/officeDocument/2006/relationships/image" Target="media/0100c48cec062b0ffa8965cf0f12c780775cd4bc.png"/><Relationship Id="rId33" Type="http://schemas.openxmlformats.org/officeDocument/2006/relationships/image" Target="media/ef72eb4a81d1a87d532fcb22c776698bf71f8bce.png"/><Relationship Id="rId34" Type="http://schemas.openxmlformats.org/officeDocument/2006/relationships/image" Target="media/a6ad5d07f30108a36f6f83cdb3af38c017b769d9.png"/><Relationship Id="rId35" Type="http://schemas.openxmlformats.org/officeDocument/2006/relationships/image" Target="media/d5b459eab86661c84f29dcb5b37979b5af7e4dc8.png"/><Relationship Id="rId36" Type="http://schemas.openxmlformats.org/officeDocument/2006/relationships/image" Target="media/8326e2918dc0714ae38c889097e2e1645ffb0f2b.png"/><Relationship Id="rId37" Type="http://schemas.openxmlformats.org/officeDocument/2006/relationships/image" Target="media/0ac390fbae9a5fbc015e8f13b335c4996cec6e02.png"/><Relationship Id="rId38" Type="http://schemas.openxmlformats.org/officeDocument/2006/relationships/image" Target="media/792e7f593269fe0e759594a822a7ed8f462159f1.png"/><Relationship Id="rId39" Type="http://schemas.openxmlformats.org/officeDocument/2006/relationships/image" Target="media/5f08c954543b64d8e106019eef7bdb475eef161e.png"/><Relationship Id="rId40" Type="http://schemas.openxmlformats.org/officeDocument/2006/relationships/image" Target="media/2c050dad4131c75d74fe2e0fa0b9699ca461e958.png"/><Relationship Id="rId41" Type="http://schemas.openxmlformats.org/officeDocument/2006/relationships/image" Target="media/8c80234ac0d0b71ca87bf7dc43e49eb99b67ff1f.png"/><Relationship Id="rId42" Type="http://schemas.openxmlformats.org/officeDocument/2006/relationships/image" Target="media/965448914f13f16e5070e2acb831dccabe1a0ab1.png"/><Relationship Id="rId43" Type="http://schemas.openxmlformats.org/officeDocument/2006/relationships/image" Target="media/2332e3694b3c3be222bc0666139dc891c309338b.png"/><Relationship Id="rId44" Type="http://schemas.openxmlformats.org/officeDocument/2006/relationships/image" Target="media/3a94aa688bd27457dcfb95cdeae1001540c8fd68.png"/><Relationship Id="rId45" Type="http://schemas.openxmlformats.org/officeDocument/2006/relationships/image" Target="media/ceacf394b562efd6f02125139a8085e3b3aede99.png"/><Relationship Id="rId46" Type="http://schemas.openxmlformats.org/officeDocument/2006/relationships/image" Target="media/92fb3f9db163b213851cc567911338d83c7e2a31.png"/><Relationship Id="rId47" Type="http://schemas.openxmlformats.org/officeDocument/2006/relationships/image" Target="media/879d2d23f9c784b386ad0819d08968b643273eeb.png"/><Relationship Id="rId48" Type="http://schemas.openxmlformats.org/officeDocument/2006/relationships/image" Target="media/61bc0526dbc63002ed01feface0f9b8dfe516d8f.png"/><Relationship Id="rId49" Type="http://schemas.openxmlformats.org/officeDocument/2006/relationships/image" Target="media/f914729ceb7cd7f8d20be82ce3c84a536a26632c.png"/><Relationship Id="rId50" Type="http://schemas.openxmlformats.org/officeDocument/2006/relationships/image" Target="media/8c0bb4dd4fec7cca4e90db3beb62425e021bb5b6.png"/><Relationship Id="rId51" Type="http://schemas.openxmlformats.org/officeDocument/2006/relationships/image" Target="media/93292c537514716f9fdb2e30b44ec04ccea4622c.png"/><Relationship Id="rId52" Type="http://schemas.openxmlformats.org/officeDocument/2006/relationships/image" Target="media/cdfd81174dc6c2f82fb29dae67c03c648cbf5839.png"/><Relationship Id="rId53" Type="http://schemas.openxmlformats.org/officeDocument/2006/relationships/image" Target="media/c3e466a8dcca15b47f93c312d4276dcbdec73629.png"/><Relationship Id="rId54" Type="http://schemas.openxmlformats.org/officeDocument/2006/relationships/image" Target="media/6e4fea6c6d432fc5ac3d23b5a7d3f076a4d519e1.png"/><Relationship Id="rId55" Type="http://schemas.openxmlformats.org/officeDocument/2006/relationships/image" Target="media/623f58732a2f86c8886083c1160d26617d79d435.png"/><Relationship Id="rId56" Type="http://schemas.openxmlformats.org/officeDocument/2006/relationships/image" Target="media/14fff2bc543bb33dbfe235901d6990be3f09d26f.png"/><Relationship Id="rId57" Type="http://schemas.openxmlformats.org/officeDocument/2006/relationships/image" Target="media/f983090c1732386d733fe92aa539dea677a4c693.png"/><Relationship Id="rId58" Type="http://schemas.openxmlformats.org/officeDocument/2006/relationships/image" Target="media/674d605bd4f80dd0d968ab65ffc3f1459432da64.png"/><Relationship Id="rId59" Type="http://schemas.openxmlformats.org/officeDocument/2006/relationships/image" Target="media/4a3541de972d6eff8230c1c72901e8631a3d8163.png"/><Relationship Id="rId60" Type="http://schemas.openxmlformats.org/officeDocument/2006/relationships/image" Target="media/a5ac2da565130c365ec34812756dff89bb507955.png"/><Relationship Id="rId61" Type="http://schemas.openxmlformats.org/officeDocument/2006/relationships/image" Target="media/9f5480a5e2013bc974de45339a53ced530ee619c.png"/><Relationship Id="rId62" Type="http://schemas.openxmlformats.org/officeDocument/2006/relationships/image" Target="media/46490f967c2a7c421760f979338a1ad81fb76558.png"/><Relationship Id="rId63" Type="http://schemas.openxmlformats.org/officeDocument/2006/relationships/image" Target="media/4c90205548bacacda0ebec4c89be7e827ca5ec05.png"/><Relationship Id="rId64" Type="http://schemas.openxmlformats.org/officeDocument/2006/relationships/image" Target="media/374de70ad9d8f08a0828557aef0dfc08047810f5.png"/><Relationship Id="rId65" Type="http://schemas.openxmlformats.org/officeDocument/2006/relationships/image" Target="media/150dc57be9b41d740edcb02db256a86176dc8da1.png"/><Relationship Id="rId66" Type="http://schemas.openxmlformats.org/officeDocument/2006/relationships/image" Target="media/0ce5d46b81c0465f7937af58f7d88ec28bf6f62b.png"/><Relationship Id="rId67" Type="http://schemas.openxmlformats.org/officeDocument/2006/relationships/image" Target="media/be5c0730bf73f601dfc28d6c9cb71726cbf102e2.png"/><Relationship Id="rId68" Type="http://schemas.openxmlformats.org/officeDocument/2006/relationships/image" Target="media/7ba89b7377dab5b8ea6a6f914a2dc2d801cddcab.png"/><Relationship Id="rId69" Type="http://schemas.openxmlformats.org/officeDocument/2006/relationships/image" Target="media/61eb92c32c322b4cd7510aaf020969d49364688d.png"/><Relationship Id="rId70" Type="http://schemas.openxmlformats.org/officeDocument/2006/relationships/image" Target="media/e760d398bd51eed036c0df8ef8c5ee93bb30104b.png"/><Relationship Id="rId71" Type="http://schemas.openxmlformats.org/officeDocument/2006/relationships/image" Target="media/0f5b7cdf1b5c26426280cf4dbd410bb1ca20056f.png"/><Relationship Id="rId72" Type="http://schemas.openxmlformats.org/officeDocument/2006/relationships/image" Target="media/d3462749280fa11d9fcaec0368d7a2b7fdd10551.png"/><Relationship Id="rId73" Type="http://schemas.openxmlformats.org/officeDocument/2006/relationships/image" Target="media/87aec1d7a4c90c626759431201e2ac416254d9a9.png"/><Relationship Id="rId74" Type="http://schemas.openxmlformats.org/officeDocument/2006/relationships/image" Target="media/45b90012f20130a67263a1e234f874c6ccc825aa.png"/><Relationship Id="rId75" Type="http://schemas.openxmlformats.org/officeDocument/2006/relationships/image" Target="media/af4e1cf7b9a0e566459d787740e3e424899a2179.png"/><Relationship Id="rId76" Type="http://schemas.openxmlformats.org/officeDocument/2006/relationships/image" Target="media/83a092e4f71a8bb405a16ddd61621946b949cac6.png"/><Relationship Id="rId77" Type="http://schemas.openxmlformats.org/officeDocument/2006/relationships/image" Target="media/ee00433f24608a7151a6eda34a1e91c54ebe3ab7.png"/><Relationship Id="rId78" Type="http://schemas.openxmlformats.org/officeDocument/2006/relationships/image" Target="media/d1fe5023772b7d04b784ad53c0c182e457a615ee.png"/><Relationship Id="rId79" Type="http://schemas.openxmlformats.org/officeDocument/2006/relationships/image" Target="media/90553aa60b368c46b1a5ac82deb9ad5523d90df6.png"/><Relationship Id="rId80" Type="http://schemas.openxmlformats.org/officeDocument/2006/relationships/image" Target="media/77fade440afa8258788a79e973d89556acfd8142.png"/><Relationship Id="rId81" Type="http://schemas.openxmlformats.org/officeDocument/2006/relationships/image" Target="media/9bf1b8af7d0c39f64b74a8b5b9914612e7cce958.png"/><Relationship Id="rId82" Type="http://schemas.openxmlformats.org/officeDocument/2006/relationships/image" Target="media/dc4841eed144870da80d35041d73f966a5843213.png"/><Relationship Id="rId83" Type="http://schemas.openxmlformats.org/officeDocument/2006/relationships/image" Target="media/a8cfdfbb7ca115a9c4e6c27a47a62a426f019017.png"/><Relationship Id="rId84" Type="http://schemas.openxmlformats.org/officeDocument/2006/relationships/image" Target="media/f00f15519f2231d868bf240ac80a9544f5023830.png"/><Relationship Id="rId85" Type="http://schemas.openxmlformats.org/officeDocument/2006/relationships/image" Target="media/4450e39fe9f7d30f9dd382b7d4915339f8bca8e3.png"/><Relationship Id="rId86" Type="http://schemas.openxmlformats.org/officeDocument/2006/relationships/image" Target="media/8427d0a099e0e10c5e8720e1c6e018ae10c3a691.png"/><Relationship Id="rId87" Type="http://schemas.openxmlformats.org/officeDocument/2006/relationships/image" Target="media/2baf7b660562588e00bd172d104d0f69a81998e1.png"/><Relationship Id="rId10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Exploratorio y Visualización de Datos con SQL y NoSQL</dc:title>
  <dc:creator>Dan Carrión</dc:creator>
  <dc:description>Trabajo final MCD512 Big Data</dc:description>
  <cp:lastModifiedBy>Un-named</cp:lastModifiedBy>
  <cp:revision>1</cp:revision>
  <dcterms:created xsi:type="dcterms:W3CDTF">2026-10-12T17:13:31.881Z</dcterms:created>
  <dcterms:modified xsi:type="dcterms:W3CDTF">2026-10-12T17:13:31.883Z</dcterms:modified>
</cp:coreProperties>
</file>

<file path=docProps/custom.xml><?xml version="1.0" encoding="utf-8"?>
<Properties xmlns="http://schemas.openxmlformats.org/officeDocument/2006/custom-properties" xmlns:vt="http://schemas.openxmlformats.org/officeDocument/2006/docPropsVTypes"/>
</file>